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isation-of-dynamic-risk"/>
      <w:bookmarkEnd w:id="21"/>
      <w:r>
        <w:t xml:space="preserve">Visualisation of Dynamic Risk</w:t>
      </w:r>
    </w:p>
    <w:p>
      <w:r>
        <w:t xml:space="preserve">Doctoral Thesis by Sholto Maud</w:t>
      </w:r>
    </w:p>
    <w:p>
      <w:pPr>
        <w:pStyle w:val="Heading2"/>
      </w:pPr>
      <w:bookmarkStart w:id="22" w:name="analytic-goals"/>
      <w:bookmarkEnd w:id="22"/>
      <w:r>
        <w:t xml:space="preserve">Analytic Goals</w:t>
      </w:r>
    </w:p>
    <w:p>
      <w:pPr>
        <w:pStyle w:val="Compact"/>
        <w:numPr>
          <w:numId w:val="1001"/>
          <w:ilvl w:val="0"/>
        </w:numPr>
      </w:pPr>
      <w:r>
        <w:t xml:space="preserve">Ivestigate method for feeding uncertainty into risk calculations</w:t>
      </w:r>
    </w:p>
    <w:p>
      <w:pPr>
        <w:pStyle w:val="Compact"/>
        <w:numPr>
          <w:numId w:val="1001"/>
          <w:ilvl w:val="0"/>
        </w:numPr>
      </w:pPr>
      <w:r>
        <w:t xml:space="preserve">Ivestigate method for evaluating dynamic risk</w:t>
      </w:r>
    </w:p>
    <w:p>
      <w:pPr>
        <w:pStyle w:val="Heading2"/>
      </w:pPr>
      <w:bookmarkStart w:id="23" w:name="technical-goals"/>
      <w:bookmarkEnd w:id="23"/>
      <w:r>
        <w:t xml:space="preserve">Technical Goals</w:t>
      </w:r>
    </w:p>
    <w:p>
      <w:pPr>
        <w:pStyle w:val="Compact"/>
        <w:numPr>
          <w:numId w:val="1002"/>
          <w:ilvl w:val="0"/>
        </w:numPr>
      </w:pPr>
      <w:r>
        <w:t xml:space="preserve">Data systems for the presentation of a consistent visualisation</w:t>
      </w:r>
    </w:p>
    <w:p>
      <w:pPr>
        <w:pStyle w:val="Compact"/>
        <w:numPr>
          <w:numId w:val="1002"/>
          <w:ilvl w:val="0"/>
        </w:numPr>
      </w:pPr>
      <w:r>
        <w:t xml:space="preserve">Establish risking webservices</w:t>
      </w:r>
    </w:p>
    <w:p>
      <w:pPr>
        <w:pStyle w:val="Compact"/>
        <w:numPr>
          <w:numId w:val="1002"/>
          <w:ilvl w:val="0"/>
        </w:numPr>
      </w:pPr>
      <w:r>
        <w:t xml:space="preserve">Consume the risking webservices through the presentation layer</w:t>
      </w:r>
    </w:p>
    <w:p>
      <w:pPr>
        <w:pStyle w:val="Heading1"/>
      </w:pPr>
      <w:bookmarkStart w:id="24" w:name="list-of-contents"/>
      <w:bookmarkEnd w:id="24"/>
      <w:r>
        <w:t xml:space="preserve">List of Contents</w:t>
      </w:r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Link"/>
          </w:rPr>
          <w:t xml:space="preserve">Chapter 0 - Preface</w:t>
        </w:r>
      </w:hyperlink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Link"/>
          </w:rPr>
          <w:t xml:space="preserve">Chapter 1 - Literature Review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Link"/>
          </w:rPr>
          <w:t xml:space="preserve">Chapter 2 - Risk Assessment Methods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Link"/>
          </w:rPr>
          <w:t xml:space="preserve">Chapter 3 - Risk Management Methods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Link"/>
          </w:rPr>
          <w:t xml:space="preserve">Chapter 4 - Methodological Gap Analysis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Link"/>
          </w:rPr>
          <w:t xml:space="preserve">Chapter 5 - Technical Review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Link"/>
          </w:rPr>
          <w:t xml:space="preserve">Chapter 6 - Technical Solutions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Link"/>
          </w:rPr>
          <w:t xml:space="preserve">Chapter 7 - Applied Case Study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Link"/>
          </w:rPr>
          <w:t xml:space="preserve">Chapter 8 - Conclusions</w:t>
        </w:r>
      </w:hyperlink>
    </w:p>
    <w:p>
      <w:pPr>
        <w:pStyle w:val="Heading1"/>
      </w:pPr>
      <w:bookmarkStart w:id="34" w:name="todo"/>
      <w:bookmarkEnd w:id="34"/>
      <w:r>
        <w:t xml:space="preserve">TODO:</w:t>
      </w:r>
    </w:p>
    <w:p>
      <w:pPr>
        <w:pStyle w:val="Heading3"/>
      </w:pPr>
      <w:bookmarkStart w:id="35" w:name="literature-review"/>
      <w:bookmarkEnd w:id="35"/>
      <w:r>
        <w:t xml:space="preserve">Literature Review</w:t>
      </w:r>
    </w:p>
    <w:p>
      <w:pPr>
        <w:pStyle w:val="Heading3"/>
      </w:pPr>
      <w:bookmarkStart w:id="36" w:name="bitbucket"/>
      <w:bookmarkEnd w:id="36"/>
      <w:r>
        <w:t xml:space="preserve">Bitbucket</w:t>
      </w:r>
    </w:p>
    <w:p>
      <w:pPr>
        <w:pStyle w:val="Compact"/>
        <w:numPr>
          <w:numId w:val="1004"/>
          <w:ilvl w:val="0"/>
        </w:numPr>
      </w:pPr>
      <w:r>
        <w:t xml:space="preserve">API for being able to send tasks/issues in from CLI</w:t>
      </w:r>
    </w:p>
    <w:p>
      <w:pPr>
        <w:pStyle w:val="Heading3"/>
      </w:pPr>
      <w:bookmarkStart w:id="37" w:name="ansible"/>
      <w:bookmarkEnd w:id="37"/>
      <w:r>
        <w:t xml:space="preserve">Ansible</w:t>
      </w:r>
    </w:p>
    <w:p>
      <w:pPr>
        <w:pStyle w:val="Compact"/>
        <w:numPr>
          <w:numId w:val="1005"/>
          <w:ilvl w:val="0"/>
        </w:numPr>
      </w:pPr>
      <w:r>
        <w:t xml:space="preserve">SSH-keygen webuser</w:t>
      </w:r>
    </w:p>
    <w:p>
      <w:pPr>
        <w:pStyle w:val="Compact"/>
        <w:numPr>
          <w:numId w:val="1005"/>
          <w:ilvl w:val="0"/>
        </w:numPr>
      </w:pPr>
      <w:r>
        <w:t xml:space="preserve">add key to BITBUCKET</w:t>
      </w:r>
    </w:p>
    <w:p>
      <w:pPr>
        <w:pStyle w:val="Compact"/>
        <w:numPr>
          <w:numId w:val="1005"/>
          <w:ilvl w:val="0"/>
        </w:numPr>
      </w:pPr>
      <w:r>
        <w:t xml:space="preserve">MONGODB</w:t>
      </w:r>
    </w:p>
    <w:p>
      <w:pPr>
        <w:pStyle w:val="Compact"/>
        <w:numPr>
          <w:numId w:val="1005"/>
          <w:ilvl w:val="0"/>
        </w:numPr>
      </w:pPr>
      <w:r>
        <w:t xml:space="preserve">mongod</w:t>
      </w:r>
    </w:p>
    <w:p>
      <w:pPr>
        <w:pStyle w:val="Heading3"/>
      </w:pPr>
      <w:bookmarkStart w:id="38" w:name="gaffa"/>
      <w:bookmarkEnd w:id="38"/>
      <w:r>
        <w:t xml:space="preserve">Gaffa</w:t>
      </w:r>
    </w:p>
    <w:p>
      <w:pPr>
        <w:pStyle w:val="Compact"/>
        <w:numPr>
          <w:numId w:val="1006"/>
          <w:ilvl w:val="0"/>
        </w:numPr>
      </w:pPr>
      <w:r>
        <w:t xml:space="preserve">Simple GWDB form upload from ZIP</w:t>
      </w:r>
    </w:p>
    <w:p>
      <w:pPr>
        <w:pStyle w:val="Compact"/>
        <w:numPr>
          <w:numId w:val="1006"/>
          <w:ilvl w:val="0"/>
        </w:numPr>
      </w:pPr>
      <w:r>
        <w:t xml:space="preserve">Versioning - dated</w:t>
      </w:r>
    </w:p>
    <w:p>
      <w:pPr>
        <w:pStyle w:val="Heading3"/>
      </w:pPr>
      <w:bookmarkStart w:id="39" w:name="h2node"/>
      <w:bookmarkEnd w:id="39"/>
      <w:r>
        <w:t xml:space="preserve">H2node</w:t>
      </w:r>
    </w:p>
    <w:p>
      <w:pPr>
        <w:pStyle w:val="Compact"/>
        <w:numPr>
          <w:numId w:val="1007"/>
          <w:ilvl w:val="0"/>
        </w:numPr>
      </w:pPr>
      <w:r>
        <w:t xml:space="preserve">Data architecture</w:t>
      </w:r>
    </w:p>
    <w:p>
      <w:pPr>
        <w:pStyle w:val="Compact"/>
        <w:numPr>
          <w:numId w:val="1007"/>
          <w:ilvl w:val="0"/>
        </w:numPr>
      </w:pPr>
      <w:r>
        <w:t xml:space="preserve">Transformation in</w:t>
      </w:r>
    </w:p>
    <w:p>
      <w:pPr>
        <w:pStyle w:val="Compact"/>
        <w:numPr>
          <w:numId w:val="1007"/>
          <w:ilvl w:val="0"/>
        </w:numPr>
      </w:pPr>
      <w:r>
        <w:t xml:space="preserve">Transformation out</w:t>
      </w:r>
    </w:p>
    <w:p>
      <w:pPr>
        <w:pStyle w:val="Compact"/>
        <w:numPr>
          <w:numId w:val="1007"/>
          <w:ilvl w:val="0"/>
        </w:numPr>
      </w:pPr>
      <w:r>
        <w:t xml:space="preserve">gwdb GeoJSON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ef1e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9230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c8c2235f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f0b1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/Chapters/Chapter0_Preface/README.md" TargetMode="External" /><Relationship Type="http://schemas.openxmlformats.org/officeDocument/2006/relationships/hyperlink" Id="rId26" Target="/Chapters/Chapter1_LiteratureReview/README.md" TargetMode="External" /><Relationship Type="http://schemas.openxmlformats.org/officeDocument/2006/relationships/hyperlink" Id="rId27" Target="/Chapters/Chapter2_RiskAssessmentMethods/README.md" TargetMode="External" /><Relationship Type="http://schemas.openxmlformats.org/officeDocument/2006/relationships/hyperlink" Id="rId28" Target="/Chapters/Chapter3_RiskManagementMethods/README.md" TargetMode="External" /><Relationship Type="http://schemas.openxmlformats.org/officeDocument/2006/relationships/hyperlink" Id="rId29" Target="/Chapters/Chapter4_MethodologicalGapAnalysis/README.md" TargetMode="External" /><Relationship Type="http://schemas.openxmlformats.org/officeDocument/2006/relationships/hyperlink" Id="rId30" Target="/Chapters/Chapter5_TechnicalReview/README.md" TargetMode="External" /><Relationship Type="http://schemas.openxmlformats.org/officeDocument/2006/relationships/hyperlink" Id="rId31" Target="/Chapters/Chapter6_TechnicalSolutions/README.md" TargetMode="External" /><Relationship Type="http://schemas.openxmlformats.org/officeDocument/2006/relationships/hyperlink" Id="rId32" Target="/Chapters/Chapter7_AppliedCaseStudy/README.md" TargetMode="External" /><Relationship Type="http://schemas.openxmlformats.org/officeDocument/2006/relationships/hyperlink" Id="rId33" Target="/Chapters/Chapter8_Conclusions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/Chapters/Chapter0_Preface/README.md" TargetMode="External" /><Relationship Type="http://schemas.openxmlformats.org/officeDocument/2006/relationships/hyperlink" Id="rId26" Target="/Chapters/Chapter1_LiteratureReview/README.md" TargetMode="External" /><Relationship Type="http://schemas.openxmlformats.org/officeDocument/2006/relationships/hyperlink" Id="rId27" Target="/Chapters/Chapter2_RiskAssessmentMethods/README.md" TargetMode="External" /><Relationship Type="http://schemas.openxmlformats.org/officeDocument/2006/relationships/hyperlink" Id="rId28" Target="/Chapters/Chapter3_RiskManagementMethods/README.md" TargetMode="External" /><Relationship Type="http://schemas.openxmlformats.org/officeDocument/2006/relationships/hyperlink" Id="rId29" Target="/Chapters/Chapter4_MethodologicalGapAnalysis/README.md" TargetMode="External" /><Relationship Type="http://schemas.openxmlformats.org/officeDocument/2006/relationships/hyperlink" Id="rId30" Target="/Chapters/Chapter5_TechnicalReview/README.md" TargetMode="External" /><Relationship Type="http://schemas.openxmlformats.org/officeDocument/2006/relationships/hyperlink" Id="rId31" Target="/Chapters/Chapter6_TechnicalSolutions/README.md" TargetMode="External" /><Relationship Type="http://schemas.openxmlformats.org/officeDocument/2006/relationships/hyperlink" Id="rId32" Target="/Chapters/Chapter7_AppliedCaseStudy/README.md" TargetMode="External" /><Relationship Type="http://schemas.openxmlformats.org/officeDocument/2006/relationships/hyperlink" Id="rId33" Target="/Chapters/Chapter8_Conclusion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