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5.png" ContentType="image/png"/>
  <Override PartName="/word/media/rId36.png" ContentType="image/png"/>
  <Override PartName="/word/media/rId38.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p>
    <w:p>
      <w:pPr>
        <w:pStyle w:val="Author"/>
      </w:pPr>
      <w:r>
        <w:t xml:space="preserve">Sholto</w:t>
      </w:r>
      <w:r>
        <w:t xml:space="preserve"> </w:t>
      </w:r>
      <w:r>
        <w:t xml:space="preserve">Maud</w:t>
      </w:r>
    </w:p>
    <w:p>
      <w:pPr>
        <w:pStyle w:val="Date"/>
      </w:pPr>
      <w:r>
        <w:t xml:space="preserve">2015-03-10</w:t>
      </w:r>
      <w:r>
        <w:t xml:space="preserve"> </w:t>
      </w:r>
      <w:r>
        <w:t xml:space="preserve">13:12:00</w:t>
      </w:r>
    </w:p>
    <w:p>
      <w:pPr>
        <w:pStyle w:val="Heading1"/>
      </w:pPr>
      <w:bookmarkStart w:id="21" w:name="abstract"/>
      <w:bookmarkEnd w:id="21"/>
      <w:r>
        <w:t xml:space="preserve">Abstract</w:t>
      </w:r>
    </w:p>
    <w:p>
      <w:r>
        <w:t xml:space="preserve">This review aims to identify the appropriate requirements for an unconventional energy production risk management framework, where the asset at risk is groundwater. It covers the current legislative approaches to the management of risk within the recent Australian experience of Coal Seam Gas.</w:t>
      </w:r>
    </w:p>
    <w:p>
      <w:pPr>
        <w:pStyle w:val="Heading1"/>
      </w:pPr>
      <w:bookmarkStart w:id="22" w:name="introduction"/>
      <w:bookmarkEnd w:id="22"/>
      <w:r>
        <w:t xml:space="preserve">Introduction</w:t>
      </w:r>
    </w:p>
    <w:p>
      <w:r>
        <w:t xml:space="preserve">In the last few years unconventional energy (UE) production has been considered a significant potential economic resource for Australia. Unconventional energy in the Australian context, generally refers to gas held in shale or coal formations, along with what is known as</w:t>
      </w:r>
      <w:r>
        <w:t xml:space="preserve"> </w:t>
      </w:r>
      <w:r>
        <w:t xml:space="preserve">“</w:t>
      </w:r>
      <w:r>
        <w:t xml:space="preserve">tight gas</w:t>
      </w:r>
      <w:r>
        <w:t xml:space="preserve">”</w:t>
      </w:r>
      <w:r>
        <w:t xml:space="preserve"> </w:t>
      </w:r>
      <w:r>
        <w:t xml:space="preserve">(Taylor 2012, 7)</w:t>
      </w:r>
      <w:r>
        <w:t xml:space="preserve">.</w:t>
      </w:r>
    </w:p>
    <w:p>
      <w:r>
        <w:t xml:space="preserve">As noted by Professor Martin in the Committee for Economic Development of Australia (CEDA) report, property rights and water management are key issues for unconventional energy production</w:t>
      </w:r>
      <w:r>
        <w:t xml:space="preserve"> </w:t>
      </w:r>
      <w:r>
        <w:t xml:space="preserve">(Taylor 2012, 5)</w:t>
      </w:r>
      <w:r>
        <w:t xml:space="preserve">. For water management specifically, Martin recommended that;</w:t>
      </w:r>
    </w:p>
    <w:p>
      <w:pPr>
        <w:pStyle w:val="Compact"/>
        <w:numPr>
          <w:numId w:val="1001"/>
          <w:ilvl w:val="0"/>
        </w:numPr>
      </w:pPr>
      <w:r>
        <w:t xml:space="preserve">Water allocation and licensing frameworks needed to be enhanced to include water that is produced, and consumed by UE producers</w:t>
      </w:r>
    </w:p>
    <w:p>
      <w:pPr>
        <w:pStyle w:val="Compact"/>
        <w:numPr>
          <w:numId w:val="1001"/>
          <w:ilvl w:val="0"/>
        </w:numPr>
      </w:pPr>
      <w:r>
        <w:t xml:space="preserve">Due to the potential for irreversible damage to environmental systems, including hydrological systems, UE producers develop a robust risk management framework with strong precautionary principles</w:t>
      </w:r>
    </w:p>
    <w:p>
      <w:r>
        <w:t xml:space="preserve">These views, and the support for a National approach to a Risk management framework appear to have broad support and are shared with the water industry</w:t>
      </w:r>
      <w:r>
        <w:t xml:space="preserve"> </w:t>
      </w:r>
      <w:r>
        <w:t xml:space="preserve">(Beckers, Cook, and Butcher 2013,</w:t>
      </w:r>
      <w:r>
        <w:t xml:space="preserve"> </w:t>
      </w:r>
      <w:r>
        <w:t xml:space="preserve">Howe et al. (2010)</w:t>
      </w:r>
      <w:r>
        <w:t xml:space="preserve">,</w:t>
      </w:r>
      <w:r>
        <w:t xml:space="preserve"> </w:t>
      </w:r>
      <w:r>
        <w:t xml:space="preserve">Hunter and Garnett (2013)</w:t>
      </w:r>
      <w:r>
        <w:t xml:space="preserve">)</w:t>
      </w:r>
      <w:r>
        <w:t xml:space="preserve">. In Australia this momentum has culminated in the National Harmonsied Regulatory Framework</w:t>
      </w:r>
      <w:r>
        <w:t xml:space="preserve"> </w:t>
      </w:r>
      <w:r>
        <w:t xml:space="preserve">(</w:t>
      </w:r>
      <w:r>
        <w:t xml:space="preserve">SCER</w:t>
      </w:r>
      <w:r>
        <w:t xml:space="preserve"> </w:t>
      </w:r>
      <w:r>
        <w:t xml:space="preserve">and Resources 2013)</w:t>
      </w:r>
      <w:r>
        <w:t xml:space="preserve">.</w:t>
      </w:r>
    </w:p>
    <w:p>
      <w:r>
        <w:t xml:space="preserve">In addressing the Queensland context the Harmonisation Framework says</w:t>
      </w:r>
      <w:r>
        <w:t xml:space="preserve"> </w:t>
      </w:r>
      <w:r>
        <w:t xml:space="preserve">“</w:t>
      </w:r>
      <w:r>
        <w:t xml:space="preserve">This policy focuses on the management and use of produced water under the EP Act, and does not vary the requirements of the Water Act, such as â€˜making goodâ€™ any relevant impacts on water bores that may result from an operation to extract natural gas from coals seams.</w:t>
      </w:r>
      <w:r>
        <w:t xml:space="preserve">”</w:t>
      </w:r>
    </w:p>
    <w:p>
      <w:r>
        <w:t xml:space="preserve">The interest in this review is where the rubber hits the road, and the proverbial</w:t>
      </w:r>
      <w:r>
        <w:t xml:space="preserve"> </w:t>
      </w:r>
      <w:r>
        <w:t xml:space="preserve">“</w:t>
      </w:r>
      <w:r>
        <w:t xml:space="preserve">devil in the details</w:t>
      </w:r>
      <w:r>
        <w:t xml:space="preserve">”</w:t>
      </w:r>
      <w:r>
        <w:t xml:space="preserve">. This is to say, that at a high level the requirement for a robust risk management framework is not in dispute. However the implementation at the technical level presents difficulties. The author of this review was</w:t>
      </w:r>
      <w:r>
        <w:t xml:space="preserve"> </w:t>
      </w:r>
      <w:r>
        <w:t xml:space="preserve">‘</w:t>
      </w:r>
      <w:r>
        <w:t xml:space="preserve">at the coal face</w:t>
      </w:r>
      <w:r>
        <w:t xml:space="preserve">’</w:t>
      </w:r>
      <w:r>
        <w:t xml:space="preserve">, so to speak, during the attempt to implement such systems, and so the interest here is in reviewing the lower level system requirements generated from the higher level requirement of developing a robust risk management framework.</w:t>
      </w:r>
    </w:p>
    <w:p>
      <w:r>
        <w:t xml:space="preserve">The rest of this review will focus</w:t>
      </w:r>
    </w:p>
    <w:p>
      <w:r>
        <w:t xml:space="preserve">It is anticipated that in conducting this review, gaps and technical requirements will be generated, and these will become the proposed subject of future research effort. To contextualise these requirements further, the concepts risk, risk management framework, make good and liability will be addressed.</w:t>
      </w:r>
    </w:p>
    <w:p>
      <m:oMathPara>
        <m:oMathParaPr>
          <m:jc m:val="center"/>
        </m:oMathParaPr>
        <m:oMath>
          <m:r>
            <m:rPr>
              <m:sty m:val="i"/>
            </m:rPr>
            <m:t>R</m:t>
          </m:r>
          <m:r>
            <m:rPr>
              <m:sty m:val="p"/>
            </m:rPr>
            <m:t>=</m:t>
          </m:r>
          <m:r>
            <m:rPr>
              <m:sty m:val="i"/>
            </m:rPr>
            <m:t>P</m:t>
          </m:r>
          <m:r>
            <m:rPr>
              <m:sty m:val="p"/>
            </m:rPr>
            <m:t>(</m:t>
          </m:r>
          <m:r>
            <m:rPr>
              <m:sty m:val="i"/>
            </m:rPr>
            <m:t>X</m:t>
          </m:r>
          <m:r>
            <m:rPr>
              <m:sty m:val="p"/>
            </m:rPr>
            <m:t>)</m:t>
          </m:r>
          <m:r>
            <m:rPr>
              <m:sty m:val="p"/>
            </m:rPr>
            <m:t>•</m:t>
          </m:r>
          <m:r>
            <m:rPr>
              <m:sty m:val="i"/>
            </m:rPr>
            <m:t>C</m:t>
          </m:r>
        </m:oMath>
      </m:oMathPara>
    </w:p>
    <w:p>
      <w:pPr>
        <w:pStyle w:val="Compact"/>
      </w:pPr>
      <w:r>
        <w:t xml:space="preserve">inline $</w:t>
      </w:r>
    </w:p>
    <w:p>
      <w:r>
        <w:t xml:space="preserve">$</w:t>
      </w:r>
    </w:p>
    <w:p>
      <w:pPr>
        <w:pStyle w:val="Heading1"/>
      </w:pPr>
      <w:bookmarkStart w:id="23" w:name="risk"/>
      <w:bookmarkEnd w:id="23"/>
      <w:r>
        <w:t xml:space="preserve">Risk</w:t>
      </w:r>
    </w:p>
    <w:p>
      <w:r>
        <w:t xml:space="preserve">The concept of risk can hold different significance depending on world view. Risk can be acceptable or unacceptable, and the risk of an even for one person can outweigh any potential gains from that event as seen in the eyes of another person.</w:t>
      </w:r>
    </w:p>
    <w:p>
      <w:r>
        <w:t xml:space="preserve">The purpose of this review is to identify some of the different types of Risks, and types of Risk Analysis methods used in industries relevant to CSG and Groundwater.</w:t>
      </w:r>
    </w:p>
    <w:p>
      <w:r>
        <w:t xml:space="preserve">In general, most observers would be happy with the notion that Risk is a spectrum. Any particular event might be classed anywhere between low or negligible risk, and high risk, or catastrophic. When an event is contentious it is generally the evaluation or perception of the risk methodology used which is at moot.</w:t>
      </w:r>
    </w:p>
    <w:p>
      <w:r>
        <w:t xml:space="preserve">In the eye of the stakeholder, the risk methodology might be;</w:t>
      </w:r>
    </w:p>
    <w:p>
      <w:pPr>
        <w:pStyle w:val="Compact"/>
        <w:numPr>
          <w:numId w:val="1002"/>
          <w:ilvl w:val="0"/>
        </w:numPr>
      </w:pPr>
      <w:r>
        <w:t xml:space="preserve">sound, but not well communicated</w:t>
      </w:r>
    </w:p>
    <w:p>
      <w:pPr>
        <w:pStyle w:val="Compact"/>
        <w:numPr>
          <w:numId w:val="1002"/>
          <w:ilvl w:val="0"/>
        </w:numPr>
      </w:pPr>
      <w:r>
        <w:t xml:space="preserve">unsound, and not well communicated</w:t>
      </w:r>
    </w:p>
    <w:p>
      <w:pPr>
        <w:pStyle w:val="Compact"/>
        <w:numPr>
          <w:numId w:val="1002"/>
          <w:ilvl w:val="0"/>
        </w:numPr>
      </w:pPr>
      <w:r>
        <w:t xml:space="preserve">sound, and well communicated</w:t>
      </w:r>
    </w:p>
    <w:p>
      <w:pPr>
        <w:pStyle w:val="Compact"/>
        <w:numPr>
          <w:numId w:val="1002"/>
          <w:ilvl w:val="0"/>
        </w:numPr>
      </w:pPr>
      <w:r>
        <w:t xml:space="preserve">unsound, and well communicated</w:t>
      </w:r>
    </w:p>
    <w:p>
      <w:pPr>
        <w:pStyle w:val="Heading2"/>
      </w:pPr>
      <w:bookmarkStart w:id="24" w:name="risk-analysis-assessment"/>
      <w:bookmarkEnd w:id="24"/>
      <w:r>
        <w:t xml:space="preserve">Risk Analysis &amp; Assessment</w:t>
      </w:r>
    </w:p>
    <w:p>
      <w:r>
        <w:t xml:space="preserve">The field of Risk Assessment is broad, however two general approaches have been recogonised as quantitative and qualitative. Within both of these two approaches the standard generic calculation of Risk (R) is through the product of the Probability of some event X (P(X)) and the Consequence (C) of that event occurring.</w:t>
      </w:r>
    </w:p>
    <w:p>
      <m:oMathPara>
        <m:oMathParaPr>
          <m:jc m:val="center"/>
        </m:oMathParaPr>
        <m:oMath>
          <m:r>
            <m:rPr>
              <m:sty m:val="i"/>
            </m:rPr>
            <m:t>R</m:t>
          </m:r>
          <m:r>
            <m:rPr>
              <m:sty m:val="p"/>
            </m:rPr>
            <m:t>=</m:t>
          </m:r>
          <m:r>
            <m:rPr>
              <m:sty m:val="i"/>
            </m:rPr>
            <m:t>P</m:t>
          </m:r>
          <m:r>
            <m:rPr>
              <m:sty m:val="p"/>
            </m:rPr>
            <m:t>(</m:t>
          </m:r>
          <m:r>
            <m:rPr>
              <m:sty m:val="i"/>
            </m:rPr>
            <m:t>X</m:t>
          </m:r>
          <m:r>
            <m:rPr>
              <m:sty m:val="p"/>
            </m:rPr>
            <m:t>)</m:t>
          </m:r>
          <m:r>
            <m:rPr>
              <m:sty m:val="p"/>
            </m:rPr>
            <m:t>•</m:t>
          </m:r>
          <m:r>
            <m:rPr>
              <m:sty m:val="i"/>
            </m:rPr>
            <m:t>C</m:t>
          </m:r>
        </m:oMath>
      </m:oMathPara>
    </w:p>
    <w:p>
      <w:pPr>
        <w:pStyle w:val="Heading3"/>
      </w:pPr>
      <w:bookmarkStart w:id="25" w:name="qualitative-risk-assessment"/>
      <w:bookmarkEnd w:id="25"/>
      <w:r>
        <w:t xml:space="preserve">Qualitative Risk Assessment</w:t>
      </w:r>
    </w:p>
    <w:p>
      <w:r>
        <w:t xml:space="preserve">Qualitative assessments of risk are based on expert opinion. Risk is assigned in relative terms based on the expert’s estimation. Risk is described as low-high, and the assignment of the consequence a best estimate. Baker et al. note that this method of assessment is inclined to be subjective and so suggest that they may lead to inconsistencies and non-repeatable outcomes</w:t>
      </w:r>
      <w:r>
        <w:t xml:space="preserve"> </w:t>
      </w:r>
      <w:r>
        <w:t xml:space="preserve">(Baker, Ponniah, and Smith 1998)</w:t>
      </w:r>
      <w:r>
        <w:t xml:space="preserve">.</w:t>
      </w:r>
    </w:p>
    <w:p>
      <w:pPr>
        <w:pStyle w:val="Heading4"/>
      </w:pPr>
      <w:bookmarkStart w:id="26" w:name="connectivity-risk-assessment"/>
      <w:bookmarkEnd w:id="26"/>
      <w:r>
        <w:t xml:space="preserve">Connectivity Risk Assessment</w:t>
      </w:r>
    </w:p>
    <w:p>
      <w:r>
        <w:t xml:space="preserve">An example of a qualitative assessment of risk is the Spring Connectivity risk assessment contained in the Underground Water Impact Report (UWIR). The UWIR was generated by the Queensland State Water Commission in a multi-party spring management workshop with botanists, ecologists, spring experts, researchers, petroleum tenure holders and State and Commonwealth Government</w:t>
      </w:r>
      <w:r>
        <w:t xml:space="preserve"> </w:t>
      </w:r>
      <w:r>
        <w:t xml:space="preserve">(</w:t>
      </w:r>
      <w:r>
        <w:t xml:space="preserve">QWC</w:t>
      </w:r>
      <w:r>
        <w:t xml:space="preserve"> </w:t>
      </w:r>
      <w:r>
        <w:t xml:space="preserve">2012, 78)</w:t>
      </w:r>
      <w:r>
        <w:t xml:space="preserve">.</w:t>
      </w:r>
    </w:p>
    <w:p>
      <w:r>
        <w:t xml:space="preserve">{{Insert Risk Results as table}}</w:t>
      </w:r>
    </w:p>
    <w:p>
      <w:pPr>
        <w:pStyle w:val="Heading3"/>
      </w:pPr>
      <w:bookmarkStart w:id="27" w:name="quantitative-risk-assessment"/>
      <w:bookmarkEnd w:id="27"/>
      <w:r>
        <w:t xml:space="preserve">Quantitative Risk Assessment</w:t>
      </w:r>
    </w:p>
    <w:p>
      <w:pPr>
        <w:pStyle w:val="Heading4"/>
      </w:pPr>
      <w:bookmarkStart w:id="28" w:name="risk-and-reliability-in-hydrosystems-and-water-engineering"/>
      <w:bookmarkEnd w:id="28"/>
      <w:r>
        <w:t xml:space="preserve">Risk and Reliability in Hydrosystems and Water Engineering</w:t>
      </w:r>
    </w:p>
    <w:p>
      <w:r>
        <w:t xml:space="preserve">In hydsrosystems and water resource engineering, reliability is commonly introduced in the discussion of risk, specifically with reference to dams</w:t>
      </w:r>
      <w:r>
        <w:t xml:space="preserve"> </w:t>
      </w:r>
      <w:r>
        <w:t xml:space="preserve">(Goodarzi, Ziaei, and Teang Shui 2013,</w:t>
      </w:r>
      <w:r>
        <w:t xml:space="preserve"> </w:t>
      </w:r>
      <w:r>
        <w:t xml:space="preserve">Mays (2010)</w:t>
      </w:r>
      <w:r>
        <w:t xml:space="preserve">)</w:t>
      </w:r>
      <w:r>
        <w:t xml:space="preserve">. Here, the same initial hazard identification step is undertaken as with the qualitative analysis given above. The next step is to introduce and quantify the probability of the risk.</w:t>
      </w:r>
    </w:p>
    <w:p>
      <w:r>
        <w:t xml:space="preserve">Resistance (</w:t>
      </w:r>
      <w:r>
        <w:rPr>
          <w:i/>
        </w:rPr>
        <w:t xml:space="preserve">r</w:t>
      </w:r>
      <w:r>
        <w:t xml:space="preserve">) and load (</w:t>
      </w:r>
      <w:r>
        <w:rPr>
          <w:i/>
        </w:rPr>
        <w:t xml:space="preserve">l</w:t>
      </w:r>
      <w:r>
        <w:t xml:space="preserve">) are two central concepts to the definition of risk and reliability in this context.</w:t>
      </w:r>
      <w:r>
        <w:rPr>
          <w:rStyle w:val="FootnoteRef"/>
        </w:rPr>
        <w:footnoteReference w:id="29"/>
      </w:r>
      <w:r>
        <w:t xml:space="preserve"> </w:t>
      </w:r>
      <w:r>
        <w:t xml:space="preserve">Resistance is defined as the ability of a system component to meet it’s designed purpose without failure when subjected to an external load. Load might be a mechanical or other forcing stress.</w:t>
      </w:r>
    </w:p>
    <w:p>
      <w:r>
        <w:t xml:space="preserve">In this context, risk is then defined as the probability of the load exceeding the resistance - the probability of failure. Reliability is the inverse. That is, the probability of the resistance exceeding the load - the probability of survival</w:t>
      </w:r>
      <w:r>
        <w:t xml:space="preserve"> </w:t>
      </w:r>
      <w:r>
        <w:t xml:space="preserve">(Mays 2010, 387)</w:t>
      </w:r>
      <w:r>
        <w:t xml:space="preserve">.</w:t>
      </w:r>
    </w:p>
    <w:p>
      <w:r>
        <w:t xml:space="preserve">Where</w:t>
      </w:r>
      <w:r>
        <w:t xml:space="preserve"> </w:t>
      </w:r>
      <m:oMath>
        <m:r>
          <m:rPr>
            <m:sty m:val="i"/>
          </m:rPr>
          <m:t>r</m:t>
        </m:r>
      </m:oMath>
      <w:r>
        <w:t xml:space="preserve"> </w:t>
      </w:r>
      <w:r>
        <w:t xml:space="preserve">= resistance and</w:t>
      </w:r>
      <w:r>
        <w:t xml:space="preserve"> </w:t>
      </w:r>
      <m:oMath>
        <m:r>
          <m:rPr>
            <m:sty m:val="i"/>
          </m:rPr>
          <m:t>l</m:t>
        </m:r>
      </m:oMath>
      <w:r>
        <w:t xml:space="preserve"> </w:t>
      </w:r>
      <w:r>
        <w:t xml:space="preserve">= load, reliability (</w:t>
      </w:r>
      <w:r>
        <w:t xml:space="preserve"> </w:t>
      </w:r>
      <m:oMath>
        <m:r>
          <m:rPr>
            <m:sty m:val="i"/>
          </m:rPr>
          <m:t>R</m:t>
        </m:r>
      </m:oMath>
      <w:r>
        <w:t xml:space="preserve"> </w:t>
      </w:r>
      <w:r>
        <w:t xml:space="preserve">) is then defined as:</w:t>
      </w:r>
    </w:p>
    <w:p>
      <m:oMathPara>
        <m:oMathParaPr>
          <m:jc m:val="center"/>
        </m:oMathParaPr>
        <m:oMath>
          <m:r>
            <m:rPr>
              <m:sty m:val="i"/>
            </m:rPr>
            <m:t>R</m:t>
          </m:r>
          <m:r>
            <m:rPr>
              <m:sty m:val="p"/>
            </m:rPr>
            <m:t>=</m:t>
          </m:r>
          <m:r>
            <m:rPr>
              <m:sty m:val="i"/>
            </m:rPr>
            <m:t>P</m:t>
          </m:r>
          <m:r>
            <m:rPr>
              <m:sty m:val="p"/>
            </m:rPr>
            <m:t>(</m:t>
          </m:r>
          <m:r>
            <m:rPr>
              <m:sty m:val="i"/>
            </m:rPr>
            <m:t>r</m:t>
          </m:r>
          <m:r>
            <m:rPr>
              <m:sty m:val="p"/>
            </m:rPr>
            <m:t>&gt;</m:t>
          </m:r>
          <m:r>
            <m:rPr>
              <m:sty m:val="i"/>
            </m:rPr>
            <m:t>l</m:t>
          </m:r>
          <m:r>
            <m:rPr>
              <m:sty m:val="p"/>
            </m:rPr>
            <m:t>)</m:t>
          </m:r>
          <m:r>
            <m:rPr>
              <m:sty m:val="p"/>
            </m:rPr>
            <m:t>=</m:t>
          </m:r>
          <m:r>
            <m:rPr>
              <m:sty m:val="i"/>
            </m:rPr>
            <m:t>P</m:t>
          </m:r>
          <m:r>
            <m:rPr>
              <m:sty m:val="p"/>
            </m:rPr>
            <m:t>(</m:t>
          </m:r>
          <m:r>
            <m:rPr>
              <m:sty m:val="i"/>
            </m:rPr>
            <m:t>r</m:t>
          </m:r>
          <m:r>
            <m:rPr>
              <m:sty m:val="p"/>
            </m:rPr>
            <m:t>−</m:t>
          </m:r>
          <m:r>
            <m:rPr>
              <m:sty m:val="i"/>
            </m:rPr>
            <m:t>l</m:t>
          </m:r>
          <m:r>
            <m:rPr>
              <m:sty m:val="p"/>
            </m:rPr>
            <m:t>&gt;</m:t>
          </m:r>
          <m:r>
            <m:rPr>
              <m:sty m:val="p"/>
            </m:rPr>
            <m:t>0</m:t>
          </m:r>
          <m:r>
            <m:rPr>
              <m:sty m:val="p"/>
            </m:rPr>
            <m:t>)</m:t>
          </m:r>
        </m:oMath>
      </m:oMathPara>
    </w:p>
    <w:p>
      <w:r>
        <w:t xml:space="preserve">And risk</w:t>
      </w:r>
      <w:r>
        <w:t xml:space="preserve"> </w:t>
      </w:r>
      <m:oMath>
        <m:bar>
          <m:barPr>
            <m:pos m:val="top"/>
          </m:barPr>
          <m:e>
            <m:r>
              <m:rPr>
                <m:sty m:val="i"/>
              </m:rPr>
              <m:t>R</m:t>
            </m:r>
          </m:e>
        </m:bar>
      </m:oMath>
      <w:r>
        <w:t xml:space="preserve">, is then defined as:</w:t>
      </w:r>
    </w:p>
    <w:p>
      <m:oMathPara>
        <m:oMathParaPr>
          <m:jc m:val="center"/>
        </m:oMathParaPr>
        <m:oMath>
          <m:bar>
            <m:barPr>
              <m:pos m:val="top"/>
            </m:barPr>
            <m:e>
              <m:r>
                <m:rPr>
                  <m:sty m:val="i"/>
                </m:rPr>
                <m:t>R</m:t>
              </m:r>
            </m:e>
          </m:bar>
          <m:r>
            <m:rPr>
              <m:sty m:val="p"/>
            </m:rPr>
            <m:t>=</m:t>
          </m:r>
          <m:r>
            <m:rPr>
              <m:sty m:val="p"/>
            </m:rPr>
            <m:t>1</m:t>
          </m:r>
          <m:r>
            <m:rPr>
              <m:sty m:val="p"/>
            </m:rPr>
            <m:t>−</m:t>
          </m:r>
          <m:r>
            <m:rPr>
              <m:sty m:val="i"/>
            </m:rPr>
            <m:t>R</m:t>
          </m:r>
        </m:oMath>
      </m:oMathPara>
    </w:p>
    <w:p>
      <w:r>
        <w:t xml:space="preserve">{{ Uncertainty &amp; Probability etc. }}</w:t>
      </w:r>
    </w:p>
    <w:p>
      <w:r>
        <w:t xml:space="preserve">Mays, gave a water storage, as a problem for calculating the reliability of supply</w:t>
      </w:r>
      <w:r>
        <w:t xml:space="preserve"> </w:t>
      </w:r>
      <w:r>
        <w:t xml:space="preserve">(2010, Fig.10.7.3, p.390)</w:t>
      </w:r>
      <w:r>
        <w:t xml:space="preserve">. This example renders the force of a water tank</w:t>
      </w:r>
      <w:r>
        <w:t xml:space="preserve"> </w:t>
      </w:r>
      <m:oMath>
        <m:r>
          <m:rPr>
            <m:sty m:val="p"/>
          </m:rPr>
          <m:t>(</m:t>
        </m:r>
        <m:r>
          <m:rPr>
            <m:sty m:val="i"/>
          </m:rPr>
          <m:t>Q</m:t>
        </m:r>
        <m:r>
          <m:rPr>
            <m:sty m:val="p"/>
          </m:rPr>
          <m:t>)</m:t>
        </m:r>
      </m:oMath>
      <w:r>
        <w:t xml:space="preserve">, as the source of resistance, and a tap as a source of load.</w:t>
      </w:r>
    </w:p>
    <w:p>
      <w:r>
        <w:drawing>
          <wp:inline>
            <wp:extent cx="4902200" cy="3149600"/>
            <wp:effectExtent b="0" l="0" r="0" t="0"/>
            <wp:docPr descr="" id="1" name="Picture"/>
            <a:graphic>
              <a:graphicData uri="http://schemas.openxmlformats.org/drawingml/2006/picture">
                <pic:pic>
                  <pic:nvPicPr>
                    <pic:cNvPr descr="./../../images/Mays2010_Fig10_7_3_p390.png" id="0" name="Picture"/>
                    <pic:cNvPicPr>
                      <a:picLocks noChangeArrowheads="1" noChangeAspect="1"/>
                    </pic:cNvPicPr>
                  </pic:nvPicPr>
                  <pic:blipFill>
                    <a:blip r:embed="rId30"/>
                    <a:stretch>
                      <a:fillRect/>
                    </a:stretch>
                  </pic:blipFill>
                  <pic:spPr bwMode="auto">
                    <a:xfrm>
                      <a:off x="0" y="0"/>
                      <a:ext cx="4902200" cy="3149600"/>
                    </a:xfrm>
                    <a:prstGeom prst="rect">
                      <a:avLst/>
                    </a:prstGeom>
                    <a:noFill/>
                    <a:ln w="9525">
                      <a:noFill/>
                      <a:headEnd/>
                      <a:tailEnd/>
                    </a:ln>
                  </pic:spPr>
                </pic:pic>
              </a:graphicData>
            </a:graphic>
          </wp:inline>
        </w:drawing>
      </w:r>
    </w:p>
    <w:p>
      <w:r>
        <w:t xml:space="preserve">Uncertainty in roughness is assumed to make the supply to the user uncertain. Roughness is incorrectly applied a measure of pipe failure in this instance. This curious example, whilst making mathematical sense, is a little contrived since there are no fail conditions.</w:t>
      </w:r>
    </w:p>
    <w:p>
      <w:r>
        <w:t xml:space="preserve">A reliability analysis aims to find the time (</w:t>
      </w:r>
      <m:oMath>
        <m:r>
          <m:rPr>
            <m:sty m:val="i"/>
          </m:rPr>
          <m:t>t</m:t>
        </m:r>
      </m:oMath>
      <w:r>
        <w:t xml:space="preserve">), when a system is likely to fail.</w:t>
      </w:r>
    </w:p>
    <w:p>
      <w:r>
        <w:t xml:space="preserve">Under conditions where piping, tank and tap don’t fail, the supply will always meet demand when a tap is turned on, unless the tank is dry.</w:t>
      </w:r>
    </w:p>
    <w:p>
      <w:r>
        <w:t xml:space="preserve">Translate into Odum flow:</w:t>
      </w:r>
    </w:p>
    <w:p>
      <w:r>
        <w:t xml:space="preserve">Qs = kQ = Q*1/RC</w:t>
      </w:r>
    </w:p>
    <w:p>
      <w:pPr>
        <w:pStyle w:val="Heading3"/>
      </w:pPr>
      <w:bookmarkStart w:id="31" w:name="quantitative-risk-assessment-1"/>
      <w:bookmarkEnd w:id="31"/>
      <w:r>
        <w:t xml:space="preserve">Quantitative Risk Assessment</w:t>
      </w:r>
    </w:p>
    <w:p>
      <w:r>
        <w:t xml:space="preserve">Quantitative techniques are normally mathematically and/or computationally based</w:t>
      </w:r>
      <w:r>
        <w:t xml:space="preserve"> </w:t>
      </w:r>
      <w:r>
        <w:t xml:space="preserve">(Baker, Ponniah, and Smith 1998)</w:t>
      </w:r>
      <w:r>
        <w:t xml:space="preserve">.</w:t>
      </w:r>
    </w:p>
    <w:p>
      <w:pPr>
        <w:pStyle w:val="Heading2"/>
      </w:pPr>
      <w:bookmarkStart w:id="32" w:name="risk-management-frameworks"/>
      <w:bookmarkEnd w:id="32"/>
      <w:r>
        <w:t xml:space="preserve">Risk management frameworks</w:t>
      </w:r>
    </w:p>
    <w:p>
      <w:r>
        <w:t xml:space="preserve">In the Terms of Reference for Activity 5 of the CSG Feasibility Study, a hybrid Groundwater Model and Multi Criteria Analysis (GMMCA) risk assessment methodology was developed</w:t>
      </w:r>
      <w:r>
        <w:t xml:space="preserve"> </w:t>
      </w:r>
      <w:r>
        <w:t xml:space="preserve">(Beckers, Cook, and Butcher 2013)</w:t>
      </w:r>
      <w:r>
        <w:t xml:space="preserve">.</w:t>
      </w:r>
    </w:p>
    <w:p>
      <w:pPr>
        <w:pStyle w:val="Heading2"/>
      </w:pPr>
      <w:bookmarkStart w:id="33" w:name="what-is-a-risk-management-framework"/>
      <w:bookmarkEnd w:id="33"/>
      <w:r>
        <w:t xml:space="preserve">What is a risk management framework?</w:t>
      </w:r>
    </w:p>
    <w:p>
      <w:pPr>
        <w:pStyle w:val="Heading2"/>
      </w:pPr>
      <w:bookmarkStart w:id="34" w:name="frameworks"/>
      <w:bookmarkEnd w:id="34"/>
      <w:r>
        <w:t xml:space="preserve">Frameworks</w:t>
      </w:r>
    </w:p>
    <w:p>
      <w:r>
        <w:t xml:space="preserve">Randall</w:t>
      </w:r>
      <w:r>
        <w:t xml:space="preserve"> </w:t>
      </w:r>
      <w:r>
        <w:t xml:space="preserve">(2012)</w:t>
      </w:r>
      <w:r>
        <w:t xml:space="preserve">, called for an integrated framework which integrates both precautionary and OSM methods in what he calls STS - screening, pre-release testing, and post-release surveillance. The figure directly below is Randall’s diagram depicting this process.</w:t>
      </w:r>
    </w:p>
    <w:p>
      <w:r>
        <w:drawing>
          <wp:inline>
            <wp:extent cx="5334000" cy="2474886"/>
            <wp:effectExtent b="0" l="0" r="0" t="0"/>
            <wp:docPr descr="" id="1" name="Picture"/>
            <a:graphic>
              <a:graphicData uri="http://schemas.openxmlformats.org/drawingml/2006/picture">
                <pic:pic>
                  <pic:nvPicPr>
                    <pic:cNvPr descr="./../../images/Randall-STS.png" id="0" name="Picture"/>
                    <pic:cNvPicPr>
                      <a:picLocks noChangeArrowheads="1" noChangeAspect="1"/>
                    </pic:cNvPicPr>
                  </pic:nvPicPr>
                  <pic:blipFill>
                    <a:blip r:embed="rId35"/>
                    <a:stretch>
                      <a:fillRect/>
                    </a:stretch>
                  </pic:blipFill>
                  <pic:spPr bwMode="auto">
                    <a:xfrm>
                      <a:off x="0" y="0"/>
                      <a:ext cx="5334000" cy="2474886"/>
                    </a:xfrm>
                    <a:prstGeom prst="rect">
                      <a:avLst/>
                    </a:prstGeom>
                    <a:noFill/>
                    <a:ln w="9525">
                      <a:noFill/>
                      <a:headEnd/>
                      <a:tailEnd/>
                    </a:ln>
                  </pic:spPr>
                </pic:pic>
              </a:graphicData>
            </a:graphic>
          </wp:inline>
        </w:drawing>
      </w:r>
    </w:p>
    <w:p>
      <w:r>
        <w:t xml:space="preserve">If Randall’s diagram is turned on it’s side it resembles the V-model introduced by Rook for software project engineering</w:t>
      </w:r>
      <w:r>
        <w:t xml:space="preserve"> </w:t>
      </w:r>
      <w:r>
        <w:t xml:space="preserve">(</w:t>
      </w:r>
      <w:r>
        <w:rPr>
          <w:b/>
        </w:rPr>
        <w:t xml:space="preserve">???</w:t>
      </w:r>
      <w:r>
        <w:t xml:space="preserve">)</w:t>
      </w:r>
      <w:r>
        <w:t xml:space="preserve">. Rook’s concept (see figure below) was subsequently adopted by the Systems Engineering community</w:t>
      </w:r>
      <w:r>
        <w:t xml:space="preserve"> </w:t>
      </w:r>
      <w:r>
        <w:t xml:space="preserve">(Mooz and Forsberg 1997,</w:t>
      </w:r>
      <w:r>
        <w:t xml:space="preserve"> </w:t>
      </w:r>
      <w:r>
        <w:t xml:space="preserve">(</w:t>
      </w:r>
      <w:r>
        <w:rPr>
          <w:b/>
        </w:rPr>
        <w:t xml:space="preserve">???</w:t>
      </w:r>
      <w:r>
        <w:t xml:space="preserve">)</w:t>
      </w:r>
      <w:r>
        <w:t xml:space="preserve">,</w:t>
      </w:r>
      <w:r>
        <w:t xml:space="preserve"> </w:t>
      </w:r>
      <w:r>
        <w:t xml:space="preserve">Estefan (2007)</w:t>
      </w:r>
      <w:r>
        <w:t xml:space="preserve">)</w:t>
      </w:r>
      <w:r>
        <w:t xml:space="preserve">.</w:t>
      </w:r>
    </w:p>
    <w:p>
      <w:r>
        <w:drawing>
          <wp:inline>
            <wp:extent cx="5334000" cy="4446920"/>
            <wp:effectExtent b="0" l="0" r="0" t="0"/>
            <wp:docPr descr="" id="1" name="Picture"/>
            <a:graphic>
              <a:graphicData uri="http://schemas.openxmlformats.org/drawingml/2006/picture">
                <pic:pic>
                  <pic:nvPicPr>
                    <pic:cNvPr descr="./../../images/Rook1986.png" id="0" name="Picture"/>
                    <pic:cNvPicPr>
                      <a:picLocks noChangeArrowheads="1" noChangeAspect="1"/>
                    </pic:cNvPicPr>
                  </pic:nvPicPr>
                  <pic:blipFill>
                    <a:blip r:embed="rId36"/>
                    <a:stretch>
                      <a:fillRect/>
                    </a:stretch>
                  </pic:blipFill>
                  <pic:spPr bwMode="auto">
                    <a:xfrm>
                      <a:off x="0" y="0"/>
                      <a:ext cx="5334000" cy="4446920"/>
                    </a:xfrm>
                    <a:prstGeom prst="rect">
                      <a:avLst/>
                    </a:prstGeom>
                    <a:noFill/>
                    <a:ln w="9525">
                      <a:noFill/>
                      <a:headEnd/>
                      <a:tailEnd/>
                    </a:ln>
                  </pic:spPr>
                </pic:pic>
              </a:graphicData>
            </a:graphic>
          </wp:inline>
        </w:drawing>
      </w:r>
    </w:p>
    <w:p>
      <w:r>
        <w:t xml:space="preserve">If Randall’s diagram of STS is analogous to the V-model used in Systems Engineering the it would be fortunate and perhaps assuring that legislative theory had produced a similar procedure as the well-established methods of Systems Engineering.</w:t>
      </w:r>
    </w:p>
    <w:p>
      <w:r>
        <w:t xml:space="preserve">The figure below shows a standard V-model. In the System’s Engineering terminology, pre-release would be roughly equivalent to pre-implementation, the left arm of the</w:t>
      </w:r>
      <w:r>
        <w:t xml:space="preserve"> </w:t>
      </w:r>
      <w:r>
        <w:t xml:space="preserve">‘</w:t>
      </w:r>
      <w:r>
        <w:t xml:space="preserve">V</w:t>
      </w:r>
      <w:r>
        <w:t xml:space="preserve">’</w:t>
      </w:r>
      <w:r>
        <w:t xml:space="preserve">. Screening equal to the requirements gathering and design phase of the left arm of the</w:t>
      </w:r>
      <w:r>
        <w:t xml:space="preserve"> </w:t>
      </w:r>
      <w:r>
        <w:t xml:space="preserve">‘</w:t>
      </w:r>
      <w:r>
        <w:t xml:space="preserve">V</w:t>
      </w:r>
      <w:r>
        <w:t xml:space="preserve">’</w:t>
      </w:r>
      <w:r>
        <w:t xml:space="preserve">.. Post-release surveillance is post-implementation operations and maintenance in the right arm of the</w:t>
      </w:r>
      <w:r>
        <w:t xml:space="preserve"> </w:t>
      </w:r>
      <w:r>
        <w:t xml:space="preserve">‘</w:t>
      </w:r>
      <w:r>
        <w:t xml:space="preserve">V</w:t>
      </w:r>
      <w:r>
        <w:t xml:space="preserve">’</w:t>
      </w:r>
      <w:r>
        <w:t xml:space="preserve">.</w:t>
      </w:r>
    </w:p>
    <w:p>
      <w:r>
        <w:drawing>
          <wp:inline>
            <wp:extent cx="3238500" cy="2870200"/>
            <wp:effectExtent b="0" l="0" r="0" t="0"/>
            <wp:docPr descr="" id="1" name="Picture"/>
            <a:graphic>
              <a:graphicData uri="http://schemas.openxmlformats.org/drawingml/2006/picture">
                <pic:pic>
                  <pic:nvPicPr>
                    <pic:cNvPr descr="./../../images/V-model.png" id="0" name="Picture"/>
                    <pic:cNvPicPr>
                      <a:picLocks noChangeArrowheads="1" noChangeAspect="1"/>
                    </pic:cNvPicPr>
                  </pic:nvPicPr>
                  <pic:blipFill>
                    <a:blip r:embed="rId37"/>
                    <a:stretch>
                      <a:fillRect/>
                    </a:stretch>
                  </pic:blipFill>
                  <pic:spPr bwMode="auto">
                    <a:xfrm>
                      <a:off x="0" y="0"/>
                      <a:ext cx="3238500" cy="2870200"/>
                    </a:xfrm>
                    <a:prstGeom prst="rect">
                      <a:avLst/>
                    </a:prstGeom>
                    <a:noFill/>
                    <a:ln w="9525">
                      <a:noFill/>
                      <a:headEnd/>
                      <a:tailEnd/>
                    </a:ln>
                  </pic:spPr>
                </pic:pic>
              </a:graphicData>
            </a:graphic>
          </wp:inline>
        </w:drawing>
      </w:r>
    </w:p>
    <w:p>
      <w:r>
        <w:t xml:space="preserve">The notable difference between the Systems Engineering method and Randall’s STS method is the intended realm of application. STS is aimed at a higher level of societal governance rather than a project mission execution. If the V-model from Systems Engineering were enhanced to be used as a governance tool, one might introduce a prohibition arrow in the pre-implementation phase. The figure below depicts this enhancement.</w:t>
      </w:r>
    </w:p>
    <w:p>
      <w:r>
        <w:drawing>
          <wp:inline>
            <wp:extent cx="3378200" cy="3289300"/>
            <wp:effectExtent b="0" l="0" r="0" t="0"/>
            <wp:docPr descr="" id="1" name="Picture"/>
            <a:graphic>
              <a:graphicData uri="http://schemas.openxmlformats.org/drawingml/2006/picture">
                <pic:pic>
                  <pic:nvPicPr>
                    <pic:cNvPr descr="./../../images/V-govern.png" id="0" name="Picture"/>
                    <pic:cNvPicPr>
                      <a:picLocks noChangeArrowheads="1" noChangeAspect="1"/>
                    </pic:cNvPicPr>
                  </pic:nvPicPr>
                  <pic:blipFill>
                    <a:blip r:embed="rId38"/>
                    <a:stretch>
                      <a:fillRect/>
                    </a:stretch>
                  </pic:blipFill>
                  <pic:spPr bwMode="auto">
                    <a:xfrm>
                      <a:off x="0" y="0"/>
                      <a:ext cx="3378200" cy="3289300"/>
                    </a:xfrm>
                    <a:prstGeom prst="rect">
                      <a:avLst/>
                    </a:prstGeom>
                    <a:noFill/>
                    <a:ln w="9525">
                      <a:noFill/>
                      <a:headEnd/>
                      <a:tailEnd/>
                    </a:ln>
                  </pic:spPr>
                </pic:pic>
              </a:graphicData>
            </a:graphic>
          </wp:inline>
        </w:drawing>
      </w:r>
    </w:p>
    <w:p>
      <w:r>
        <w:t xml:space="preserve">In placing prohibition on the left-arm of the</w:t>
      </w:r>
      <w:r>
        <w:t xml:space="preserve"> </w:t>
      </w:r>
      <w:r>
        <w:t xml:space="preserve">‘</w:t>
      </w:r>
      <w:r>
        <w:t xml:space="preserve">V</w:t>
      </w:r>
      <w:r>
        <w:t xml:space="preserve">’</w:t>
      </w:r>
      <w:r>
        <w:t xml:space="preserve">, we might also consider the governance aspect of the right-arm of the</w:t>
      </w:r>
      <w:r>
        <w:t xml:space="preserve"> </w:t>
      </w:r>
      <w:r>
        <w:t xml:space="preserve">‘</w:t>
      </w:r>
      <w:r>
        <w:t xml:space="preserve">V</w:t>
      </w:r>
      <w:r>
        <w:t xml:space="preserve">’</w:t>
      </w:r>
      <w:r>
        <w:t xml:space="preserve"> </w:t>
      </w:r>
      <w:r>
        <w:t xml:space="preserve">- what happens if the management systems fail? As noted above, the system is operating in a civil context, where the main reparations are conducted under MGM’s. Hence we can extend the simple V-model further to depict the reparations required for civilians when operations go wrong as shown in the figure below.</w:t>
      </w:r>
    </w:p>
    <w:p>
      <w:r>
        <w:drawing>
          <wp:inline>
            <wp:extent cx="4381500" cy="3111500"/>
            <wp:effectExtent b="0" l="0" r="0" t="0"/>
            <wp:docPr descr="" id="1" name="Picture"/>
            <a:graphic>
              <a:graphicData uri="http://schemas.openxmlformats.org/drawingml/2006/picture">
                <pic:pic>
                  <pic:nvPicPr>
                    <pic:cNvPr descr="./../../images/V-mg.png" id="0" name="Picture"/>
                    <pic:cNvPicPr>
                      <a:picLocks noChangeArrowheads="1" noChangeAspect="1"/>
                    </pic:cNvPicPr>
                  </pic:nvPicPr>
                  <pic:blipFill>
                    <a:blip r:embed="rId39"/>
                    <a:stretch>
                      <a:fillRect/>
                    </a:stretch>
                  </pic:blipFill>
                  <pic:spPr bwMode="auto">
                    <a:xfrm>
                      <a:off x="0" y="0"/>
                      <a:ext cx="4381500" cy="3111500"/>
                    </a:xfrm>
                    <a:prstGeom prst="rect">
                      <a:avLst/>
                    </a:prstGeom>
                    <a:noFill/>
                    <a:ln w="9525">
                      <a:noFill/>
                      <a:headEnd/>
                      <a:tailEnd/>
                    </a:ln>
                  </pic:spPr>
                </pic:pic>
              </a:graphicData>
            </a:graphic>
          </wp:inline>
        </w:drawing>
      </w:r>
    </w:p>
    <w:p>
      <w:r>
        <w:t xml:space="preserve">In order for the framework to achieve these goals, it is important that it provides comprehensive references to the scientific information and data framework it intends on using, or indeed any scientific information it has consulted. Demonstrable scientific underpinning will assist in community and industry education, and improvement in developing and implementing leading practices</w:t>
      </w:r>
      <w:r>
        <w:t xml:space="preserve"> </w:t>
      </w:r>
      <w:r>
        <w:t xml:space="preserve">(Hunter and Garnett 2013)</w:t>
      </w:r>
      <w:r>
        <w:t xml:space="preserve">.</w:t>
      </w:r>
    </w:p>
    <w:p>
      <w:r>
        <w:t xml:space="preserve">practical steps to measure, share and analyse environmental data across jurisdictions</w:t>
      </w:r>
      <w:r>
        <w:t xml:space="preserve"> </w:t>
      </w:r>
      <w:r>
        <w:t xml:space="preserve">(</w:t>
      </w:r>
      <w:r>
        <w:t xml:space="preserve">ANEDO</w:t>
      </w:r>
      <w:r>
        <w:t xml:space="preserve"> </w:t>
      </w:r>
      <w:r>
        <w:t xml:space="preserve">2013)</w:t>
      </w:r>
      <w:r>
        <w:t xml:space="preserve">.</w:t>
      </w:r>
    </w:p>
    <w:p>
      <w:r>
        <w:t xml:space="preserve">As noted in the Harmonisation Framework, QLD applies an adaptive management approach. In this approach, defined trigger thresholds are used to initiate the make-good process</w:t>
      </w:r>
      <w:r>
        <w:t xml:space="preserve"> </w:t>
      </w:r>
      <w:r>
        <w:t xml:space="preserve">(</w:t>
      </w:r>
      <w:r>
        <w:t xml:space="preserve">SCER</w:t>
      </w:r>
      <w:r>
        <w:t xml:space="preserve"> </w:t>
      </w:r>
      <w:r>
        <w:t xml:space="preserve">and Resources 2013, 47)</w:t>
      </w:r>
      <w:r>
        <w:t xml:space="preserve">.</w:t>
      </w:r>
    </w:p>
    <w:p>
      <w:pPr>
        <w:pStyle w:val="Heading2"/>
      </w:pPr>
      <w:bookmarkStart w:id="40" w:name="strict-liability"/>
      <w:bookmarkEnd w:id="40"/>
      <w:r>
        <w:t xml:space="preserve">Strict Liability</w:t>
      </w:r>
    </w:p>
    <w:p>
      <w:r>
        <w:t xml:space="preserve">With reference to the two recommendations made above, Taylor [Ibid] went on to suggest that where UE producers use water resources, they should carry the costs associated with any impacts from activities. This view concurs with the views of landholders, who wish to receive appropriate compensation and payments</w:t>
      </w:r>
      <w:r>
        <w:t xml:space="preserve"> </w:t>
      </w:r>
      <w:r>
        <w:t xml:space="preserve">(</w:t>
      </w:r>
      <w:r>
        <w:t xml:space="preserve">VFF</w:t>
      </w:r>
      <w:r>
        <w:t xml:space="preserve"> </w:t>
      </w:r>
      <w:r>
        <w:t xml:space="preserve">2013,)</w:t>
      </w:r>
      <w:r>
        <w:t xml:space="preserve">.</w:t>
      </w:r>
    </w:p>
    <w:p>
      <w:r>
        <w:t xml:space="preserve">Strict liability is the imposition of liability on a party without a finding of fault. The question is whether UE producers have would therefore be afforded to the tortfeasor.</w:t>
      </w:r>
    </w:p>
    <w:p>
      <w:r>
        <w:t xml:space="preserve">In this context the NWC recommended that that bonds and sureties should deal with uncertainty and the timeframes associated with potential impacts</w:t>
      </w:r>
      <w:r>
        <w:t xml:space="preserve"> </w:t>
      </w:r>
      <w:r>
        <w:t xml:space="preserve">(</w:t>
      </w:r>
      <w:r>
        <w:t xml:space="preserve">NWC</w:t>
      </w:r>
      <w:r>
        <w:t xml:space="preserve"> </w:t>
      </w:r>
      <w:r>
        <w:t xml:space="preserve">2010)</w:t>
      </w:r>
      <w:r>
        <w:t xml:space="preserve">. As the NWC noted, these time frames may potentially extend past 100 years, which is well-beyond the expected life-span of the CSG recovery process.</w:t>
      </w:r>
    </w:p>
    <w:p>
      <w:r>
        <w:t xml:space="preserve">“</w:t>
      </w:r>
      <w:r>
        <w:t xml:space="preserve">This includes impacts such as long-term reductions in adjacent aquifer pressures and levels, and impacts on environmental assets that are not adequately protected by current â€˜make goodâ€™ mechanisms</w:t>
      </w:r>
      <w:r>
        <w:t xml:space="preserve">”</w:t>
      </w:r>
      <w:r>
        <w:t xml:space="preserve"> </w:t>
      </w:r>
      <w:r>
        <w:t xml:space="preserve">(</w:t>
      </w:r>
      <w:r>
        <w:t xml:space="preserve">NWC</w:t>
      </w:r>
      <w:r>
        <w:t xml:space="preserve"> </w:t>
      </w:r>
      <w:r>
        <w:t xml:space="preserve">2010)</w:t>
      </w:r>
      <w:r>
        <w:t xml:space="preserve">.</w:t>
      </w:r>
    </w:p>
    <w:p>
      <w:r>
        <w:t xml:space="preserve">“</w:t>
      </w:r>
      <w:r>
        <w:t xml:space="preserve">risk assessment model must include a definition of â€˜unacceptable impactsâ€™ to the environment and human health and any projects falling in this category should not be allowed to proceed. Risk assessment should not be undertaken by the proponent but by an independent third party.</w:t>
      </w:r>
      <w:r>
        <w:t xml:space="preserve">”</w:t>
      </w:r>
      <w:r>
        <w:t xml:space="preserve"> </w:t>
      </w:r>
      <w:r>
        <w:t xml:space="preserve">… â€œVerification of key system elementsâ€ should not rely on appraisal by â€œin house representativesâ€ but rather only â€œindependent third-party professional[s]â€.</w:t>
      </w:r>
      <w:r>
        <w:t xml:space="preserve"> </w:t>
      </w:r>
      <w:r>
        <w:t xml:space="preserve">(Boudicca 2013)</w:t>
      </w:r>
    </w:p>
    <w:p>
      <w:pPr>
        <w:pStyle w:val="Heading2"/>
      </w:pPr>
      <w:bookmarkStart w:id="41" w:name="connection-between-risk-liability-and-make-good"/>
      <w:bookmarkEnd w:id="41"/>
      <w:r>
        <w:t xml:space="preserve">Connection between Risk, Liability and Make Good</w:t>
      </w:r>
    </w:p>
    <w:p>
      <w:r>
        <w:t xml:space="preserve">“</w:t>
      </w:r>
      <w:r>
        <w:t xml:space="preserve">At the project level, the cumulative effects of many wells across the landscape will challenge the feasibility of making good. Another challenge arises because the impacts on aquifers are likely to play out on a time-scale of many decades and perhaps centuries, whereas the time-scale of CSG extraction is shorter.</w:t>
      </w:r>
      <w:r>
        <w:t xml:space="preserve">”</w:t>
      </w:r>
    </w:p>
    <w:p>
      <w:r>
        <w:t xml:space="preserve">“</w:t>
      </w:r>
      <w:r>
        <w:t xml:space="preserve">At the basin level, which really matters in the CSG case where so much of the action will impact the GAB, the cumulative impacts over several centuries are (I would argue) near-impossible to predict.</w:t>
      </w:r>
      <w:r>
        <w:t xml:space="preserve">”</w:t>
      </w:r>
      <w:r>
        <w:t xml:space="preserve"> </w:t>
      </w:r>
      <w:r>
        <w:t xml:space="preserve">(Randall 2012, 154)</w:t>
      </w:r>
      <w:r>
        <w:t xml:space="preserve">.</w:t>
      </w:r>
    </w:p>
    <w:p>
      <w:r>
        <w:t xml:space="preserve">This introduces both cumulative impacts, and uncertainty into the risk assessment.</w:t>
      </w:r>
    </w:p>
    <w:p>
      <w:pPr>
        <w:pStyle w:val="Heading3"/>
      </w:pPr>
      <w:bookmarkStart w:id="42" w:name="cumulative-effects"/>
      <w:bookmarkEnd w:id="42"/>
      <w:r>
        <w:t xml:space="preserve">Cumulative Effects</w:t>
      </w:r>
    </w:p>
    <w:p>
      <w:r>
        <w:t xml:space="preserve">As noted by the National Water Comission (NWC), in the context of groundwater, these costs may have the potential to persist beyond the life cycle of the UE production</w:t>
      </w:r>
    </w:p>
    <w:p>
      <w:r>
        <w:t xml:space="preserve">This raises concern over the temporal extent of liability. The tort</w:t>
      </w:r>
      <w:r>
        <w:t xml:space="preserve"> </w:t>
      </w:r>
      <w:r>
        <w:t xml:space="preserve">“</w:t>
      </w:r>
      <w:r>
        <w:t xml:space="preserve">civil wrong</w:t>
      </w:r>
      <w:r>
        <w:t xml:space="preserve">”</w:t>
      </w:r>
    </w:p>
    <w:p>
      <w:r>
        <w:t xml:space="preserve">The term</w:t>
      </w:r>
      <w:r>
        <w:t xml:space="preserve"> </w:t>
      </w:r>
      <w:r>
        <w:t xml:space="preserve">“</w:t>
      </w:r>
      <w:r>
        <w:t xml:space="preserve">cumulative effect</w:t>
      </w:r>
      <w:r>
        <w:t xml:space="preserve">”</w:t>
      </w:r>
      <w:r>
        <w:t xml:space="preserve"> </w:t>
      </w:r>
      <w:r>
        <w:t xml:space="preserve">is used to conceptualise this temporal extent of liability.</w:t>
      </w:r>
    </w:p>
    <w:p>
      <w:r>
        <w:t xml:space="preserve">Cumulative effects are effects that are successive or incremental over time</w:t>
      </w:r>
      <w:r>
        <w:t xml:space="preserve"> </w:t>
      </w:r>
      <w:r>
        <w:t xml:space="preserve">(Howe et al. 2010)</w:t>
      </w:r>
      <w:r>
        <w:t xml:space="preserve">. Whilst Taylor’s discussion was framed within the context of negative effects, the concept of cumulative effect was designed not to have pejorative content, but to recognise that cumulative effects on society, the economy and the environment can be conceived as either positive or negative, or a combination of the two at any one time.</w:t>
      </w:r>
    </w:p>
    <w:p>
      <w:r>
        <w:t xml:space="preserve">In a legal context, this raises the question of whether such cumulative effects are held as unavoidable, or whether liability is</w:t>
      </w:r>
      <w:r>
        <w:t xml:space="preserve"> </w:t>
      </w:r>
      <w:r>
        <w:rPr>
          <w:i/>
        </w:rPr>
        <w:t xml:space="preserve">res ipsa loquitur</w:t>
      </w:r>
      <w:r>
        <w:t xml:space="preserve">: That is, where negligence is attributed by the evidence of cumulative impact, rather than by breach of duty</w:t>
      </w:r>
      <w:r>
        <w:t xml:space="preserve"> </w:t>
      </w:r>
      <w:r>
        <w:t xml:space="preserve">(Schremmer 2011)</w:t>
      </w:r>
      <w:r>
        <w:t xml:space="preserve">.</w:t>
      </w:r>
    </w:p>
    <w:p>
      <w:r>
        <w:t xml:space="preserve">The resolution of this question has legal consequence in the calculation of risk, and in the perceived risk, since the granting the status of unavoidable, would appear to reduce liability claims by the plaintiff, and the associated risk of the operation.</w:t>
      </w:r>
    </w:p>
    <w:p>
      <w:r>
        <w:t xml:space="preserve">The notion of scaling precautionary, or corrective (so-called</w:t>
      </w:r>
      <w:r>
        <w:t xml:space="preserve"> </w:t>
      </w:r>
      <w:r>
        <w:t xml:space="preserve">“</w:t>
      </w:r>
      <w:r>
        <w:t xml:space="preserve">make good</w:t>
      </w:r>
      <w:r>
        <w:t xml:space="preserve">”</w:t>
      </w:r>
      <w:r>
        <w:t xml:space="preserve">) actions in response to information is encompassed in the concept of Adaptive Environmental Management (AEM). In the context of groundwater a Groundwater Model Multi Criteria Analysis (GMMCA) was proposed as an enhanced a Multi Criteria Analysis (MCA) designed to incorporate geological, hydrological, environmental and economic attributes within the AEM paradigm</w:t>
      </w:r>
      <w:r>
        <w:t xml:space="preserve"> </w:t>
      </w:r>
      <w:r>
        <w:t xml:space="preserve">(Beckers, Cook, and Butcher 2013)</w:t>
      </w:r>
      <w:r>
        <w:t xml:space="preserve">. Both the GMMCA, and the concept of scaling precaution have the intent to enable regulatory flexibility, and to refine and improve risk mapping over time</w:t>
      </w:r>
      <w:r>
        <w:t xml:space="preserve"> </w:t>
      </w:r>
      <w:r>
        <w:t xml:space="preserve">(Beckers, Cook, and Butcher 2013)</w:t>
      </w:r>
      <w:r>
        <w:t xml:space="preserve">.</w:t>
      </w:r>
    </w:p>
    <w:p>
      <w:r>
        <w:t xml:space="preserve">For Taylor precautionary measures be scaled according to information available about impacts</w:t>
      </w:r>
      <w:r>
        <w:t xml:space="preserve"> </w:t>
      </w:r>
      <w:r>
        <w:t xml:space="preserve">(Taylor 2012, 11)</w:t>
      </w:r>
      <w:r>
        <w:t xml:space="preserve">. As a part of this flexibility, Beckers et al recommend that adaptive methodologies include the temporal aspect within risk assessment</w:t>
      </w:r>
      <w:r>
        <w:t xml:space="preserve"> </w:t>
      </w:r>
      <w:r>
        <w:t xml:space="preserve">(Beckers, Cook, and Butcher 2013, p.iii)</w:t>
      </w:r>
      <w:r>
        <w:t xml:space="preserve">, with the ability to track long term effects. This type of recommendation implies a long term monitoring effort with associated hydrology data storage technologies for meta-data, and timeseries data. And in addition to these usual types of data, the temportal aspect of risk should also thereofre be stored.</w:t>
      </w:r>
    </w:p>
    <w:p>
      <w:r>
        <w:t xml:space="preserve">The attempt to integrate these enhancements in Australia has highlighted legislative and technical gaps. It is the intention of this review to document some of these gaps as noted in the literature, and within the technical community. Finally, potential solutions are proposed as a goals for future research with specific interest in the visualisation of risk as a management tool.</w:t>
      </w:r>
    </w:p>
    <w:p>
      <w:pPr>
        <w:pStyle w:val="Heading2"/>
      </w:pPr>
      <w:bookmarkStart w:id="43" w:name="proposed-legislative-enhancements"/>
      <w:bookmarkEnd w:id="43"/>
      <w:r>
        <w:t xml:space="preserve">Proposed Legislative Enhancements</w:t>
      </w:r>
    </w:p>
    <w:p>
      <w:pPr>
        <w:pStyle w:val="Heading2"/>
      </w:pPr>
      <w:bookmarkStart w:id="44" w:name="risk-management"/>
      <w:bookmarkEnd w:id="44"/>
      <w:r>
        <w:t xml:space="preserve">Risk Management</w:t>
      </w:r>
    </w:p>
    <w:p>
      <w:r>
        <w:t xml:space="preserve">The Purple Book</w:t>
      </w:r>
      <w:r>
        <w:t xml:space="preserve"> </w:t>
      </w:r>
      <w:r>
        <w:t xml:space="preserve">(Stoffen 2005)</w:t>
      </w:r>
    </w:p>
    <w:p>
      <w:r>
        <w:t xml:space="preserve">Risk management broadly considered consists of risk identification and analysis, evaluation and control</w:t>
      </w:r>
      <w:r>
        <w:t xml:space="preserve"> </w:t>
      </w:r>
      <w:r>
        <w:t xml:space="preserve">(Baker, Ponniah, and Smith 1998)</w:t>
      </w:r>
      <w:r>
        <w:t xml:space="preserve">. Randall has suggested that the spectrum of risk management strategies has the precautionary principle at one pole, and ordinary risk management (ORM) at the other. This spectrum might be characterised as a risk-control trade off</w:t>
      </w:r>
      <w:r>
        <w:t xml:space="preserve"> </w:t>
      </w:r>
      <w:r>
        <w:t xml:space="preserve">(</w:t>
      </w:r>
      <w:r>
        <w:rPr>
          <w:b/>
        </w:rPr>
        <w:t xml:space="preserve">???</w:t>
      </w:r>
      <w:r>
        <w:t xml:space="preserve">)</w:t>
      </w:r>
      <w:r>
        <w:t xml:space="preserve">, where the precautionary strategy maximizes control by minimizing risk with a potential repression of innovation, and the ORM strategy maximizes utility by accepting increased risk of failure, or even a continuing sequence of disasters</w:t>
      </w:r>
      <w:r>
        <w:t xml:space="preserve"> </w:t>
      </w:r>
      <w:r>
        <w:t xml:space="preserve">(Randall 2012, 157)</w:t>
      </w:r>
      <w:r>
        <w:t xml:space="preserve">.</w:t>
      </w:r>
    </w:p>
    <w:p>
      <w:r>
        <w:t xml:space="preserve">“</w:t>
      </w:r>
      <w:r>
        <w:t xml:space="preserve">The distinction between ORM and precautionary approaches lies less in the risk management tools that may be invoked, but in the assessment of risk, the decision rules applied and the timing of intervention.</w:t>
      </w:r>
      <w:r>
        <w:t xml:space="preserve">”</w:t>
      </w:r>
      <w:r>
        <w:t xml:space="preserve">"</w:t>
      </w:r>
      <w:r>
        <w:t xml:space="preserve"> </w:t>
      </w:r>
      <w:r>
        <w:t xml:space="preserve">(Randall 2012, 158)</w:t>
      </w:r>
      <w:r>
        <w:t xml:space="preserve">.</w:t>
      </w:r>
    </w:p>
    <w:p>
      <w:r>
        <w:t xml:space="preserve">Model uncertainty and</w:t>
      </w:r>
      <w:r>
        <w:t xml:space="preserve"> </w:t>
      </w:r>
      <w:r>
        <w:t xml:space="preserve">“</w:t>
      </w:r>
      <w:r>
        <w:t xml:space="preserve">unknown unknowns</w:t>
      </w:r>
      <w:r>
        <w:t xml:space="preserve">”</w:t>
      </w:r>
      <w:r>
        <w:t xml:space="preserve"> </w:t>
      </w:r>
      <w:r>
        <w:t xml:space="preserve">provides a difficulty to OSM, which as Randall states,</w:t>
      </w:r>
      <w:r>
        <w:t xml:space="preserve"> </w:t>
      </w:r>
      <w:r>
        <w:t xml:space="preserve">“</w:t>
      </w:r>
      <w:r>
        <w:t xml:space="preserve">.. is built upon the paradigm case of well-specified games of chances in which outcome possibilities are known, as are their probabilities</w:t>
      </w:r>
      <w:r>
        <w:t xml:space="preserve">”</w:t>
      </w:r>
      <w:r>
        <w:t xml:space="preserve"> </w:t>
      </w:r>
      <w:r>
        <w:t xml:space="preserve">(Randall 2012, 158)</w:t>
      </w:r>
      <w:r>
        <w:t xml:space="preserve">. When probabilities are not known due to uncertainty, then the precautionary approach appears to win.</w:t>
      </w:r>
    </w:p>
    <w:p>
      <w:r>
        <w:t xml:space="preserve">An incremental where we start with the precautionary at the top of the V and then descending down the left arm is the prohibition arm. The deployment arm is the monitoring and verification arm. Once the system is in this phase, any failure will generate an impact which will need a risk management tool to come into effect, with the associated costs.</w:t>
      </w:r>
    </w:p>
    <w:p>
      <w:r>
        <w:t xml:space="preserve">ORM aims to</w:t>
      </w:r>
      <w:r>
        <w:t xml:space="preserve"> </w:t>
      </w:r>
      <w:r>
        <w:t xml:space="preserve">“</w:t>
      </w:r>
      <w:r>
        <w:t xml:space="preserve">defer risk-management intervention</w:t>
      </w:r>
      <w:r>
        <w:t xml:space="preserve">”</w:t>
      </w:r>
      <w:r>
        <w:t xml:space="preserve"> </w:t>
      </w:r>
      <w:r>
        <w:t xml:space="preserve">&amp;</w:t>
      </w:r>
      <w:r>
        <w:t xml:space="preserve"> </w:t>
      </w:r>
      <w:r>
        <w:t xml:space="preserve">“</w:t>
      </w:r>
      <w:r>
        <w:t xml:space="preserve">unconvincing responses to the challenge of low-probability, high-damage threats.</w:t>
      </w:r>
      <w:r>
        <w:t xml:space="preserve">”</w:t>
      </w:r>
      <w:r>
        <w:t xml:space="preserve">"</w:t>
      </w:r>
      <w:r>
        <w:t xml:space="preserve"> </w:t>
      </w:r>
      <w:r>
        <w:t xml:space="preserve">(Randall 2012, 158)</w:t>
      </w:r>
      <w:r>
        <w:t xml:space="preserve">.</w:t>
      </w:r>
    </w:p>
    <w:p>
      <w:pPr>
        <w:pStyle w:val="Heading2"/>
      </w:pPr>
      <w:bookmarkStart w:id="45" w:name="risk-management-tools"/>
      <w:bookmarkEnd w:id="45"/>
      <w:r>
        <w:t xml:space="preserve">Risk management tools</w:t>
      </w:r>
    </w:p>
    <w:p>
      <w:r>
        <w:t xml:space="preserve">The toolkit for managing private risks may still be organised into Ehrlich and Beckerâ€™s classic categories of market insurance, self-insurance and self-protection.7</w:t>
      </w:r>
    </w:p>
    <w:p>
      <w:pPr>
        <w:pStyle w:val="Compact"/>
        <w:numPr>
          <w:numId w:val="1003"/>
          <w:ilvl w:val="0"/>
        </w:numPr>
      </w:pPr>
      <w:r>
        <w:t xml:space="preserve">Market insurance: individuals and firms buy insurance policies</w:t>
      </w:r>
    </w:p>
    <w:p>
      <w:pPr>
        <w:pStyle w:val="Compact"/>
        <w:numPr>
          <w:numId w:val="1003"/>
          <w:ilvl w:val="0"/>
        </w:numPr>
      </w:pPr>
      <w:r>
        <w:t xml:space="preserve">Self-insurance: firm sets aside resources sufficient to survive losses</w:t>
      </w:r>
    </w:p>
    <w:p>
      <w:pPr>
        <w:pStyle w:val="Compact"/>
        <w:numPr>
          <w:numId w:val="1003"/>
          <w:ilvl w:val="0"/>
        </w:numPr>
      </w:pPr>
      <w:r>
        <w:t xml:space="preserve">Self-protection: measures that prevent or mitigate bad outcomes</w:t>
      </w:r>
    </w:p>
    <w:p>
      <w:r>
        <w:t xml:space="preserve">Make Good is one of the risk management tools. However it is not</w:t>
      </w:r>
    </w:p>
    <w:p>
      <w:r>
        <w:t xml:space="preserve">The risks cited in the literature are tabulated below:</w:t>
      </w:r>
    </w:p>
    <w:tbl>
      <w:tblPr>
        <w:tblStyle w:val="TableNormal"/>
        <w:tblW w:type="pct" w:w="0.0"/>
      </w:tblPr>
      <w:tblGrid/>
      <w:t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Asset at Risk</w:t>
            </w:r>
          </w:p>
        </w:tc>
        <w:tc>
          <w:tcPr>
            <w:tcBorders>
              <w:bottom w:val="single"/>
            </w:tcBorders>
            <w:vAlign w:val="bottom"/>
          </w:tcPr>
          <w:p>
            <w:pPr>
              <w:pStyle w:val="Compact"/>
              <w:jc w:val="left"/>
            </w:pPr>
            <w:r>
              <w:t xml:space="preserve">Hazard</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Reference</w:t>
            </w:r>
          </w:p>
        </w:tc>
      </w:tr>
      <w:tr>
        <w:tc>
          <w:p>
            <w:pPr>
              <w:pStyle w:val="Compact"/>
              <w:jc w:val="left"/>
            </w:pPr>
            <w:r>
              <w:t xml:space="preserve">1.</w:t>
            </w:r>
          </w:p>
        </w:tc>
        <w:tc>
          <w:p>
            <w:pPr>
              <w:pStyle w:val="Compact"/>
              <w:jc w:val="left"/>
            </w:pPr>
            <w:r>
              <w:t xml:space="preserve">Aquifer</w:t>
            </w:r>
          </w:p>
        </w:tc>
        <w:tc>
          <w:p>
            <w:pPr>
              <w:pStyle w:val="Compact"/>
              <w:jc w:val="left"/>
            </w:pPr>
            <w:r>
              <w:t xml:space="preserve">Disturbance and irreparable damage</w:t>
            </w:r>
          </w:p>
        </w:tc>
        <w:tc>
          <w:p>
            <w:pPr>
              <w:pStyle w:val="Compact"/>
              <w:jc w:val="left"/>
            </w:pPr>
            <w:r>
              <w:t xml:space="preserve">Construction</w:t>
            </w:r>
          </w:p>
        </w:tc>
        <w:tc>
          <w:p>
            <w:pPr>
              <w:pStyle w:val="Compact"/>
              <w:jc w:val="left"/>
            </w:pPr>
            <w:r>
              <w:t xml:space="preserve">(Randall 2012, 155)</w:t>
            </w:r>
          </w:p>
        </w:tc>
      </w:tr>
      <w:tr>
        <w:tc>
          <w:p>
            <w:pPr>
              <w:pStyle w:val="Compact"/>
              <w:jc w:val="left"/>
            </w:pPr>
            <w:r>
              <w:t xml:space="preserve">2.</w:t>
            </w:r>
          </w:p>
        </w:tc>
        <w:tc>
          <w:p>
            <w:pPr>
              <w:pStyle w:val="Compact"/>
              <w:jc w:val="left"/>
            </w:pPr>
            <w:r>
              <w:t xml:space="preserve">Groundwater</w:t>
            </w:r>
          </w:p>
        </w:tc>
        <w:tc>
          <w:p>
            <w:pPr>
              <w:pStyle w:val="Compact"/>
              <w:jc w:val="left"/>
            </w:pPr>
            <w:r>
              <w:t xml:space="preserve">Methane migration</w:t>
            </w:r>
          </w:p>
        </w:tc>
        <w:tc>
          <w:p>
            <w:pPr>
              <w:pStyle w:val="Compact"/>
              <w:jc w:val="left"/>
            </w:pPr>
            <w:r>
              <w:t xml:space="preserve">Operations</w:t>
            </w:r>
          </w:p>
        </w:tc>
        <w:tc>
          <w:p>
            <w:pPr>
              <w:pStyle w:val="Compact"/>
              <w:jc w:val="left"/>
            </w:pPr>
            <w:r>
              <w:t xml:space="preserve">(Randall 2012, 155)</w:t>
            </w:r>
          </w:p>
        </w:tc>
      </w:tr>
      <w:tr>
        <w:tc>
          <w:p>
            <w:pPr>
              <w:pStyle w:val="Compact"/>
              <w:jc w:val="left"/>
            </w:pPr>
            <w:r>
              <w:t xml:space="preserve">3.</w:t>
            </w:r>
          </w:p>
        </w:tc>
        <w:tc>
          <w:p>
            <w:pPr>
              <w:pStyle w:val="Compact"/>
              <w:jc w:val="left"/>
            </w:pPr>
            <w:r>
              <w:t xml:space="preserve">Groundwater</w:t>
            </w:r>
          </w:p>
        </w:tc>
        <w:tc>
          <w:p>
            <w:pPr>
              <w:pStyle w:val="Compact"/>
              <w:jc w:val="left"/>
            </w:pPr>
            <w:r>
              <w:t xml:space="preserve">Contamination</w:t>
            </w:r>
          </w:p>
        </w:tc>
        <w:tc>
          <w:p>
            <w:pPr>
              <w:pStyle w:val="Compact"/>
              <w:jc w:val="left"/>
            </w:pPr>
            <w:r>
              <w:t xml:space="preserve">Soil</w:t>
            </w:r>
          </w:p>
        </w:tc>
        <w:tc>
          <w:p>
            <w:pPr>
              <w:pStyle w:val="Compact"/>
              <w:jc w:val="left"/>
            </w:pPr>
            <w:r>
              <w:t xml:space="preserve">(Randall 2012, 155)</w:t>
            </w:r>
          </w:p>
        </w:tc>
      </w:tr>
      <w:tr>
        <w:tc>
          <w:p>
            <w:pPr>
              <w:pStyle w:val="Compact"/>
              <w:jc w:val="left"/>
            </w:pPr>
            <w:r>
              <w:t xml:space="preserve">4.</w:t>
            </w:r>
          </w:p>
        </w:tc>
        <w:tc>
          <w:p>
            <w:pPr>
              <w:pStyle w:val="Compact"/>
              <w:jc w:val="left"/>
            </w:pPr>
            <w:r>
              <w:t xml:space="preserve">Groundwater</w:t>
            </w:r>
          </w:p>
        </w:tc>
        <w:tc>
          <w:p>
            <w:pPr>
              <w:pStyle w:val="Compact"/>
              <w:jc w:val="left"/>
            </w:pPr>
            <w:r>
              <w:t xml:space="preserve">Contamination</w:t>
            </w:r>
          </w:p>
        </w:tc>
        <w:tc>
          <w:p>
            <w:pPr>
              <w:pStyle w:val="Compact"/>
              <w:jc w:val="left"/>
            </w:pPr>
            <w:r>
              <w:t xml:space="preserve">Fracking fluid</w:t>
            </w:r>
          </w:p>
        </w:tc>
        <w:tc>
          <w:p>
            <w:pPr>
              <w:pStyle w:val="Compact"/>
              <w:jc w:val="left"/>
            </w:pPr>
            <w:r>
              <w:t xml:space="preserve">(Randall 2012, 155)</w:t>
            </w:r>
          </w:p>
        </w:tc>
      </w:tr>
      <w:tr>
        <w:tc>
          <w:p>
            <w:pPr>
              <w:pStyle w:val="Compact"/>
              <w:jc w:val="left"/>
            </w:pPr>
            <w:r>
              <w:t xml:space="preserve">5.</w:t>
            </w:r>
          </w:p>
        </w:tc>
        <w:tc>
          <w:p>
            <w:pPr>
              <w:pStyle w:val="Compact"/>
              <w:jc w:val="left"/>
            </w:pPr>
            <w:r>
              <w:t xml:space="preserve">Groundwater</w:t>
            </w:r>
          </w:p>
        </w:tc>
        <w:tc>
          <w:p>
            <w:pPr>
              <w:pStyle w:val="Compact"/>
              <w:jc w:val="left"/>
            </w:pPr>
            <w:r>
              <w:t xml:space="preserve">Contamination</w:t>
            </w:r>
          </w:p>
        </w:tc>
        <w:tc>
          <w:p>
            <w:pPr>
              <w:pStyle w:val="Compact"/>
              <w:jc w:val="left"/>
            </w:pPr>
            <w:r>
              <w:t xml:space="preserve">Machinary</w:t>
            </w:r>
          </w:p>
        </w:tc>
        <w:tc>
          <w:p>
            <w:pPr>
              <w:pStyle w:val="Compact"/>
              <w:jc w:val="left"/>
            </w:pPr>
            <w:r>
              <w:t xml:space="preserve">(Randall 2012, 155)</w:t>
            </w:r>
          </w:p>
        </w:tc>
      </w:tr>
      <w:tr>
        <w:tc>
          <w:p>
            <w:pPr>
              <w:pStyle w:val="Compact"/>
              <w:jc w:val="left"/>
            </w:pPr>
            <w:r>
              <w:t xml:space="preserve">6.</w:t>
            </w:r>
          </w:p>
        </w:tc>
        <w:tc>
          <w:p>
            <w:pPr>
              <w:pStyle w:val="Compact"/>
              <w:jc w:val="left"/>
            </w:pPr>
            <w:r>
              <w:t xml:space="preserve">Landmass</w:t>
            </w:r>
          </w:p>
        </w:tc>
        <w:tc>
          <w:p>
            <w:pPr>
              <w:pStyle w:val="Compact"/>
              <w:jc w:val="left"/>
            </w:pPr>
            <w:r>
              <w:t xml:space="preserve">Subsidence</w:t>
            </w:r>
          </w:p>
        </w:tc>
        <w:tc>
          <w:p>
            <w:pPr>
              <w:pStyle w:val="Compact"/>
              <w:jc w:val="left"/>
            </w:pPr>
            <w:r>
              <w:t xml:space="preserve">Gas extraction and lowering water tables creating voids</w:t>
            </w:r>
          </w:p>
        </w:tc>
        <w:tc>
          <w:p>
            <w:pPr>
              <w:pStyle w:val="Compact"/>
              <w:jc w:val="left"/>
            </w:pPr>
            <w:r>
              <w:t xml:space="preserve">(Randall 2012, 155)</w:t>
            </w:r>
          </w:p>
        </w:tc>
      </w:tr>
      <w:tr>
        <w:tc>
          <w:p>
            <w:pPr>
              <w:pStyle w:val="Compact"/>
              <w:jc w:val="left"/>
            </w:pPr>
            <w:r>
              <w:t xml:space="preserve">7.</w:t>
            </w:r>
          </w:p>
        </w:tc>
        <w:tc>
          <w:p>
            <w:pPr>
              <w:pStyle w:val="Compact"/>
              <w:jc w:val="left"/>
            </w:pPr>
            <w:r>
              <w:t xml:space="preserve">Ecosystems</w:t>
            </w:r>
          </w:p>
        </w:tc>
        <w:tc>
          <w:p>
            <w:pPr>
              <w:pStyle w:val="Compact"/>
              <w:jc w:val="left"/>
            </w:pPr>
            <w:r>
              <w:t xml:space="preserve">Habitat loss</w:t>
            </w:r>
          </w:p>
        </w:tc>
        <w:tc>
          <w:p>
            <w:pPr>
              <w:pStyle w:val="Compact"/>
              <w:jc w:val="left"/>
            </w:pPr>
            <w:r>
              <w:t xml:space="preserve">Construction &amp; operations</w:t>
            </w:r>
          </w:p>
        </w:tc>
        <w:tc>
          <w:p>
            <w:pPr>
              <w:pStyle w:val="Compact"/>
              <w:jc w:val="left"/>
            </w:pPr>
            <w:r>
              <w:t xml:space="preserve">(Randall 2012, 155)</w:t>
            </w:r>
          </w:p>
        </w:tc>
      </w:tr>
    </w:tbl>
    <w:p>
      <w:pPr>
        <w:pStyle w:val="Heading4"/>
      </w:pPr>
      <w:bookmarkStart w:id="46" w:name="make-good-agreements-mga-and-make-good-measures-mgm"/>
      <w:bookmarkEnd w:id="46"/>
      <w:r>
        <w:t xml:space="preserve">Make Good Agreements (MGA) and Make Good Measures (MGM)</w:t>
      </w:r>
    </w:p>
    <w:p>
      <w:r>
        <w:t xml:space="preserve">“</w:t>
      </w:r>
      <w:r>
        <w:t xml:space="preserve">A make good agreement is an arrangement between a tenure holder and water bore owner</w:t>
      </w:r>
      <w:r>
        <w:t xml:space="preserve">”</w:t>
      </w:r>
      <w:r>
        <w:t xml:space="preserve"> </w:t>
      </w:r>
      <w:r>
        <w:t xml:space="preserve">(</w:t>
      </w:r>
      <w:r>
        <w:t xml:space="preserve">EHP</w:t>
      </w:r>
      <w:r>
        <w:t xml:space="preserve"> </w:t>
      </w:r>
      <w:r>
        <w:t xml:space="preserve">and Planning 2013, 2)</w:t>
      </w:r>
      <w:r>
        <w:t xml:space="preserve">. Make good measures applies if the relevant authority believes that a bore is impaired. A make good measure is the measure a petroleum tenure holder will take if a bore has an impaired capacity.</w:t>
      </w:r>
      <w:r>
        <w:t xml:space="preserve"> </w:t>
      </w:r>
      <w:r>
        <w:t xml:space="preserve">(</w:t>
      </w:r>
      <w:r>
        <w:t xml:space="preserve">EHP</w:t>
      </w:r>
      <w:r>
        <w:t xml:space="preserve"> </w:t>
      </w:r>
      <w:r>
        <w:t xml:space="preserve">and Planning 2013, 2)</w:t>
      </w:r>
      <w:r>
        <w:t xml:space="preserve">. An impairment will (should) be documents in a bore report, and can be when a bore no longer supplies a reasonable quantity or quality of water for its authorised use or purpose, with the ultimate arbiter being the governing chief executive</w:t>
      </w:r>
      <w:r>
        <w:t xml:space="preserve"> </w:t>
      </w:r>
      <w:r>
        <w:t xml:space="preserve">(</w:t>
      </w:r>
      <w:r>
        <w:t xml:space="preserve">QSG</w:t>
      </w:r>
      <w:r>
        <w:t xml:space="preserve"> </w:t>
      </w:r>
      <w:r>
        <w:t xml:space="preserve">2000)</w:t>
      </w:r>
      <w:r>
        <w:t xml:space="preserve">.</w:t>
      </w:r>
    </w:p>
    <w:p>
      <w:r>
        <w:t xml:space="preserve">But what should the make-good measure be? As noted by Randall</w:t>
      </w:r>
      <w:r>
        <w:t xml:space="preserve"> </w:t>
      </w:r>
      <w:r>
        <w:t xml:space="preserve">(2012)</w:t>
      </w:r>
      <w:r>
        <w:t xml:space="preserve">, MGMs were intended as</w:t>
      </w:r>
      <w:r>
        <w:t xml:space="preserve"> </w:t>
      </w:r>
      <w:r>
        <w:rPr>
          <w:i/>
        </w:rPr>
        <w:t xml:space="preserve">in-kind</w:t>
      </w:r>
      <w:r>
        <w:t xml:space="preserve"> </w:t>
      </w:r>
      <w:r>
        <w:t xml:space="preserve">reparations for any impacts. EHP suggested these measures could include works on a bore, such as deepening, where the costs of works are borne by the petroleum tenure holder (PTH)</w:t>
      </w:r>
      <w:r>
        <w:t xml:space="preserve"> </w:t>
      </w:r>
      <w:r>
        <w:t xml:space="preserve">(</w:t>
      </w:r>
      <w:r>
        <w:t xml:space="preserve">EHP</w:t>
      </w:r>
      <w:r>
        <w:t xml:space="preserve"> </w:t>
      </w:r>
      <w:r>
        <w:t xml:space="preserve">and Planning 2013)</w:t>
      </w:r>
      <w:r>
        <w:t xml:space="preserve">. Or, alternately, the PTH may provide the water bore owner monetary compensation as the MGM.</w:t>
      </w:r>
    </w:p>
    <w:p>
      <w:pPr>
        <w:pStyle w:val="Heading4"/>
      </w:pPr>
      <w:bookmarkStart w:id="47" w:name="make-good-risk-in-unit-technical-cost"/>
      <w:bookmarkEnd w:id="47"/>
      <w:r>
        <w:t xml:space="preserve">Make Good Risk in Unit Technical Cost</w:t>
      </w:r>
    </w:p>
    <w:p>
      <w:r>
        <w:t xml:space="preserve">For landholders and the PTH, the dollar consequence of any impairment to a bore is quantified in the MGM. Hence the risk, in this instance is the probability of the impairment, and the MGM dollar cost:</w:t>
      </w:r>
    </w:p>
    <w:p>
      <w:r>
        <w:t xml:space="preserve">$$
    \begin{align} 
    R_{MG} = \text{Make Good Risk} 
    &amp; P(I) =  \text{Probability of Impairment}
    &amp; C_{MGM} = \text{$ Consequence of Make Good Measure}   
    &amp; R_{MG} = P(\mathit{I}) . C_{MGM} \label{ref1}
    \end{align} 
$$</w:t>
      </w:r>
    </w:p>
    <w:p>
      <w:r>
        <w:t xml:space="preserve">For simplicity sake, when calculating the Unit Technical Cost (UTC) of operations, C_MGM is set to the dollar value of the groundwater bore license. MGM works on the bore may exceed the license value in some cases, however some impairments are difficult to predict</w:t>
      </w:r>
      <w:r>
        <w:t xml:space="preserve"> </w:t>
      </w:r>
      <w:r>
        <w:rPr>
          <w:i/>
        </w:rPr>
        <w:t xml:space="preserve">a priori</w:t>
      </w:r>
      <w:r>
        <w:t xml:space="preserve">, and so the bore license value assumes</w:t>
      </w:r>
      <w:r>
        <w:t xml:space="preserve"> </w:t>
      </w:r>
      <w:r>
        <w:rPr>
          <w:i/>
        </w:rPr>
        <w:t xml:space="preserve">de facto</w:t>
      </w:r>
      <w:r>
        <w:t xml:space="preserve"> </w:t>
      </w:r>
      <w:r>
        <w:t xml:space="preserve">liability for UTC calculations.</w:t>
      </w:r>
    </w:p>
    <w:p>
      <w:pPr>
        <w:pStyle w:val="Heading1"/>
      </w:pPr>
      <w:bookmarkStart w:id="48" w:name="risk-and-liability"/>
      <w:bookmarkEnd w:id="48"/>
      <w:r>
        <w:t xml:space="preserve">Risk and Liability</w:t>
      </w:r>
    </w:p>
    <w:p>
      <w:r>
        <w:t xml:space="preserve">There are gaps in the approaches above, the main issue in arriving at a unified risk framework appears to be: The gap identified by the literature appears to be the connection between GMMCA risk assessment and the make good measures.</w:t>
      </w:r>
    </w:p>
    <w:p>
      <w:r>
        <w:t xml:space="preserve">Whilst they have their place as a behavioral heuristic in the enforcement of safety procedures, the qualitative risk assessment methodology, with risk levels assigned through expert opinion, does not typically have a dollar value attached. This makes NPV and PV estimations of financial liability difficult to quantify.</w:t>
      </w:r>
    </w:p>
    <w:p>
      <w:r>
        <w:t xml:space="preserve">In the calculation above, Make Good Risk (R_MG) has a dollar value attached. In the case of repair works, the cost of MGM’s can only truly be known</w:t>
      </w:r>
      <w:r>
        <w:t xml:space="preserve"> </w:t>
      </w:r>
      <w:r>
        <w:rPr>
          <w:i/>
        </w:rPr>
        <w:t xml:space="preserve">ex post facto</w:t>
      </w:r>
      <w:r>
        <w:t xml:space="preserve">, for example, after an invoice has been received. – [Footnote] To the knowledge of the author, there is no provision in the Harmonised Risk Management Framework (HRMF) for the recovery of data on MGM costs. This makes</w:t>
      </w:r>
      <w:r>
        <w:t xml:space="preserve"> </w:t>
      </w:r>
      <w:r>
        <w:rPr>
          <w:i/>
        </w:rPr>
        <w:t xml:space="preserve">post hoc</w:t>
      </w:r>
      <w:r>
        <w:t xml:space="preserve"> </w:t>
      </w:r>
      <w:r>
        <w:t xml:space="preserve">analysis a difficult task.– However most stakeholders are not interested in</w:t>
      </w:r>
      <w:r>
        <w:t xml:space="preserve"> </w:t>
      </w:r>
      <w:r>
        <w:rPr>
          <w:i/>
        </w:rPr>
        <w:t xml:space="preserve">post hoc</w:t>
      </w:r>
      <w:r>
        <w:t xml:space="preserve"> </w:t>
      </w:r>
      <w:r>
        <w:t xml:space="preserve">analysis, but rather, the</w:t>
      </w:r>
      <w:r>
        <w:t xml:space="preserve"> </w:t>
      </w:r>
      <w:r>
        <w:rPr>
          <w:i/>
        </w:rPr>
        <w:t xml:space="preserve">ex ante</w:t>
      </w:r>
      <w:r>
        <w:t xml:space="preserve"> </w:t>
      </w:r>
      <w:r>
        <w:t xml:space="preserve">liability, the liability before the event to calculate ROI, and determine resource economics.</w:t>
      </w:r>
    </w:p>
    <w:p>
      <w:r>
        <w:t xml:space="preserve">This is especially the case for a PTH in the calculation of UTC, which typically includes decommissioning costs, and, in the case of CSG, any MGM costs. The default case mentioned above, of assigning C_MGM to the bore license value is one way of quantifying</w:t>
      </w:r>
      <w:r>
        <w:t xml:space="preserve"> </w:t>
      </w:r>
      <w:r>
        <w:rPr>
          <w:i/>
        </w:rPr>
        <w:t xml:space="preserve">ex ante</w:t>
      </w:r>
      <w:r>
        <w:t xml:space="preserve"> </w:t>
      </w:r>
      <w:r>
        <w:t xml:space="preserve">liability. Whether or not the license value has parity with MGM costs is moot, until such time as an MGM is fully executed.</w:t>
      </w:r>
    </w:p>
    <w:p>
      <w:r>
        <w:t xml:space="preserve">Pegging Make Good Risk to the bore license value transfers the burden of consequence calculation to the license issuer.</w:t>
      </w:r>
    </w:p>
    <w:p>
      <w:r>
        <w:t xml:space="preserve">That value det</w:t>
      </w:r>
    </w:p>
    <w:p>
      <w:pPr>
        <w:pStyle w:val="Compact"/>
        <w:numPr>
          <w:numId w:val="1004"/>
          <w:ilvl w:val="0"/>
        </w:numPr>
      </w:pPr>
      <w:r>
        <w:t xml:space="preserve">The translation of</w:t>
      </w:r>
      <w:r>
        <w:t xml:space="preserve"> </w:t>
      </w:r>
      <w:r>
        <w:rPr>
          <w:i/>
        </w:rPr>
        <w:t xml:space="preserve">consequence</w:t>
      </w:r>
      <w:r>
        <w:t xml:space="preserve"> </w:t>
      </w:r>
      <w:r>
        <w:t xml:space="preserve">in dollar terms</w:t>
      </w:r>
    </w:p>
    <w:p>
      <w:pPr>
        <w:pStyle w:val="Compact"/>
        <w:numPr>
          <w:numId w:val="1004"/>
          <w:ilvl w:val="0"/>
        </w:numPr>
      </w:pPr>
      <w:r>
        <w:t xml:space="preserve">A</w:t>
      </w:r>
    </w:p>
    <w:p>
      <w:r>
        <w:t xml:space="preserve">If there is no connection between</w:t>
      </w:r>
    </w:p>
    <w:p>
      <w:r>
        <w:t xml:space="preserve">amount of the</w:t>
      </w:r>
    </w:p>
    <w:p>
      <w:r>
        <w:t xml:space="preserve">As noted by the harmonsation framwork</w:t>
      </w:r>
      <w:r>
        <w:t xml:space="preserve"> </w:t>
      </w:r>
      <w:r>
        <w:t xml:space="preserve">(</w:t>
      </w:r>
      <w:r>
        <w:t xml:space="preserve">SCER</w:t>
      </w:r>
      <w:r>
        <w:t xml:space="preserve"> </w:t>
      </w:r>
      <w:r>
        <w:t xml:space="preserve">and Resources 2013, 47)</w:t>
      </w:r>
      <w:r>
        <w:t xml:space="preserve">, in the Queensland Water Act make good reparations are not scaled to to the size of impacts on water bores</w:t>
      </w:r>
    </w:p>
    <w:p>
      <w:r>
        <w:t xml:space="preserve">ensuring the bore owner has access to a reasonable quantity and quality of water for the bore’s authorised use or purpose; Examples â€” bore enhancement by deepening the bore or improving its pumping capacity constructing a new bore providing a supply of an equivalent amount of water of a suitable quality by piping it from an alternative source (b) carrying out a plan to monitor the bore, including, for example, by undertaking periodic bore assessments; (c) giving the bore owner monetary or non-monetary compensation for the bore’s impaired capacity.</w:t>
      </w:r>
    </w:p>
    <w:p>
      <w:hyperlink r:id="rId49">
        <w:r>
          <w:rPr>
            <w:rStyle w:val="Link"/>
          </w:rPr>
          <w:t xml:space="preserve">http://www5.austlii.edu.au/au/legis/qld/consol_act/wa200083/s421.html</w:t>
        </w:r>
      </w:hyperlink>
    </w:p>
    <w:p>
      <w:pPr>
        <w:pStyle w:val="Heading2"/>
      </w:pPr>
      <w:bookmarkStart w:id="50" w:name="technical-context"/>
      <w:bookmarkEnd w:id="50"/>
      <w:r>
        <w:t xml:space="preserve">Technical Context</w:t>
      </w:r>
    </w:p>
    <w:p>
      <w:r>
        <w:t xml:space="preserve">The prevailing Technical Context (TC) might be characterised by three different approaches to the task of providing a data system capable of meeting the requirements of risk management.</w:t>
      </w:r>
    </w:p>
    <w:p>
      <w:pPr>
        <w:pStyle w:val="SourceCode"/>
      </w:pPr>
      <w:r>
        <w:rPr>
          <w:rStyle w:val="VerbatimChar"/>
        </w:rPr>
        <w:t xml:space="preserve">1. in-house technical  </w:t>
      </w:r>
      <w:r>
        <w:br w:type="textWrapping"/>
      </w:r>
      <w:r>
        <w:rPr>
          <w:rStyle w:val="VerbatimChar"/>
        </w:rPr>
        <w:t xml:space="preserve">2. out-sourced vendor  </w:t>
      </w:r>
      <w:r>
        <w:br w:type="textWrapping"/>
      </w:r>
      <w:r>
        <w:rPr>
          <w:rStyle w:val="VerbatimChar"/>
        </w:rPr>
        <w:t xml:space="preserve">3. hybrid </w:t>
      </w:r>
    </w:p>
    <w:p>
      <w:r>
        <w:t xml:space="preserve">In #3, the hybrid situation, the data system is typically maintained by a team of subject experts together with a system administrator.</w:t>
      </w:r>
    </w:p>
    <w:p>
      <w:r>
        <w:t xml:space="preserve">Whilst there are many data software applications currently available within the industry (Aquarius is one), typically at a State Government level the Hydstra(TM) data system developed and maintained by Kisters Pty Ltd, is the defacto standard for rainfall and stream level data. Some States or Local Government entities use different software systems, however Hydstra is predominantly the main system.</w:t>
      </w:r>
    </w:p>
    <w:p>
      <w:r>
        <w:t xml:space="preserve">Hydstra is also used at the national level within the BoM, however two other systems are also used; the in-house AWRIS2 developed as apart of the hydrographic modernisation project, and the WISKI(TM) system manufactured by the European branch of Kisters (Kisters AGM).</w:t>
      </w:r>
    </w:p>
    <w:p>
      <w:r>
        <w:t xml:space="preserve">The situation is a little more diverse when it comes to Groundwater and Water Quality. There are several systems such as Equis, EnviroSys, HydSys, and in Queensland there is the well-known Ground Water Database (GWDB) developed and maintainted in-house within the QLD NRM. An inventory of all the known systems is available below.</w:t>
      </w:r>
    </w:p>
    <w:p>
      <w:r>
        <w:t xml:space="preserve">Each different State Government</w:t>
      </w:r>
    </w:p>
    <w:p>
      <w:pPr>
        <w:pStyle w:val="Heading3"/>
      </w:pPr>
      <w:bookmarkStart w:id="51" w:name="vendors"/>
      <w:bookmarkEnd w:id="51"/>
      <w:r>
        <w:t xml:space="preserve">Vendors</w:t>
      </w:r>
    </w:p>
    <w:p>
      <w:pPr>
        <w:pStyle w:val="Heading3"/>
      </w:pPr>
      <w:bookmarkStart w:id="52" w:name="in-house"/>
      <w:bookmarkEnd w:id="52"/>
      <w:r>
        <w:t xml:space="preserve">In-house</w:t>
      </w:r>
    </w:p>
    <w:p>
      <w:pPr>
        <w:pStyle w:val="Heading3"/>
      </w:pPr>
      <w:bookmarkStart w:id="53" w:name="hybrid"/>
      <w:bookmarkEnd w:id="53"/>
      <w:r>
        <w:t xml:space="preserve">Hybrid</w:t>
      </w:r>
    </w:p>
    <w:p>
      <w:pPr>
        <w:pStyle w:val="Heading3"/>
      </w:pPr>
      <w:bookmarkStart w:id="54" w:name="technical-challenges"/>
      <w:bookmarkEnd w:id="54"/>
      <w:r>
        <w:t xml:space="preserve">Technical Challenges</w:t>
      </w:r>
    </w:p>
    <w:p>
      <w:r>
        <w:t xml:space="preserve">provides some difficult in integrating</w:t>
      </w:r>
    </w:p>
    <w:p>
      <w:pPr>
        <w:pStyle w:val="Heading2"/>
      </w:pPr>
      <w:bookmarkStart w:id="55" w:name="conclusions-and-future-work"/>
      <w:bookmarkEnd w:id="55"/>
      <w:r>
        <w:t xml:space="preserve">Conclusions and Future Work</w:t>
      </w:r>
    </w:p>
    <w:p>
      <w:r>
        <w:t xml:space="preserve">This review has focuses on the regulatory frameworks which have been concieved to provide effective management of the risks associated with Unconventional Energy production.</w:t>
      </w:r>
    </w:p>
    <w:p>
      <w:r>
        <w:t xml:space="preserve">The design intent of the legislative concepts appears to necessitate a technical legislative framework to store and integrate many different dtata types over time. Such a framework is the main interest for future work. The three novel technical goals of that work envisiaged are;</w:t>
      </w:r>
    </w:p>
    <w:p>
      <w:pPr>
        <w:pStyle w:val="Compact"/>
        <w:numPr>
          <w:numId w:val="1005"/>
          <w:ilvl w:val="0"/>
        </w:numPr>
      </w:pPr>
      <w:r>
        <w:t xml:space="preserve">Proof of concept for a technical framework, which enables;</w:t>
      </w:r>
    </w:p>
    <w:p>
      <w:pPr>
        <w:pStyle w:val="Compact"/>
        <w:numPr>
          <w:numId w:val="1005"/>
          <w:ilvl w:val="0"/>
        </w:numPr>
      </w:pPr>
      <w:r>
        <w:t xml:space="preserve">The integration of the temporal component of risk into precautionary and adaptive measures, and</w:t>
      </w:r>
    </w:p>
    <w:p>
      <w:pPr>
        <w:pStyle w:val="Compact"/>
        <w:numPr>
          <w:numId w:val="1005"/>
          <w:ilvl w:val="0"/>
        </w:numPr>
      </w:pPr>
      <w:r>
        <w:t xml:space="preserve">The integration of model uncertainty into the calculation of risk.</w:t>
      </w:r>
    </w:p>
    <w:p>
      <w:r>
        <w:t xml:space="preserve">{{corporateName=Department of Natural Resources and Mines; jurisdiction=Queensland; address=PO Box 15216, City East. â€œEnvironmental Assessments and Conditions.â€ Collection; Text, February 6, 2012.</w:t>
      </w:r>
      <w:r>
        <w:t xml:space="preserve"> </w:t>
      </w:r>
      <w:hyperlink r:id="rId56">
        <w:r>
          <w:rPr>
            <w:rStyle w:val="Link"/>
          </w:rPr>
          <w:t xml:space="preserve">https://www.business.qld.gov.au/industry/csg-lng-industry/water-environmental-management-csg/environmental-assessments-conditions</w:t>
        </w:r>
      </w:hyperlink>
      <w:r>
        <w:t xml:space="preserve">.}}</w:t>
      </w:r>
    </w:p>
    <w:p>
      <w:r>
        <w:t xml:space="preserve">Coal Seam CSG exploration and production (hereafter, CSG operations) raise community concern due to the potential impacts on long-term food security, water resources, public health and individual property rights for the sake of mining royalties, economic growth and employment opportunities</w:t>
      </w:r>
    </w:p>
    <w:p>
      <w:pPr>
        <w:pStyle w:val="Heading2"/>
      </w:pPr>
      <w:bookmarkStart w:id="57" w:name="what-is-risk"/>
      <w:bookmarkEnd w:id="57"/>
      <w:r>
        <w:t xml:space="preserve">What is Risk?</w:t>
      </w:r>
    </w:p>
    <w:p>
      <w:r>
        <w:t xml:space="preserve">Risk is the product of probability and consequence</w:t>
      </w:r>
    </w:p>
    <w:p>
      <w:r>
        <w:t xml:space="preserve">The national water commission identified the following potential risks to sustainable water management:</w:t>
      </w:r>
    </w:p>
    <w:p>
      <w:r>
        <w:t xml:space="preserve">Extracting large volumes of low-quality water will impact on connected surface and groundwater systems, some of which may already be fully or overallocated, including the Great Artesian Basin and Murray-Darling Basin. Impacts on other water users and the environment may occur due to the dramatic depressurisation of the coal seam, including: o changes in pressures of adjacent aquifers with consequential changes in water availability o reductions in surface water flows in connected systems o land subsidence over large areas, affecting surface water systems, ecosystems, irrigation and grazing lands. The production of large volumes of treated waste water, if released to surface water systems, could alter natural flow patterns and have significant impacts on water quality, and river and wetland health. There is an associated risk that, if the water is overly treated, â€˜clean waterâ€™ pollution of naturally turbid systems may occur. The practice of hydraulic fracturing, or fraccing, to increase gas output, has the potential to induce connection and cross-contamination between aquifers, with impacts on groundwater quality. The reinjection of treated waste water into other aquifers has the potential to change the beneficial use characteristics of those aquifers.</w:t>
      </w:r>
      <w:r>
        <w:t xml:space="preserve"> </w:t>
      </w:r>
      <w:r>
        <w:t xml:space="preserve">(</w:t>
      </w:r>
      <w:r>
        <w:t xml:space="preserve">NWC</w:t>
      </w:r>
      <w:r>
        <w:t xml:space="preserve"> </w:t>
      </w:r>
      <w:r>
        <w:t xml:space="preserve">2010)</w:t>
      </w:r>
    </w:p>
    <w:p>
      <w:pPr>
        <w:pStyle w:val="Heading2"/>
      </w:pPr>
      <w:bookmarkStart w:id="58" w:name="types-of-risk"/>
      <w:bookmarkEnd w:id="58"/>
      <w:r>
        <w:t xml:space="preserve">Types of Risk</w:t>
      </w:r>
    </w:p>
    <w:p>
      <w:r>
        <w:t xml:space="preserve">Identified below are many different types of risk associated with different disciplines and contexts.</w:t>
      </w:r>
    </w:p>
    <w:p>
      <w:pPr>
        <w:pStyle w:val="Compact"/>
        <w:numPr>
          <w:numId w:val="1006"/>
          <w:ilvl w:val="0"/>
        </w:numPr>
      </w:pPr>
      <w:r>
        <w:t xml:space="preserve">Static vs Dynamic -&gt; asset changing risk status over time</w:t>
      </w:r>
    </w:p>
    <w:p>
      <w:pPr>
        <w:pStyle w:val="Compact"/>
        <w:numPr>
          <w:numId w:val="1006"/>
          <w:ilvl w:val="0"/>
        </w:numPr>
      </w:pPr>
      <w:r>
        <w:t xml:space="preserve">Risk Intensity/Density -&gt; analogy which might be used to incorporate uncertainty</w:t>
      </w:r>
    </w:p>
    <w:p>
      <w:pPr>
        <w:pStyle w:val="Compact"/>
        <w:numPr>
          <w:numId w:val="1006"/>
          <w:ilvl w:val="0"/>
        </w:numPr>
      </w:pPr>
      <w:r>
        <w:t xml:space="preserve">Technical/Operational</w:t>
      </w:r>
    </w:p>
    <w:p>
      <w:pPr>
        <w:pStyle w:val="Compact"/>
        <w:numPr>
          <w:numId w:val="1006"/>
          <w:ilvl w:val="0"/>
        </w:numPr>
      </w:pPr>
      <w:r>
        <w:t xml:space="preserve">Compliance/Legal</w:t>
      </w:r>
    </w:p>
    <w:p>
      <w:pPr>
        <w:pStyle w:val="Compact"/>
        <w:numPr>
          <w:numId w:val="1006"/>
          <w:ilvl w:val="0"/>
        </w:numPr>
      </w:pPr>
      <w:r>
        <w:t xml:space="preserve">Bus Factor</w:t>
      </w:r>
    </w:p>
    <w:p>
      <w:pPr>
        <w:pStyle w:val="Compact"/>
        <w:numPr>
          <w:numId w:val="1006"/>
          <w:ilvl w:val="0"/>
        </w:numPr>
      </w:pPr>
      <w:r>
        <w:t xml:space="preserve">Political/social -&gt; social license</w:t>
      </w:r>
    </w:p>
    <w:p>
      <w:pPr>
        <w:pStyle w:val="Compact"/>
        <w:numPr>
          <w:numId w:val="1006"/>
          <w:ilvl w:val="0"/>
        </w:numPr>
      </w:pPr>
      <w:r>
        <w:t xml:space="preserve">Strategic</w:t>
      </w:r>
    </w:p>
    <w:p>
      <w:pPr>
        <w:pStyle w:val="Compact"/>
        <w:numPr>
          <w:numId w:val="1006"/>
          <w:ilvl w:val="0"/>
        </w:numPr>
      </w:pPr>
      <w:r>
        <w:t xml:space="preserve">Financial</w:t>
      </w:r>
    </w:p>
    <w:p>
      <w:pPr>
        <w:pStyle w:val="Compact"/>
        <w:numPr>
          <w:numId w:val="1006"/>
          <w:ilvl w:val="0"/>
        </w:numPr>
      </w:pPr>
      <w:r>
        <w:t xml:space="preserve">Model Risk</w:t>
      </w:r>
    </w:p>
    <w:p>
      <w:pPr>
        <w:pStyle w:val="Compact"/>
        <w:numPr>
          <w:numId w:val="1006"/>
          <w:ilvl w:val="0"/>
        </w:numPr>
      </w:pPr>
      <w:r>
        <w:t xml:space="preserve">Environmental/Health &amp; Safety</w:t>
      </w:r>
    </w:p>
    <w:p>
      <w:pPr>
        <w:pStyle w:val="Compact"/>
        <w:numPr>
          <w:numId w:val="1006"/>
          <w:ilvl w:val="0"/>
        </w:numPr>
      </w:pPr>
      <w:r>
        <w:t xml:space="preserve">Data Quality Risk</w:t>
      </w:r>
    </w:p>
    <w:p>
      <w:pPr>
        <w:pStyle w:val="Compact"/>
        <w:numPr>
          <w:numId w:val="1006"/>
          <w:ilvl w:val="0"/>
        </w:numPr>
      </w:pPr>
      <w:r>
        <w:t xml:space="preserve">Reliability Engineering</w:t>
      </w:r>
    </w:p>
    <w:p>
      <w:pPr>
        <w:pStyle w:val="Heading2"/>
      </w:pPr>
      <w:bookmarkStart w:id="59" w:name="methods-of-risk-assessment"/>
      <w:bookmarkEnd w:id="59"/>
      <w:r>
        <w:t xml:space="preserve">Methods of risk assessment</w:t>
      </w:r>
    </w:p>
    <w:tbl>
      <w:tblPr>
        <w:tblStyle w:val="TableNormal"/>
        <w:tblW w:type="pct" w:w="0.0"/>
      </w:tblPr>
      <w:tblGrid/>
      <w:t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Typical Industry</w:t>
            </w:r>
          </w:p>
        </w:tc>
      </w:tr>
      <w:tr>
        <w:tc>
          <w:p>
            <w:pPr>
              <w:pStyle w:val="Compact"/>
              <w:jc w:val="left"/>
            </w:pPr>
            <w:r>
              <w:t xml:space="preserve">1.</w:t>
            </w:r>
          </w:p>
        </w:tc>
        <w:tc>
          <w:p>
            <w:pPr>
              <w:pStyle w:val="Compact"/>
            </w:pPr>
          </w:p>
        </w:tc>
        <w:tc>
          <w:p>
            <w:pPr>
              <w:pStyle w:val="Compact"/>
            </w:pPr>
          </w:p>
        </w:tc>
      </w:tr>
    </w:tbl>
    <w:p>
      <w:pPr>
        <w:pStyle w:val="Heading3"/>
      </w:pPr>
      <w:bookmarkStart w:id="60" w:name="hetrogenous-methods"/>
      <w:bookmarkEnd w:id="60"/>
      <w:r>
        <w:t xml:space="preserve">Hetrogenous methods</w:t>
      </w:r>
    </w:p>
    <w:p>
      <w:pPr>
        <w:pStyle w:val="Compact"/>
        <w:numPr>
          <w:numId w:val="1007"/>
          <w:ilvl w:val="0"/>
        </w:numPr>
      </w:pPr>
      <w:r>
        <w:t xml:space="preserve">Can we have one size fits all for a generic methodology?</w:t>
      </w:r>
    </w:p>
    <w:p>
      <w:pPr>
        <w:pStyle w:val="Compact"/>
        <w:numPr>
          <w:numId w:val="1007"/>
          <w:ilvl w:val="0"/>
        </w:numPr>
      </w:pPr>
      <w:r>
        <w:t xml:space="preserve">Do we need to select each risk method according to the scenario/context?</w:t>
      </w:r>
    </w:p>
    <w:p>
      <w:pPr>
        <w:pStyle w:val="Heading2"/>
      </w:pPr>
      <w:bookmarkStart w:id="61" w:name="methods-of-risk-management"/>
      <w:bookmarkEnd w:id="61"/>
      <w:r>
        <w:t xml:space="preserve">Methods of risk management</w:t>
      </w:r>
    </w:p>
    <w:tbl>
      <w:tblPr>
        <w:tblStyle w:val="TableNormal"/>
        <w:tblW w:type="pct" w:w="0.0"/>
      </w:tblPr>
      <w:tblGrid/>
      <w:t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Typical Industry</w:t>
            </w:r>
          </w:p>
        </w:tc>
        <w:tc>
          <w:tcPr>
            <w:tcBorders>
              <w:bottom w:val="single"/>
            </w:tcBorders>
            <w:vAlign w:val="bottom"/>
          </w:tcPr>
          <w:p>
            <w:pPr>
              <w:pStyle w:val="Compact"/>
              <w:jc w:val="left"/>
            </w:pPr>
            <w:r>
              <w:t xml:space="preserve">References</w:t>
            </w:r>
          </w:p>
        </w:tc>
      </w:tr>
      <w:tr>
        <w:tc>
          <w:p>
            <w:pPr>
              <w:pStyle w:val="Compact"/>
              <w:jc w:val="left"/>
            </w:pPr>
            <w:r>
              <w:t xml:space="preserve">1.</w:t>
            </w:r>
          </w:p>
        </w:tc>
        <w:tc>
          <w:p>
            <w:pPr>
              <w:pStyle w:val="Compact"/>
              <w:jc w:val="left"/>
            </w:pPr>
            <w:r>
              <w:t xml:space="preserve">Adaptive</w:t>
            </w:r>
          </w:p>
        </w:tc>
        <w:tc>
          <w:p>
            <w:pPr>
              <w:pStyle w:val="Compact"/>
            </w:pPr>
          </w:p>
        </w:tc>
        <w:tc>
          <w:p>
            <w:pPr>
              <w:pStyle w:val="Compact"/>
            </w:pPr>
          </w:p>
        </w:tc>
      </w:tr>
      <w:tr>
        <w:tc>
          <w:p>
            <w:pPr>
              <w:pStyle w:val="Compact"/>
              <w:jc w:val="left"/>
            </w:pPr>
            <w:r>
              <w:t xml:space="preserve">2.</w:t>
            </w:r>
          </w:p>
        </w:tc>
        <w:tc>
          <w:p>
            <w:pPr>
              <w:pStyle w:val="Compact"/>
              <w:jc w:val="left"/>
            </w:pPr>
            <w:r>
              <w:t xml:space="preserve">Precautionary</w:t>
            </w:r>
          </w:p>
        </w:tc>
        <w:tc>
          <w:p>
            <w:pPr>
              <w:pStyle w:val="Compact"/>
            </w:pPr>
          </w:p>
        </w:tc>
        <w:tc>
          <w:p>
            <w:pPr>
              <w:pStyle w:val="Compact"/>
              <w:jc w:val="left"/>
            </w:pPr>
            <w:r>
              <w:t xml:space="preserve">(</w:t>
            </w:r>
            <w:r>
              <w:t xml:space="preserve">NWC</w:t>
            </w:r>
            <w:r>
              <w:t xml:space="preserve"> </w:t>
            </w:r>
            <w:r>
              <w:t xml:space="preserve">2010)</w:t>
            </w:r>
          </w:p>
        </w:tc>
      </w:tr>
    </w:tbl>
    <w:p>
      <w:pPr>
        <w:pStyle w:val="Heading2"/>
      </w:pPr>
      <w:bookmarkStart w:id="62" w:name="uncertainty-and-risk"/>
      <w:bookmarkEnd w:id="62"/>
      <w:r>
        <w:t xml:space="preserve">Uncertainty and risk</w:t>
      </w:r>
    </w:p>
    <w:p>
      <w:pPr>
        <w:pStyle w:val="Compact"/>
        <w:numPr>
          <w:numId w:val="1008"/>
          <w:ilvl w:val="0"/>
        </w:numPr>
      </w:pPr>
      <w:r>
        <w:t xml:space="preserve">How do we feed the uncertainty of our data into the associate risks</w:t>
      </w:r>
    </w:p>
    <w:p>
      <w:pPr>
        <w:pStyle w:val="Compact"/>
        <w:numPr>
          <w:numId w:val="1008"/>
          <w:ilvl w:val="0"/>
        </w:numPr>
      </w:pPr>
      <w:r>
        <w:t xml:space="preserve">Are there different types of risk that need to be evaluated differently and fed into the risk calculation differently?</w:t>
      </w:r>
    </w:p>
    <w:p>
      <w:pPr>
        <w:pStyle w:val="Compact"/>
        <w:numPr>
          <w:numId w:val="1008"/>
          <w:ilvl w:val="0"/>
        </w:numPr>
      </w:pPr>
      <w:r>
        <w:t xml:space="preserve">Is the typical risk matrix appropriate for all circumstances?</w:t>
      </w:r>
    </w:p>
    <w:p>
      <w:pPr>
        <w:pStyle w:val="Compact"/>
        <w:numPr>
          <w:numId w:val="1008"/>
          <w:ilvl w:val="0"/>
        </w:numPr>
      </w:pPr>
      <w:r>
        <w:t xml:space="preserve">Should uncertainty only just accompany the risk as a second value?</w:t>
      </w:r>
    </w:p>
    <w:p>
      <w:r>
        <w:t xml:space="preserve">“</w:t>
      </w:r>
      <w:r>
        <w:t xml:space="preserve">Uncertainty expresses the degree of belief analysts have in their estimates. Uncertainty decreases as the quality of data and understanding of the system improve. The initial estimates of failure rates or failure probability might be based on comparison to similar equipment, historical data (heritage), failure rate data from handbooks, or expert elicitation.</w:t>
      </w:r>
      <w:r>
        <w:t xml:space="preserve">”</w:t>
      </w:r>
      <w:r>
        <w:t xml:space="preserve"> </w:t>
      </w:r>
      <w:r>
        <w:t xml:space="preserve">(NASA 2007)</w:t>
      </w:r>
    </w:p>
    <w:p>
      <w:r>
        <w:t xml:space="preserve">“</w:t>
      </w:r>
      <w:r>
        <w:t xml:space="preserve">Reliability estimates express probability of success. ï¬ Uncertainty should be included with reliability estimates. ï¬ Reliability estimates combined with FMEAs provide additional and valuable information to aid in the decisionmaking process</w:t>
      </w:r>
      <w:r>
        <w:t xml:space="preserve">”</w:t>
      </w:r>
      <w:r>
        <w:t xml:space="preserve"> </w:t>
      </w:r>
      <w:r>
        <w:t xml:space="preserve">(NASA 2007)</w:t>
      </w:r>
    </w:p>
    <w:p>
      <w:pPr>
        <w:pStyle w:val="Heading2"/>
      </w:pPr>
      <w:bookmarkStart w:id="63" w:name="visualisation-of-risk"/>
      <w:bookmarkEnd w:id="63"/>
      <w:r>
        <w:t xml:space="preserve">Visualisation of Risk</w:t>
      </w:r>
    </w:p>
    <w:p>
      <w:pPr>
        <w:pStyle w:val="Compact"/>
        <w:numPr>
          <w:numId w:val="1009"/>
          <w:ilvl w:val="0"/>
        </w:numPr>
      </w:pPr>
      <w:r>
        <w:t xml:space="preserve">Analogy of google maps with the uncertainty of the GPS location</w:t>
      </w:r>
    </w:p>
    <w:p>
      <w:pPr>
        <w:pStyle w:val="Compact"/>
        <w:numPr>
          <w:numId w:val="1009"/>
          <w:ilvl w:val="0"/>
        </w:numPr>
      </w:pPr>
      <w:r>
        <w:t xml:space="preserve">LatLong point is the estimated location, and the surrounding circle is the uncertainty of the location</w:t>
      </w:r>
    </w:p>
    <w:p>
      <w:pPr>
        <w:pStyle w:val="Compact"/>
        <w:numPr>
          <w:numId w:val="1009"/>
          <w:ilvl w:val="0"/>
        </w:numPr>
      </w:pPr>
      <w:r>
        <w:t xml:space="preserve">Could</w:t>
      </w:r>
    </w:p>
    <w:p>
      <w:pPr>
        <w:pStyle w:val="Heading2"/>
      </w:pPr>
      <w:bookmarkStart w:id="64" w:name="technical-methods"/>
      <w:bookmarkEnd w:id="64"/>
      <w:r>
        <w:t xml:space="preserve">Technical methods</w:t>
      </w:r>
    </w:p>
    <w:p>
      <w:pPr>
        <w:pStyle w:val="Heading1"/>
      </w:pPr>
      <w:bookmarkStart w:id="65" w:name="references"/>
      <w:bookmarkEnd w:id="65"/>
      <w:r>
        <w:t xml:space="preserve">References</w:t>
      </w:r>
    </w:p>
    <w:p>
      <w:pPr>
        <w:pStyle w:val="Bibliography"/>
      </w:pPr>
      <w:r>
        <w:t xml:space="preserve">ANEDO</w:t>
      </w:r>
      <w:r>
        <w:t xml:space="preserve">, Australian Network of Environmental Defender’s Offices. 2013. “Submission on the Draft National Harmonised Regulatory Framework for Coal Seam Gas 2012.” Australian Network of Environmental Defender’s Offices.</w:t>
      </w:r>
      <w:r>
        <w:t xml:space="preserve"> </w:t>
      </w:r>
      <w:hyperlink r:id="rId66">
        <w:r>
          <w:rPr>
            <w:rStyle w:val="Link"/>
          </w:rPr>
          <w:t xml:space="preserve">http://www.scer.gov.au/files/2013/03/ANEnviromentalDefendersOffice.pdf</w:t>
        </w:r>
      </w:hyperlink>
      <w:r>
        <w:t xml:space="preserve">.</w:t>
      </w:r>
    </w:p>
    <w:p>
      <w:pPr>
        <w:pStyle w:val="Bibliography"/>
      </w:pPr>
      <w:r>
        <w:t xml:space="preserve">Baker, S., D. Ponniah, and S. Smith. 1998. “Techniques for the Analysis of Risks in Major Projects.”</w:t>
      </w:r>
      <w:r>
        <w:t xml:space="preserve"> </w:t>
      </w:r>
      <w:r>
        <w:rPr>
          <w:i/>
        </w:rPr>
        <w:t xml:space="preserve">The Journal of the Operational Research Society</w:t>
      </w:r>
      <w:r>
        <w:t xml:space="preserve"> </w:t>
      </w:r>
      <w:r>
        <w:t xml:space="preserve">49 (6): 567–72. doi:</w:t>
      </w:r>
      <w:hyperlink r:id="rId67">
        <w:r>
          <w:rPr>
            <w:rStyle w:val="Link"/>
          </w:rPr>
          <w:t xml:space="preserve">10.2307/3010665</w:t>
        </w:r>
      </w:hyperlink>
      <w:r>
        <w:t xml:space="preserve">.</w:t>
      </w:r>
    </w:p>
    <w:p>
      <w:pPr>
        <w:pStyle w:val="Bibliography"/>
      </w:pPr>
      <w:r>
        <w:t xml:space="preserve">Beckers, Jos, Troy Cook, and Adam Butcher. 2013. “Groundwater Risks Associated with Coal Seam Gas Development in the Surat and Southern Bowen Basins - Final Report.” WorleyParsons Resource &amp; Energy.</w:t>
      </w:r>
      <w:r>
        <w:t xml:space="preserve"> </w:t>
      </w:r>
      <w:hyperlink r:id="rId68">
        <w:r>
          <w:rPr>
            <w:rStyle w:val="Link"/>
          </w:rPr>
          <w:t xml:space="preserve">https://www.dnrm.qld.gov.au/__data/assets/pdf_file/0013/106015/act-5-groundwater-risks-report-text.pdf</w:t>
        </w:r>
      </w:hyperlink>
      <w:r>
        <w:t xml:space="preserve">.</w:t>
      </w:r>
    </w:p>
    <w:p>
      <w:pPr>
        <w:pStyle w:val="Bibliography"/>
      </w:pPr>
      <w:r>
        <w:t xml:space="preserve">Boudicca, Cerese. 2013. “Lock the Gate Alliance - Response to Draft National Harmonised Regulatory Framework.” Lock the Gate Alliance.</w:t>
      </w:r>
      <w:r>
        <w:t xml:space="preserve"> </w:t>
      </w:r>
      <w:hyperlink r:id="rId69">
        <w:r>
          <w:rPr>
            <w:rStyle w:val="Link"/>
          </w:rPr>
          <w:t xml:space="preserve">http://www.scer.gov.au/files/2013/03/LocktheGateAlliance-Lismore.pdf</w:t>
        </w:r>
      </w:hyperlink>
      <w:r>
        <w:t xml:space="preserve">.</w:t>
      </w:r>
    </w:p>
    <w:p>
      <w:pPr>
        <w:pStyle w:val="Bibliography"/>
      </w:pPr>
      <w:r>
        <w:t xml:space="preserve">EHP</w:t>
      </w:r>
      <w:r>
        <w:t xml:space="preserve">, Department of Environment Heritate, and Planning. 2013. “Bore Assessments and Make Good Agreements.” Queensland Government.</w:t>
      </w:r>
      <w:r>
        <w:t xml:space="preserve"> </w:t>
      </w:r>
      <w:hyperlink r:id="rId70">
        <w:r>
          <w:rPr>
            <w:rStyle w:val="Link"/>
          </w:rPr>
          <w:t xml:space="preserve">https://www.ehp.qld.gov.au/management/non-mining/documents/bore-assessments-make-good.pdf</w:t>
        </w:r>
      </w:hyperlink>
      <w:r>
        <w:t xml:space="preserve">.</w:t>
      </w:r>
    </w:p>
    <w:p>
      <w:pPr>
        <w:pStyle w:val="Bibliography"/>
      </w:pPr>
      <w:r>
        <w:t xml:space="preserve">Estefan, Jeffrey. 2007. “Survey of Model-Based Systems Engineering (MBSE) Methodologies.” In</w:t>
      </w:r>
      <w:r>
        <w:t xml:space="preserve"> </w:t>
      </w:r>
      <w:r>
        <w:rPr>
          <w:i/>
        </w:rPr>
        <w:t xml:space="preserve">INCOSE MBSE Focus Group</w:t>
      </w:r>
      <w:r>
        <w:t xml:space="preserve">. Jet Propulsion Laboratory: California Institute of Technology.</w:t>
      </w:r>
      <w:r>
        <w:t xml:space="preserve"> </w:t>
      </w:r>
      <w:hyperlink r:id="rId71">
        <w:r>
          <w:rPr>
            <w:rStyle w:val="Link"/>
          </w:rPr>
          <w:t xml:space="preserve">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w:t>
        </w:r>
      </w:hyperlink>
      <w:r>
        <w:t xml:space="preserve">.</w:t>
      </w:r>
    </w:p>
    <w:p>
      <w:pPr>
        <w:pStyle w:val="Bibliography"/>
      </w:pPr>
      <w:r>
        <w:t xml:space="preserve">Goodarzi, Ehsan, Mina Ziaei, and Lee Teang Shui. 2013.</w:t>
      </w:r>
      <w:r>
        <w:t xml:space="preserve"> </w:t>
      </w:r>
      <w:r>
        <w:rPr>
          <w:i/>
        </w:rPr>
        <w:t xml:space="preserve">Introduction to Risk and Uncertainty in Hydrosystem Engineering</w:t>
      </w:r>
      <w:r>
        <w:t xml:space="preserve">. 1. Aufl. Vol. 22. Topics in Safety, Risk, Reliability and Quality. Dordrecht: Springer.</w:t>
      </w:r>
      <w:r>
        <w:t xml:space="preserve"> </w:t>
      </w:r>
      <w:hyperlink r:id="rId72">
        <w:r>
          <w:rPr>
            <w:rStyle w:val="Link"/>
          </w:rPr>
          <w:t xml:space="preserve">http://ezproxy.library.uq.edu.au/login?url=http://dx.doi.org/10.1007/978-94-007-5851-3</w:t>
        </w:r>
      </w:hyperlink>
      <w:r>
        <w:t xml:space="preserve">.</w:t>
      </w:r>
    </w:p>
    <w:p>
      <w:pPr>
        <w:pStyle w:val="Bibliography"/>
      </w:pPr>
      <w:r>
        <w:t xml:space="preserve">Howe, Paul, Chris Moran, Sue Vink, and Garry Straughton. 2010.</w:t>
      </w:r>
      <w:r>
        <w:t xml:space="preserve"> </w:t>
      </w:r>
      <w:r>
        <w:rPr>
          <w:i/>
        </w:rPr>
        <w:t xml:space="preserve">Framework for Risk-Based Assessment of Cumulative Effects to Groundwater from Mining</w:t>
      </w:r>
      <w:r>
        <w:t xml:space="preserve">. 3. Australia: Sinklair Knight Mertz &amp; National Water Commission.</w:t>
      </w:r>
    </w:p>
    <w:p>
      <w:pPr>
        <w:pStyle w:val="Bibliography"/>
      </w:pPr>
      <w:r>
        <w:t xml:space="preserve">Hunter, Tina, and Andrew Garnett. 2013. “Draft National Coal Seam Gas Harmonised Regulatory Framework: Submission to the Standing Council of Energy and Resources (SCER) as Part of the Consultation Process to Establish a National Harmonised Framework for the Development of Coal Seam Gas in Australia.” The University of Queensland.</w:t>
      </w:r>
      <w:r>
        <w:t xml:space="preserve"> </w:t>
      </w:r>
      <w:hyperlink r:id="rId73">
        <w:r>
          <w:rPr>
            <w:rStyle w:val="Link"/>
          </w:rPr>
          <w:t xml:space="preserve">http://www.scer.gov.au/files/2012/03/University-of-Queensland.pdf</w:t>
        </w:r>
      </w:hyperlink>
      <w:r>
        <w:t xml:space="preserve">.</w:t>
      </w:r>
    </w:p>
    <w:p>
      <w:pPr>
        <w:pStyle w:val="Bibliography"/>
      </w:pPr>
      <w:r>
        <w:t xml:space="preserve">Mays, Larry W. 2010.</w:t>
      </w:r>
      <w:r>
        <w:t xml:space="preserve"> </w:t>
      </w:r>
      <w:r>
        <w:rPr>
          <w:i/>
        </w:rPr>
        <w:t xml:space="preserve">Water Resources Engineering</w:t>
      </w:r>
      <w:r>
        <w:t xml:space="preserve">. John Wiley &amp; Sons.</w:t>
      </w:r>
    </w:p>
    <w:p>
      <w:pPr>
        <w:pStyle w:val="Bibliography"/>
      </w:pPr>
      <w:r>
        <w:t xml:space="preserve">Mooz, Harold, and Kevin Forsberg. 1997. “Visualizing System Engineering and Project Management as an Integrated Process.”</w:t>
      </w:r>
      <w:r>
        <w:t xml:space="preserve"> </w:t>
      </w:r>
      <w:r>
        <w:rPr>
          <w:i/>
        </w:rPr>
        <w:t xml:space="preserve">INCOSE International Symposium</w:t>
      </w:r>
      <w:r>
        <w:t xml:space="preserve"> </w:t>
      </w:r>
      <w:r>
        <w:t xml:space="preserve">7 (1): 573–80. doi:</w:t>
      </w:r>
      <w:hyperlink r:id="rId74">
        <w:r>
          <w:rPr>
            <w:rStyle w:val="Link"/>
          </w:rPr>
          <w:t xml:space="preserve">10.1002/j.2334-5837.1997.tb02221.x</w:t>
        </w:r>
      </w:hyperlink>
      <w:r>
        <w:t xml:space="preserve">.</w:t>
      </w:r>
    </w:p>
    <w:p>
      <w:pPr>
        <w:pStyle w:val="Bibliography"/>
      </w:pPr>
      <w:r>
        <w:t xml:space="preserve">NASA. 2007. “NASA Systems Engineering Handbook.” National Aeronautics; Space Administration.</w:t>
      </w:r>
    </w:p>
    <w:p>
      <w:pPr>
        <w:pStyle w:val="Bibliography"/>
      </w:pPr>
      <w:r>
        <w:t xml:space="preserve">NWC</w:t>
      </w:r>
      <w:r>
        <w:t xml:space="preserve">, National Water Commission. 2010. “Coal Seam Gas and Water Position Statement.” Australian Government.</w:t>
      </w:r>
      <w:r>
        <w:t xml:space="preserve"> </w:t>
      </w:r>
      <w:hyperlink r:id="rId75">
        <w:r>
          <w:rPr>
            <w:rStyle w:val="Link"/>
          </w:rPr>
          <w:t xml:space="preserve">http://archive.nwc.gov.au/__data/assets/pdf_file/0003/9723/Coal_Seam_Gas.pdf</w:t>
        </w:r>
      </w:hyperlink>
      <w:r>
        <w:t xml:space="preserve">.</w:t>
      </w:r>
    </w:p>
    <w:p>
      <w:pPr>
        <w:pStyle w:val="Bibliography"/>
      </w:pPr>
      <w:r>
        <w:t xml:space="preserve">QSG</w:t>
      </w:r>
      <w:r>
        <w:t xml:space="preserve">, Queensland State Government. 2000. “Water Act 2000.”</w:t>
      </w:r>
      <w:r>
        <w:t xml:space="preserve"> </w:t>
      </w:r>
      <w:hyperlink r:id="rId76">
        <w:r>
          <w:rPr>
            <w:rStyle w:val="Link"/>
          </w:rPr>
          <w:t xml:space="preserve">http://www5.austlii.edu.au/cgi-bin/download.cgi/cgi-bin/download.cgi/download/au/legis/qld/consol_act/wa200083.pdf</w:t>
        </w:r>
      </w:hyperlink>
      <w:r>
        <w:t xml:space="preserve">.</w:t>
      </w:r>
    </w:p>
    <w:p>
      <w:pPr>
        <w:pStyle w:val="Bibliography"/>
      </w:pPr>
      <w:r>
        <w:t xml:space="preserve">QWC</w:t>
      </w:r>
      <w:r>
        <w:t xml:space="preserve">, Queensland Water Commission. 2012.</w:t>
      </w:r>
      <w:r>
        <w:t xml:space="preserve"> </w:t>
      </w:r>
      <w:r>
        <w:rPr>
          <w:i/>
        </w:rPr>
        <w:t xml:space="preserve">Underground Water Impact Report for the Surat Cumulative Management Area</w:t>
      </w:r>
      <w:r>
        <w:t xml:space="preserve">. State of Queensland Queensland Water Commission.</w:t>
      </w:r>
      <w:r>
        <w:t xml:space="preserve"> </w:t>
      </w:r>
      <w:hyperlink r:id="rId77">
        <w:r>
          <w:rPr>
            <w:rStyle w:val="Link"/>
          </w:rPr>
          <w:t xml:space="preserve">https://www.dnrm.qld.gov.au/__data/assets/pdf_file/0016/31327/underground-water-impact-report.pdf</w:t>
        </w:r>
      </w:hyperlink>
      <w:r>
        <w:t xml:space="preserve">.</w:t>
      </w:r>
    </w:p>
    <w:p>
      <w:pPr>
        <w:pStyle w:val="Bibliography"/>
      </w:pPr>
      <w:r>
        <w:t xml:space="preserve">Randall, Alan. 2012. “Coal Seam Gastoward a Risk Management Framework for a Novel Intervention.”</w:t>
      </w:r>
      <w:r>
        <w:t xml:space="preserve"> </w:t>
      </w:r>
      <w:r>
        <w:rPr>
          <w:i/>
        </w:rPr>
        <w:t xml:space="preserve">Environmental and Planning Law Journal</w:t>
      </w:r>
      <w:r>
        <w:t xml:space="preserve"> </w:t>
      </w:r>
      <w:r>
        <w:t xml:space="preserve">29: 152.</w:t>
      </w:r>
    </w:p>
    <w:p>
      <w:pPr>
        <w:pStyle w:val="Bibliography"/>
      </w:pPr>
      <w:r>
        <w:t xml:space="preserve">SCER</w:t>
      </w:r>
      <w:r>
        <w:t xml:space="preserve">, Standing Council on Energy, and Resources. 2013. “The National Harmonised Regulatory Framework for Natural Gas from Coal Seams.” Australian Government.</w:t>
      </w:r>
      <w:r>
        <w:t xml:space="preserve"> </w:t>
      </w:r>
      <w:hyperlink r:id="rId78">
        <w:r>
          <w:rPr>
            <w:rStyle w:val="Link"/>
          </w:rPr>
          <w:t xml:space="preserve">http://www.scer.gov.au/files/2013/09/National-Harmonised-Regulatory-Framework-for-Natural-Gas-from-Coal-Seams.pdf</w:t>
        </w:r>
      </w:hyperlink>
      <w:r>
        <w:t xml:space="preserve">.</w:t>
      </w:r>
    </w:p>
    <w:p>
      <w:pPr>
        <w:pStyle w:val="Bibliography"/>
      </w:pPr>
      <w:r>
        <w:t xml:space="preserve">Schremmer, Joe. 2011. “Avoidable Fraccident: An Argument Against Strict Liability for Hydraulic Fracturing.”</w:t>
      </w:r>
      <w:r>
        <w:t xml:space="preserve"> </w:t>
      </w:r>
      <w:r>
        <w:rPr>
          <w:i/>
        </w:rPr>
        <w:t xml:space="preserve">University of Kansas Law Review</w:t>
      </w:r>
      <w:r>
        <w:t xml:space="preserve"> </w:t>
      </w:r>
      <w:r>
        <w:t xml:space="preserve">60: 1215.</w:t>
      </w:r>
      <w:r>
        <w:t xml:space="preserve"> </w:t>
      </w:r>
      <w:hyperlink r:id="rId79">
        <w:r>
          <w:rPr>
            <w:rStyle w:val="Link"/>
          </w:rPr>
          <w:t xml:space="preserve">http://heinonline.org/HOL/Page?handle=hein.journals/ukalr60\&amp;id=1225\&amp;div=\&amp;collection=journals</w:t>
        </w:r>
      </w:hyperlink>
      <w:r>
        <w:t xml:space="preserve">.</w:t>
      </w:r>
    </w:p>
    <w:p>
      <w:pPr>
        <w:pStyle w:val="Bibliography"/>
      </w:pPr>
      <w:r>
        <w:t xml:space="preserve">Stoffen, Netherlands Commissie Preventie van Rampen door Gevaarlijke. 2005.</w:t>
      </w:r>
      <w:r>
        <w:t xml:space="preserve"> </w:t>
      </w:r>
      <w:r>
        <w:rPr>
          <w:i/>
        </w:rPr>
        <w:t xml:space="preserve">Guidelines for Quantitative Risk Assessment: “Purple Book”</w:t>
      </w:r>
      <w:r>
        <w:t xml:space="preserve">. Den Haag: Directorate-General for Social Affairs; Employment.</w:t>
      </w:r>
      <w:r>
        <w:t xml:space="preserve"> </w:t>
      </w:r>
      <w:hyperlink r:id="rId80">
        <w:r>
          <w:rPr>
            <w:rStyle w:val="Link"/>
          </w:rPr>
          <w:t xml:space="preserve">http://infonorma.gencat.cat/pdf/AG_AQR_3_PB_\%202005.pdf</w:t>
        </w:r>
      </w:hyperlink>
      <w:r>
        <w:t xml:space="preserve">.</w:t>
      </w:r>
    </w:p>
    <w:p>
      <w:pPr>
        <w:pStyle w:val="Bibliography"/>
      </w:pPr>
      <w:r>
        <w:t xml:space="preserve">Taylor, Nathan. 2012. “Australia’s Unconventional Energy Options.” Committee for Economic Development of Australia.</w:t>
      </w:r>
      <w:r>
        <w:t xml:space="preserve"> </w:t>
      </w:r>
      <w:hyperlink r:id="rId81">
        <w:r>
          <w:rPr>
            <w:rStyle w:val="Link"/>
          </w:rPr>
          <w:t xml:space="preserve">http://adminpanel.ceda.com.au/FOLDERS/Service/Files/Documents/15347~cedaunconventionalenergyfinal.pdf</w:t>
        </w:r>
      </w:hyperlink>
      <w:r>
        <w:t xml:space="preserve">.</w:t>
      </w:r>
    </w:p>
    <w:p>
      <w:pPr>
        <w:pStyle w:val="Bibliography"/>
      </w:pPr>
      <w:r>
        <w:t xml:space="preserve">VFF</w:t>
      </w:r>
      <w:r>
        <w:t xml:space="preserve">, Victorian Farmers Federation. 2013. “Public Consultation the Draft National Harmonised Regulatory Framework for Coal Seam Gas.” Victorian Farmers Federation.</w:t>
      </w:r>
      <w:r>
        <w:t xml:space="preserve"> </w:t>
      </w:r>
      <w:hyperlink r:id="rId82">
        <w:r>
          <w:rPr>
            <w:rStyle w:val="Link"/>
          </w:rPr>
          <w:t xml:space="preserve">http://www.scer.gov.au/files/2013/03/VictorianFarmersFederationStadbrokeBranch.pdf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9">
    <w:p>
      <w:pPr>
        <w:pStyle w:val="FootnoteText"/>
      </w:pPr>
      <w:r>
        <w:rPr>
          <w:rStyle w:val="FootnoteRef"/>
        </w:rPr>
        <w:footnoteRef/>
      </w:r>
      <w:r>
        <w:t xml:space="preserve">Mays notes that structural engineers might be more familiar with the concepts of</w:t>
      </w:r>
      <w:r>
        <w:t xml:space="preserve"> </w:t>
      </w:r>
      <w:r>
        <w:rPr>
          <w:i/>
        </w:rPr>
        <w:t xml:space="preserve">strength</w:t>
      </w:r>
      <w:r>
        <w:t xml:space="preserve"> </w:t>
      </w:r>
      <w:r>
        <w:t xml:space="preserve">and</w:t>
      </w:r>
      <w:r>
        <w:t xml:space="preserve"> </w:t>
      </w:r>
      <w:r>
        <w:rPr>
          <w:i/>
        </w:rPr>
        <w:t xml:space="preserve">stress</w:t>
      </w:r>
      <w:r>
        <w:t xml:space="preserve"> </w:t>
      </w:r>
      <w:r>
        <w:t xml:space="preserve">respectively.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58a8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e806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d527f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81" Target="http://adminpanel.ceda.com.au/FOLDERS/Service/Files/Documents/15347~cedaunconventionalenergyfinal.pdf" TargetMode="External" /><Relationship Type="http://schemas.openxmlformats.org/officeDocument/2006/relationships/hyperlink" Id="rId75" Target="http://archive.nwc.gov.au/__data/assets/pdf_file/0003/9723/Coal_Seam_Gas.pdf" TargetMode="External" /><Relationship Type="http://schemas.openxmlformats.org/officeDocument/2006/relationships/hyperlink" Id="rId71" Target="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 TargetMode="External" /><Relationship Type="http://schemas.openxmlformats.org/officeDocument/2006/relationships/hyperlink" Id="rId74" Target="http://dx.doi.org/10.1002/j.2334-5837.1997.tb02221.x" TargetMode="External" /><Relationship Type="http://schemas.openxmlformats.org/officeDocument/2006/relationships/hyperlink" Id="rId67" Target="http://dx.doi.org/10.2307/3010665" TargetMode="External" /><Relationship Type="http://schemas.openxmlformats.org/officeDocument/2006/relationships/hyperlink" Id="rId72" Target="http://ezproxy.library.uq.edu.au/login?url=http://dx.doi.org/10.1007/978-94-007-5851-3" TargetMode="External" /><Relationship Type="http://schemas.openxmlformats.org/officeDocument/2006/relationships/hyperlink" Id="rId79" Target="http://heinonline.org/HOL/Page?handle=hein.journals/ukalr60\&amp;id=1225\&amp;div=\&amp;collection=journals" TargetMode="External" /><Relationship Type="http://schemas.openxmlformats.org/officeDocument/2006/relationships/hyperlink" Id="rId80" Target="http://infonorma.gencat.cat/pdf/AG_AQR_3_PB_\%202005.pdf" TargetMode="External" /><Relationship Type="http://schemas.openxmlformats.org/officeDocument/2006/relationships/hyperlink" Id="rId73" Target="http://www.scer.gov.au/files/2012/03/University-of-Queensland.pdf" TargetMode="External" /><Relationship Type="http://schemas.openxmlformats.org/officeDocument/2006/relationships/hyperlink" Id="rId66" Target="http://www.scer.gov.au/files/2013/03/ANEnviromentalDefendersOffice.pdf" TargetMode="External" /><Relationship Type="http://schemas.openxmlformats.org/officeDocument/2006/relationships/hyperlink" Id="rId69" Target="http://www.scer.gov.au/files/2013/03/LocktheGateAlliance-Lismore.pdf" TargetMode="External" /><Relationship Type="http://schemas.openxmlformats.org/officeDocument/2006/relationships/hyperlink" Id="rId82" Target="http://www.scer.gov.au/files/2013/03/VictorianFarmersFederationStadbrokeBranch.pdf" TargetMode="External" /><Relationship Type="http://schemas.openxmlformats.org/officeDocument/2006/relationships/hyperlink" Id="rId78" Target="http://www.scer.gov.au/files/2013/09/National-Harmonised-Regulatory-Framework-for-Natural-Gas-from-Coal-Seams.pdf" TargetMode="External" /><Relationship Type="http://schemas.openxmlformats.org/officeDocument/2006/relationships/hyperlink" Id="rId49" Target="http://www5.austlii.edu.au/au/legis/qld/consol_act/wa200083/s421.html" TargetMode="External" /><Relationship Type="http://schemas.openxmlformats.org/officeDocument/2006/relationships/hyperlink" Id="rId76" Target="http://www5.austlii.edu.au/cgi-bin/download.cgi/cgi-bin/download.cgi/download/au/legis/qld/consol_act/wa200083.pdf" TargetMode="External" /><Relationship Type="http://schemas.openxmlformats.org/officeDocument/2006/relationships/hyperlink" Id="rId56" Target="https://www.business.qld.gov.au/industry/csg-lng-industry/water-environmental-management-csg/environmental-assessments-conditions" TargetMode="External" /><Relationship Type="http://schemas.openxmlformats.org/officeDocument/2006/relationships/hyperlink" Id="rId68" Target="https://www.dnrm.qld.gov.au/__data/assets/pdf_file/0013/106015/act-5-groundwater-risks-report-text.pdf" TargetMode="External" /><Relationship Type="http://schemas.openxmlformats.org/officeDocument/2006/relationships/hyperlink" Id="rId77" Target="https://www.dnrm.qld.gov.au/__data/assets/pdf_file/0016/31327/underground-water-impact-report.pdf" TargetMode="External" /><Relationship Type="http://schemas.openxmlformats.org/officeDocument/2006/relationships/hyperlink" Id="rId70" Target="https://www.ehp.qld.gov.au/management/non-mining/documents/bore-assessments-make-good.pdf" TargetMode="External" /></Relationships>
</file>

<file path=word/_rels/footnotes.xml.rels><?xml version="1.0" encoding="UTF-8"?>
<Relationships xmlns="http://schemas.openxmlformats.org/package/2006/relationships"><Relationship Type="http://schemas.openxmlformats.org/officeDocument/2006/relationships/hyperlink" Id="rId81" Target="http://adminpanel.ceda.com.au/FOLDERS/Service/Files/Documents/15347~cedaunconventionalenergyfinal.pdf" TargetMode="External" /><Relationship Type="http://schemas.openxmlformats.org/officeDocument/2006/relationships/hyperlink" Id="rId75" Target="http://archive.nwc.gov.au/__data/assets/pdf_file/0003/9723/Coal_Seam_Gas.pdf" TargetMode="External" /><Relationship Type="http://schemas.openxmlformats.org/officeDocument/2006/relationships/hyperlink" Id="rId71" Target="http://docs.google.com/viewer?a=v\&amp;q=cache:7qhBduQul1MJ:www.omgsysml.org/MBSE_Methodology_Survey_RevA.pdf+Model+based+systems+engineering\&amp;hl=en\&amp;gl=au\&amp;pid=bl\&amp;srcid=ADGEESgc34NK2ZJWYxFM32lSFkvv-YJQ9VJe2olCSh6fHCwGudBy2-LyenG4HUEnpS51O5tmtFgJZkgbn36MQgec2bcpbR1qSnXw4SFs6KpnBq6SftbG2She2acfq71REBlF5O9dK9SI\&amp;sig=AHIEtbQ1-TRDHKVwkLRkUjCiA5M6dZj5ww" TargetMode="External" /><Relationship Type="http://schemas.openxmlformats.org/officeDocument/2006/relationships/hyperlink" Id="rId74" Target="http://dx.doi.org/10.1002/j.2334-5837.1997.tb02221.x" TargetMode="External" /><Relationship Type="http://schemas.openxmlformats.org/officeDocument/2006/relationships/hyperlink" Id="rId67" Target="http://dx.doi.org/10.2307/3010665" TargetMode="External" /><Relationship Type="http://schemas.openxmlformats.org/officeDocument/2006/relationships/hyperlink" Id="rId72" Target="http://ezproxy.library.uq.edu.au/login?url=http://dx.doi.org/10.1007/978-94-007-5851-3" TargetMode="External" /><Relationship Type="http://schemas.openxmlformats.org/officeDocument/2006/relationships/hyperlink" Id="rId79" Target="http://heinonline.org/HOL/Page?handle=hein.journals/ukalr60\&amp;id=1225\&amp;div=\&amp;collection=journals" TargetMode="External" /><Relationship Type="http://schemas.openxmlformats.org/officeDocument/2006/relationships/hyperlink" Id="rId80" Target="http://infonorma.gencat.cat/pdf/AG_AQR_3_PB_\%202005.pdf" TargetMode="External" /><Relationship Type="http://schemas.openxmlformats.org/officeDocument/2006/relationships/hyperlink" Id="rId73" Target="http://www.scer.gov.au/files/2012/03/University-of-Queensland.pdf" TargetMode="External" /><Relationship Type="http://schemas.openxmlformats.org/officeDocument/2006/relationships/hyperlink" Id="rId66" Target="http://www.scer.gov.au/files/2013/03/ANEnviromentalDefendersOffice.pdf" TargetMode="External" /><Relationship Type="http://schemas.openxmlformats.org/officeDocument/2006/relationships/hyperlink" Id="rId69" Target="http://www.scer.gov.au/files/2013/03/LocktheGateAlliance-Lismore.pdf" TargetMode="External" /><Relationship Type="http://schemas.openxmlformats.org/officeDocument/2006/relationships/hyperlink" Id="rId82" Target="http://www.scer.gov.au/files/2013/03/VictorianFarmersFederationStadbrokeBranch.pdf" TargetMode="External" /><Relationship Type="http://schemas.openxmlformats.org/officeDocument/2006/relationships/hyperlink" Id="rId78" Target="http://www.scer.gov.au/files/2013/09/National-Harmonised-Regulatory-Framework-for-Natural-Gas-from-Coal-Seams.pdf" TargetMode="External" /><Relationship Type="http://schemas.openxmlformats.org/officeDocument/2006/relationships/hyperlink" Id="rId49" Target="http://www5.austlii.edu.au/au/legis/qld/consol_act/wa200083/s421.html" TargetMode="External" /><Relationship Type="http://schemas.openxmlformats.org/officeDocument/2006/relationships/hyperlink" Id="rId76" Target="http://www5.austlii.edu.au/cgi-bin/download.cgi/cgi-bin/download.cgi/download/au/legis/qld/consol_act/wa200083.pdf" TargetMode="External" /><Relationship Type="http://schemas.openxmlformats.org/officeDocument/2006/relationships/hyperlink" Id="rId56" Target="https://www.business.qld.gov.au/industry/csg-lng-industry/water-environmental-management-csg/environmental-assessments-conditions" TargetMode="External" /><Relationship Type="http://schemas.openxmlformats.org/officeDocument/2006/relationships/hyperlink" Id="rId68" Target="https://www.dnrm.qld.gov.au/__data/assets/pdf_file/0013/106015/act-5-groundwater-risks-report-text.pdf" TargetMode="External" /><Relationship Type="http://schemas.openxmlformats.org/officeDocument/2006/relationships/hyperlink" Id="rId77" Target="https://www.dnrm.qld.gov.au/__data/assets/pdf_file/0016/31327/underground-water-impact-report.pdf" TargetMode="External" /><Relationship Type="http://schemas.openxmlformats.org/officeDocument/2006/relationships/hyperlink" Id="rId70" Target="https://www.ehp.qld.gov.au/management/non-mining/documents/bore-assessments-make-g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Sholto Maud</dc:creator>
</cp:coreProperties>
</file>