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left"/>
      </w:pPr>
      <w:r>
        <w:rPr>
          <w:rFonts w:ascii="Aptos Display" w:hAnsi="Aptos Display"/>
          <w:b/>
          <w:color w:val="1F4E79"/>
          <w:sz w:val="52"/>
        </w:rPr>
        <w:t>Real-Time Dashboard Analysis</w:t>
      </w:r>
    </w:p>
    <w:p>
      <w:pPr>
        <w:spacing w:after="320"/>
      </w:pPr>
      <w:r>
        <w:rPr>
          <w:color w:val="00707E"/>
          <w:sz w:val="26"/>
        </w:rPr>
        <w:t>Processing flow, alert generation, validation, and scheduled writing</w:t>
      </w:r>
    </w:p>
    <w:p>
      <w:r>
        <w:t>This section describes the real-time analysis pipeline used to transform incoming fleet telemetry into validated events and operational alerts. It is designed as a subsection of the wider project documentation and focuses on the processing flow rather than implementation-level code details.</w:t>
      </w:r>
    </w:p>
    <w:p>
      <w:pPr>
        <w:pStyle w:val="Heading1"/>
      </w:pPr>
      <w:r>
        <w:t>Process Overview</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F4E79"/>
          </w:tcPr>
          <w:p>
            <w:pPr>
              <w:spacing w:after="40"/>
            </w:pPr>
            <w:r/>
            <w:r>
              <w:rPr>
                <w:rFonts w:ascii="Aptos" w:hAnsi="Aptos"/>
                <w:b/>
                <w:color w:val="FFFFFF"/>
                <w:sz w:val="18"/>
              </w:rPr>
              <w:t>Stage</w:t>
            </w:r>
          </w:p>
        </w:tc>
        <w:tc>
          <w:tcPr>
            <w:tcW w:type="dxa" w:w="3312"/>
            <w:vAlign w:val="center"/>
            <w:shd w:fill="1F4E79"/>
          </w:tcPr>
          <w:p>
            <w:pPr>
              <w:spacing w:after="40"/>
            </w:pPr>
            <w:r/>
            <w:r>
              <w:rPr>
                <w:rFonts w:ascii="Aptos" w:hAnsi="Aptos"/>
                <w:b/>
                <w:color w:val="FFFFFF"/>
                <w:sz w:val="18"/>
              </w:rPr>
              <w:t>Main responsibility</w:t>
            </w:r>
          </w:p>
        </w:tc>
        <w:tc>
          <w:tcPr>
            <w:tcW w:type="dxa" w:w="3312"/>
            <w:vAlign w:val="center"/>
            <w:shd w:fill="1F4E79"/>
          </w:tcPr>
          <w:p>
            <w:pPr>
              <w:spacing w:after="40"/>
            </w:pPr>
            <w:r/>
            <w:r>
              <w:rPr>
                <w:rFonts w:ascii="Aptos" w:hAnsi="Aptos"/>
                <w:b/>
                <w:color w:val="FFFFFF"/>
                <w:sz w:val="18"/>
              </w:rPr>
              <w:t>Output</w:t>
            </w:r>
          </w:p>
        </w:tc>
      </w:tr>
      <w:tr>
        <w:trPr>
          <w:cantSplit/>
        </w:trPr>
        <w:tc>
          <w:tcPr>
            <w:tcW w:type="dxa" w:w="3312"/>
            <w:vAlign w:val="center"/>
            <w:shd w:fill="F2F6FA"/>
          </w:tcPr>
          <w:p>
            <w:pPr>
              <w:spacing w:after="40"/>
            </w:pPr>
            <w:r/>
            <w:r>
              <w:rPr>
                <w:rFonts w:ascii="Aptos" w:hAnsi="Aptos"/>
                <w:b w:val="0"/>
                <w:sz w:val="17"/>
              </w:rPr>
              <w:t>1. Reference data</w:t>
            </w:r>
          </w:p>
        </w:tc>
        <w:tc>
          <w:tcPr>
            <w:tcW w:type="dxa" w:w="3312"/>
            <w:vAlign w:val="center"/>
            <w:shd w:fill="F2F6FA"/>
          </w:tcPr>
          <w:p>
            <w:pPr>
              <w:spacing w:after="40"/>
            </w:pPr>
            <w:r/>
            <w:r>
              <w:rPr>
                <w:rFonts w:ascii="Aptos" w:hAnsi="Aptos"/>
                <w:b w:val="0"/>
                <w:sz w:val="17"/>
              </w:rPr>
              <w:t>Load fleet, route, trip, cargo, checkpoint, vehicle, and rule metadata.</w:t>
            </w:r>
          </w:p>
        </w:tc>
        <w:tc>
          <w:tcPr>
            <w:tcW w:type="dxa" w:w="3312"/>
            <w:vAlign w:val="center"/>
            <w:shd w:fill="F2F6FA"/>
          </w:tcPr>
          <w:p>
            <w:pPr>
              <w:spacing w:after="40"/>
            </w:pPr>
            <w:r/>
            <w:r>
              <w:rPr>
                <w:rFonts w:ascii="Aptos" w:hAnsi="Aptos"/>
                <w:b w:val="0"/>
                <w:sz w:val="17"/>
              </w:rPr>
              <w:t>KQL dimension tables and route geometry</w:t>
            </w:r>
          </w:p>
        </w:tc>
      </w:tr>
      <w:tr>
        <w:trPr>
          <w:cantSplit/>
        </w:trPr>
        <w:tc>
          <w:tcPr>
            <w:tcW w:type="dxa" w:w="3312"/>
            <w:vAlign w:val="center"/>
          </w:tcPr>
          <w:p>
            <w:pPr>
              <w:spacing w:after="40"/>
            </w:pPr>
            <w:r/>
            <w:r>
              <w:rPr>
                <w:rFonts w:ascii="Aptos" w:hAnsi="Aptos"/>
                <w:b w:val="0"/>
                <w:sz w:val="17"/>
              </w:rPr>
              <w:t>2. Parse and validate</w:t>
            </w:r>
          </w:p>
        </w:tc>
        <w:tc>
          <w:tcPr>
            <w:tcW w:type="dxa" w:w="3312"/>
            <w:vAlign w:val="center"/>
          </w:tcPr>
          <w:p>
            <w:pPr>
              <w:spacing w:after="40"/>
            </w:pPr>
            <w:r/>
            <w:r>
              <w:rPr>
                <w:rFonts w:ascii="Aptos" w:hAnsi="Aptos"/>
                <w:b w:val="0"/>
                <w:sz w:val="17"/>
              </w:rPr>
              <w:t>Parse raw telemetry, check schema/types/timestamps/ranges, and validate references.</w:t>
            </w:r>
          </w:p>
        </w:tc>
        <w:tc>
          <w:tcPr>
            <w:tcW w:type="dxa" w:w="3312"/>
            <w:vAlign w:val="center"/>
          </w:tcPr>
          <w:p>
            <w:pPr>
              <w:spacing w:after="40"/>
            </w:pPr>
            <w:r/>
            <w:r>
              <w:rPr>
                <w:rFonts w:ascii="Aptos" w:hAnsi="Aptos"/>
                <w:b w:val="0"/>
                <w:sz w:val="17"/>
              </w:rPr>
              <w:t>Validated rt_* tables and dlq_speed</w:t>
            </w:r>
          </w:p>
        </w:tc>
      </w:tr>
      <w:tr>
        <w:trPr>
          <w:cantSplit/>
        </w:trPr>
        <w:tc>
          <w:tcPr>
            <w:tcW w:type="dxa" w:w="3312"/>
            <w:vAlign w:val="center"/>
            <w:shd w:fill="F2F6FA"/>
          </w:tcPr>
          <w:p>
            <w:pPr>
              <w:spacing w:after="40"/>
            </w:pPr>
            <w:r/>
            <w:r>
              <w:rPr>
                <w:rFonts w:ascii="Aptos" w:hAnsi="Aptos"/>
                <w:b w:val="0"/>
                <w:sz w:val="17"/>
              </w:rPr>
              <w:t>3. Detection</w:t>
            </w:r>
          </w:p>
        </w:tc>
        <w:tc>
          <w:tcPr>
            <w:tcW w:type="dxa" w:w="3312"/>
            <w:vAlign w:val="center"/>
            <w:shd w:fill="F2F6FA"/>
          </w:tcPr>
          <w:p>
            <w:pPr>
              <w:spacing w:after="40"/>
            </w:pPr>
            <w:r/>
            <w:r>
              <w:rPr>
                <w:rFonts w:ascii="Aptos" w:hAnsi="Aptos"/>
                <w:b w:val="0"/>
                <w:sz w:val="17"/>
              </w:rPr>
              <w:t>Evaluate telemetry against operational conditions and persistence thresholds.</w:t>
            </w:r>
          </w:p>
        </w:tc>
        <w:tc>
          <w:tcPr>
            <w:tcW w:type="dxa" w:w="3312"/>
            <w:vAlign w:val="center"/>
            <w:shd w:fill="F2F6FA"/>
          </w:tcPr>
          <w:p>
            <w:pPr>
              <w:spacing w:after="40"/>
            </w:pPr>
            <w:r/>
            <w:r>
              <w:rPr>
                <w:rFonts w:ascii="Aptos" w:hAnsi="Aptos"/>
                <w:b w:val="0"/>
                <w:sz w:val="17"/>
              </w:rPr>
              <w:t>Cold-chain, idling, and route-deviation candidates</w:t>
            </w:r>
          </w:p>
        </w:tc>
      </w:tr>
      <w:tr>
        <w:trPr>
          <w:cantSplit/>
        </w:trPr>
        <w:tc>
          <w:tcPr>
            <w:tcW w:type="dxa" w:w="3312"/>
            <w:vAlign w:val="center"/>
          </w:tcPr>
          <w:p>
            <w:pPr>
              <w:spacing w:after="40"/>
            </w:pPr>
            <w:r/>
            <w:r>
              <w:rPr>
                <w:rFonts w:ascii="Aptos" w:hAnsi="Aptos"/>
                <w:b w:val="0"/>
                <w:sz w:val="17"/>
              </w:rPr>
              <w:t>4. Alert writing</w:t>
            </w:r>
          </w:p>
        </w:tc>
        <w:tc>
          <w:tcPr>
            <w:tcW w:type="dxa" w:w="3312"/>
            <w:vAlign w:val="center"/>
          </w:tcPr>
          <w:p>
            <w:pPr>
              <w:spacing w:after="40"/>
            </w:pPr>
            <w:r/>
            <w:r>
              <w:rPr>
                <w:rFonts w:ascii="Aptos" w:hAnsi="Aptos"/>
                <w:b w:val="0"/>
                <w:sz w:val="17"/>
              </w:rPr>
              <w:t>Standardize alert records and append newly identified alerts.</w:t>
            </w:r>
          </w:p>
        </w:tc>
        <w:tc>
          <w:tcPr>
            <w:tcW w:type="dxa" w:w="3312"/>
            <w:vAlign w:val="center"/>
          </w:tcPr>
          <w:p>
            <w:pPr>
              <w:spacing w:after="40"/>
            </w:pPr>
            <w:r/>
            <w:r>
              <w:rPr>
                <w:rFonts w:ascii="Aptos" w:hAnsi="Aptos"/>
                <w:b w:val="0"/>
                <w:sz w:val="17"/>
              </w:rPr>
              <w:t>alert_events</w:t>
            </w:r>
          </w:p>
        </w:tc>
      </w:tr>
      <w:tr>
        <w:trPr>
          <w:cantSplit/>
        </w:trPr>
        <w:tc>
          <w:tcPr>
            <w:tcW w:type="dxa" w:w="3312"/>
            <w:vAlign w:val="center"/>
            <w:shd w:fill="F2F6FA"/>
          </w:tcPr>
          <w:p>
            <w:pPr>
              <w:spacing w:after="40"/>
            </w:pPr>
            <w:r/>
            <w:r>
              <w:rPr>
                <w:rFonts w:ascii="Aptos" w:hAnsi="Aptos"/>
                <w:b w:val="0"/>
                <w:sz w:val="17"/>
              </w:rPr>
              <w:t>5. Evaluation</w:t>
            </w:r>
          </w:p>
        </w:tc>
        <w:tc>
          <w:tcPr>
            <w:tcW w:type="dxa" w:w="3312"/>
            <w:vAlign w:val="center"/>
            <w:shd w:fill="F2F6FA"/>
          </w:tcPr>
          <w:p>
            <w:pPr>
              <w:spacing w:after="40"/>
            </w:pPr>
            <w:r/>
            <w:r>
              <w:rPr>
                <w:rFonts w:ascii="Aptos" w:hAnsi="Aptos"/>
                <w:b w:val="0"/>
                <w:sz w:val="17"/>
              </w:rPr>
              <w:t>Compare rejected records and detected alerts with test ground truth.</w:t>
            </w:r>
          </w:p>
        </w:tc>
        <w:tc>
          <w:tcPr>
            <w:tcW w:type="dxa" w:w="3312"/>
            <w:vAlign w:val="center"/>
            <w:shd w:fill="F2F6FA"/>
          </w:tcPr>
          <w:p>
            <w:pPr>
              <w:spacing w:after="40"/>
            </w:pPr>
            <w:r/>
            <w:r>
              <w:rPr>
                <w:rFonts w:ascii="Aptos" w:hAnsi="Aptos"/>
                <w:b w:val="0"/>
                <w:sz w:val="17"/>
              </w:rPr>
              <w:t>Parity, precision, and recall results</w:t>
            </w:r>
          </w:p>
        </w:tc>
      </w:tr>
      <w:tr>
        <w:trPr>
          <w:cantSplit/>
        </w:trPr>
        <w:tc>
          <w:tcPr>
            <w:tcW w:type="dxa" w:w="3312"/>
            <w:vAlign w:val="center"/>
          </w:tcPr>
          <w:p>
            <w:pPr>
              <w:spacing w:after="40"/>
            </w:pPr>
            <w:r/>
            <w:r>
              <w:rPr>
                <w:rFonts w:ascii="Aptos" w:hAnsi="Aptos"/>
                <w:b w:val="0"/>
                <w:sz w:val="17"/>
              </w:rPr>
              <w:t>6. Live dashboard</w:t>
            </w:r>
          </w:p>
        </w:tc>
        <w:tc>
          <w:tcPr>
            <w:tcW w:type="dxa" w:w="3312"/>
            <w:vAlign w:val="center"/>
          </w:tcPr>
          <w:p>
            <w:pPr>
              <w:spacing w:after="40"/>
            </w:pPr>
            <w:r/>
            <w:r>
              <w:rPr>
                <w:rFonts w:ascii="Aptos" w:hAnsi="Aptos"/>
                <w:b w:val="0"/>
                <w:sz w:val="17"/>
              </w:rPr>
              <w:t>Reserved for the dashboard implementation.</w:t>
            </w:r>
          </w:p>
        </w:tc>
        <w:tc>
          <w:tcPr>
            <w:tcW w:type="dxa" w:w="3312"/>
            <w:vAlign w:val="center"/>
          </w:tcPr>
          <w:p>
            <w:pPr>
              <w:spacing w:after="40"/>
            </w:pPr>
            <w:r/>
            <w:r>
              <w:rPr>
                <w:rFonts w:ascii="Aptos" w:hAnsi="Aptos"/>
                <w:b w:val="0"/>
                <w:sz w:val="17"/>
              </w:rPr>
              <w:t>To be documented</w:t>
            </w:r>
          </w:p>
        </w:tc>
      </w:tr>
      <w:tr>
        <w:trPr>
          <w:cantSplit/>
        </w:trPr>
        <w:tc>
          <w:tcPr>
            <w:tcW w:type="dxa" w:w="3312"/>
            <w:vAlign w:val="center"/>
            <w:shd w:fill="F2F6FA"/>
          </w:tcPr>
          <w:p>
            <w:pPr>
              <w:spacing w:after="40"/>
            </w:pPr>
            <w:r/>
            <w:r>
              <w:rPr>
                <w:rFonts w:ascii="Aptos" w:hAnsi="Aptos"/>
                <w:b w:val="0"/>
                <w:sz w:val="17"/>
              </w:rPr>
              <w:t>7. Scheduler</w:t>
            </w:r>
          </w:p>
        </w:tc>
        <w:tc>
          <w:tcPr>
            <w:tcW w:type="dxa" w:w="3312"/>
            <w:vAlign w:val="center"/>
            <w:shd w:fill="F2F6FA"/>
          </w:tcPr>
          <w:p>
            <w:pPr>
              <w:spacing w:after="40"/>
            </w:pPr>
            <w:r/>
            <w:r>
              <w:rPr>
                <w:rFonts w:ascii="Aptos" w:hAnsi="Aptos"/>
                <w:b w:val="0"/>
                <w:sz w:val="17"/>
              </w:rPr>
              <w:t>Run the alert writer automatically on a defined schedule.</w:t>
            </w:r>
          </w:p>
        </w:tc>
        <w:tc>
          <w:tcPr>
            <w:tcW w:type="dxa" w:w="3312"/>
            <w:vAlign w:val="center"/>
            <w:shd w:fill="F2F6FA"/>
          </w:tcPr>
          <w:p>
            <w:pPr>
              <w:spacing w:after="40"/>
            </w:pPr>
            <w:r/>
            <w:r>
              <w:rPr>
                <w:rFonts w:ascii="Aptos" w:hAnsi="Aptos"/>
                <w:b w:val="0"/>
                <w:sz w:val="17"/>
              </w:rPr>
              <w:t>Scheduled updates to alert_events</w:t>
            </w:r>
          </w:p>
        </w:tc>
      </w:tr>
    </w:tbl>
    <w:p>
      <w:pPr>
        <w:pStyle w:val="Heading1"/>
      </w:pPr>
      <w:r>
        <w:t>1. Reference Tables in KQL</w:t>
      </w:r>
    </w:p>
    <w:p>
      <w:r>
        <w:t>The pipeline begins by preparing reference data in the KQL database. These tables describe the business context needed to interpret telemetry: trips, routes, checkpoints, cargo types, operational rules, and vehicles. The route-line dataset is derived from checkpoint coordinates ordered by route and sequence, creating a line geometry that can be used to measure how far a vehicle is from its planned route.</w:t>
      </w:r>
    </w:p>
    <w:p>
      <w:r>
        <w:t>Reference data is used throughout validation and detection. For example, trip and vehicle records help identify unknown entities, route settings provide deviation thresholds, and cargo settings define acceptable temperature ranges and alert hold times.</w:t>
      </w:r>
    </w:p>
    <w:p>
      <w:pPr>
        <w:pStyle w:val="Heading1"/>
      </w:pPr>
      <w:r>
        <w:t>2. Parse and Validation Layer (rt_* and dlq_speed)</w:t>
      </w:r>
    </w:p>
    <w:p>
      <w:r>
        <w:t>Raw GPS, engine, fuel, and temperature events are read from their bronze source tables. Dedicated KQL functions parse each JSON payload and apply common checks before a record is accepted.</w:t>
      </w:r>
    </w:p>
    <w:p>
      <w:r>
        <w:t>Validation includes:</w:t>
      </w:r>
    </w:p>
    <w:p>
      <w:pPr>
        <w:pStyle w:val="ListBullet"/>
      </w:pPr>
      <w:r>
        <w:t>Payload parsing and schema-version checks.</w:t>
      </w:r>
    </w:p>
    <w:p>
      <w:pPr>
        <w:pStyle w:val="ListBullet"/>
      </w:pPr>
      <w:r>
        <w:t>Required identifiers and signal-type consistency.</w:t>
      </w:r>
    </w:p>
    <w:p>
      <w:pPr>
        <w:pStyle w:val="ListBullet"/>
      </w:pPr>
      <w:r>
        <w:t>Data-type checks and signal-specific range checks.</w:t>
      </w:r>
    </w:p>
    <w:p>
      <w:pPr>
        <w:pStyle w:val="ListBullet"/>
      </w:pPr>
      <w:r>
        <w:t>Timestamp format and plausibility checks.</w:t>
      </w:r>
    </w:p>
    <w:p>
      <w:pPr>
        <w:pStyle w:val="ListBullet"/>
      </w:pPr>
      <w:r>
        <w:t>Reference validation against known vehicles and trips.</w:t>
      </w:r>
    </w:p>
    <w:p>
      <w:pPr>
        <w:pStyle w:val="ListBullet"/>
      </w:pPr>
      <w:r>
        <w:t>Temperature conversion from Fahrenheit to Celsius when required, with data-quality flags retained.</w:t>
      </w:r>
    </w:p>
    <w:p>
      <w:r>
        <w:t>Records that pass validation are projected into the corresponding typed real-time table: rt_gps, rt_engine, rt_fuel, or rt_temperature. Rejected records are written to dlq_speed with the original payload, error code, processing details, and status. This dead-letter queue preserves rejected data for investigation and supports reconciliation.</w:t>
      </w:r>
    </w:p>
    <w:p>
      <w:r>
        <w:t>Update policies connect the bronze sources to the parsing and rejection functions so processing can occur automatically as new data arrives. The provided clear-table commands are intended for controlled testing or reset scenarios and should not be treated as routine production processing.</w:t>
      </w:r>
    </w:p>
    <w:p>
      <w:pPr>
        <w:pStyle w:val="Heading1"/>
      </w:pPr>
      <w:r>
        <w:t>3. The Three Detectors</w:t>
      </w:r>
    </w:p>
    <w:p>
      <w:r>
        <w:t>The detection layer evaluates validated telemetry against operational rules. A shared Episodes function groups consecutive readings that satisfy a condition and determines when the configured duration or reading-count requirement has been met. This reduces the chance of raising an alert for a single transient reading.</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00707E"/>
          </w:tcPr>
          <w:p>
            <w:pPr>
              <w:spacing w:after="40"/>
            </w:pPr>
            <w:r/>
            <w:r>
              <w:rPr>
                <w:rFonts w:ascii="Aptos" w:hAnsi="Aptos"/>
                <w:b/>
                <w:color w:val="FFFFFF"/>
                <w:sz w:val="18"/>
              </w:rPr>
              <w:t>Detector</w:t>
            </w:r>
          </w:p>
        </w:tc>
        <w:tc>
          <w:tcPr>
            <w:tcW w:type="dxa" w:w="3312"/>
            <w:vAlign w:val="center"/>
            <w:shd w:fill="00707E"/>
          </w:tcPr>
          <w:p>
            <w:pPr>
              <w:spacing w:after="40"/>
            </w:pPr>
            <w:r/>
            <w:r>
              <w:rPr>
                <w:rFonts w:ascii="Aptos" w:hAnsi="Aptos"/>
                <w:b/>
                <w:color w:val="FFFFFF"/>
                <w:sz w:val="18"/>
              </w:rPr>
              <w:t>What it identifies</w:t>
            </w:r>
          </w:p>
        </w:tc>
        <w:tc>
          <w:tcPr>
            <w:tcW w:type="dxa" w:w="3312"/>
            <w:vAlign w:val="center"/>
            <w:shd w:fill="00707E"/>
          </w:tcPr>
          <w:p>
            <w:pPr>
              <w:spacing w:after="40"/>
            </w:pPr>
            <w:r/>
            <w:r>
              <w:rPr>
                <w:rFonts w:ascii="Aptos" w:hAnsi="Aptos"/>
                <w:b/>
                <w:color w:val="FFFFFF"/>
                <w:sz w:val="18"/>
              </w:rPr>
              <w:t>Key inputs</w:t>
            </w:r>
          </w:p>
        </w:tc>
      </w:tr>
      <w:tr>
        <w:trPr>
          <w:cantSplit/>
        </w:trPr>
        <w:tc>
          <w:tcPr>
            <w:tcW w:type="dxa" w:w="3312"/>
            <w:vAlign w:val="center"/>
          </w:tcPr>
          <w:p>
            <w:pPr>
              <w:spacing w:after="40"/>
            </w:pPr>
            <w:r/>
            <w:r>
              <w:rPr>
                <w:rFonts w:ascii="Aptos" w:hAnsi="Aptos"/>
                <w:b w:val="0"/>
                <w:sz w:val="17"/>
              </w:rPr>
              <w:t>Cold-chain breach</w:t>
            </w:r>
          </w:p>
        </w:tc>
        <w:tc>
          <w:tcPr>
            <w:tcW w:type="dxa" w:w="3312"/>
            <w:vAlign w:val="center"/>
          </w:tcPr>
          <w:p>
            <w:pPr>
              <w:spacing w:after="40"/>
            </w:pPr>
            <w:r/>
            <w:r>
              <w:rPr>
                <w:rFonts w:ascii="Aptos" w:hAnsi="Aptos"/>
                <w:b w:val="0"/>
                <w:sz w:val="17"/>
              </w:rPr>
              <w:t>Cargo temperature outside the allowed range for the configured hold period.</w:t>
            </w:r>
          </w:p>
        </w:tc>
        <w:tc>
          <w:tcPr>
            <w:tcW w:type="dxa" w:w="3312"/>
            <w:vAlign w:val="center"/>
          </w:tcPr>
          <w:p>
            <w:pPr>
              <w:spacing w:after="40"/>
            </w:pPr>
            <w:r/>
            <w:r>
              <w:rPr>
                <w:rFonts w:ascii="Aptos" w:hAnsi="Aptos"/>
                <w:b w:val="0"/>
                <w:sz w:val="17"/>
              </w:rPr>
              <w:t>Temperature readings, trip-to-cargo mapping, cargo limits</w:t>
            </w:r>
          </w:p>
        </w:tc>
      </w:tr>
      <w:tr>
        <w:trPr>
          <w:cantSplit/>
        </w:trPr>
        <w:tc>
          <w:tcPr>
            <w:tcW w:type="dxa" w:w="3312"/>
            <w:vAlign w:val="center"/>
          </w:tcPr>
          <w:p>
            <w:pPr>
              <w:spacing w:after="40"/>
            </w:pPr>
            <w:r/>
            <w:r>
              <w:rPr>
                <w:rFonts w:ascii="Aptos" w:hAnsi="Aptos"/>
                <w:b w:val="0"/>
                <w:sz w:val="17"/>
              </w:rPr>
              <w:t>Excessive idling</w:t>
            </w:r>
          </w:p>
        </w:tc>
        <w:tc>
          <w:tcPr>
            <w:tcW w:type="dxa" w:w="3312"/>
            <w:vAlign w:val="center"/>
          </w:tcPr>
          <w:p>
            <w:pPr>
              <w:spacing w:after="40"/>
            </w:pPr>
            <w:r/>
            <w:r>
              <w:rPr>
                <w:rFonts w:ascii="Aptos" w:hAnsi="Aptos"/>
                <w:b w:val="0"/>
                <w:sz w:val="17"/>
              </w:rPr>
              <w:t>Engine running while vehicle speed remains below the configured idle threshold.</w:t>
            </w:r>
          </w:p>
        </w:tc>
        <w:tc>
          <w:tcPr>
            <w:tcW w:type="dxa" w:w="3312"/>
            <w:vAlign w:val="center"/>
          </w:tcPr>
          <w:p>
            <w:pPr>
              <w:spacing w:after="40"/>
            </w:pPr>
            <w:r/>
            <w:r>
              <w:rPr>
                <w:rFonts w:ascii="Aptos" w:hAnsi="Aptos"/>
                <w:b w:val="0"/>
                <w:sz w:val="17"/>
              </w:rPr>
              <w:t>Engine state, vehicle speed, idle duration rule</w:t>
            </w:r>
          </w:p>
        </w:tc>
      </w:tr>
      <w:tr>
        <w:trPr>
          <w:cantSplit/>
        </w:trPr>
        <w:tc>
          <w:tcPr>
            <w:tcW w:type="dxa" w:w="3312"/>
            <w:vAlign w:val="center"/>
          </w:tcPr>
          <w:p>
            <w:pPr>
              <w:spacing w:after="40"/>
            </w:pPr>
            <w:r/>
            <w:r>
              <w:rPr>
                <w:rFonts w:ascii="Aptos" w:hAnsi="Aptos"/>
                <w:b w:val="0"/>
                <w:sz w:val="17"/>
              </w:rPr>
              <w:t>Route deviation</w:t>
            </w:r>
          </w:p>
        </w:tc>
        <w:tc>
          <w:tcPr>
            <w:tcW w:type="dxa" w:w="3312"/>
            <w:vAlign w:val="center"/>
          </w:tcPr>
          <w:p>
            <w:pPr>
              <w:spacing w:after="40"/>
            </w:pPr>
            <w:r/>
            <w:r>
              <w:rPr>
                <w:rFonts w:ascii="Aptos" w:hAnsi="Aptos"/>
                <w:b w:val="0"/>
                <w:sz w:val="17"/>
              </w:rPr>
              <w:t>Vehicle location beyond the route's permitted distance for the required consecutive readings.</w:t>
            </w:r>
          </w:p>
        </w:tc>
        <w:tc>
          <w:tcPr>
            <w:tcW w:type="dxa" w:w="3312"/>
            <w:vAlign w:val="center"/>
          </w:tcPr>
          <w:p>
            <w:pPr>
              <w:spacing w:after="40"/>
            </w:pPr>
            <w:r/>
            <w:r>
              <w:rPr>
                <w:rFonts w:ascii="Aptos" w:hAnsi="Aptos"/>
                <w:b w:val="0"/>
                <w:sz w:val="17"/>
              </w:rPr>
              <w:t>GPS coordinates and accuracy, route geometry, deviation limit</w:t>
            </w:r>
          </w:p>
        </w:tc>
      </w:tr>
    </w:tbl>
    <w:p>
      <w:r>
        <w:t>Each detector returns a common alert structure containing an alert key, category, type, severity, status, vehicle/trip context, condition timestamps, observed and threshold values, a message, and the arrival time of the event that triggered the alert. This shared structure allows the results to be combined by AllAlerts() and consumed consistently by downstream steps.</w:t>
      </w:r>
    </w:p>
    <w:p>
      <w:pPr>
        <w:pStyle w:val="Heading1"/>
      </w:pPr>
      <w:r>
        <w:t>4. Alert Tables and the Writer</w:t>
      </w:r>
    </w:p>
    <w:p>
      <w:r>
        <w:t>The alert_events table is the persistent destination for generated alerts. The AllAlerts() function combines the outputs of the three detectors. The writer compares these results with records already present in alert_events and appends records whose alert key and status combination is not already stored. Detection and persistence are therefore separate: detector functions calculate alert candidates, while the writer persists newly identified alert records.</w:t>
      </w:r>
    </w:p>
    <w:p>
      <w:r>
        <w:t>The silver_alerts() function provides a deduplicated, latest-record view by selecting the most recent record for each alert_key using last_updated_at. This is the logical silver alert dataset available for downstream consumption. In the supplied KQL, an explicit separate Gold-layer table or load operation is not shown; the Gold/dashboard consumption step should be documented alongside the dashboard implementation.</w:t>
      </w:r>
    </w:p>
    <w:p>
      <w:pPr>
        <w:pStyle w:val="Heading1"/>
      </w:pPr>
      <w:r>
        <w:t>5. Evaluation and the Parity Test</w:t>
      </w:r>
    </w:p>
    <w:p>
      <w:r>
        <w:t>Evaluation checks whether the pipeline's outcomes align with the test scenarios recorded in ground_truth. For rejected inputs, expected dead-letter error codes are compared with actual dlq_speed counts. For alert scenarios, expected events are matched to detected alerts using trip, alert type, and a time window around the injected condition.</w:t>
      </w:r>
    </w:p>
    <w:p>
      <w:r>
        <w:t>The parity check compares raw input counts with accepted and rejected counts for each signal. The expected relationship is raw rows = parsed rows + rejected rows; a non-zero difference indicates records that need further investigation. Alert evaluation also calculates precision and recall to summarize the quality of detection against the available ground truth. These metrics should be interpreted in the context of the test data and matching rules.</w:t>
      </w:r>
    </w:p>
    <w:p>
      <w:pPr>
        <w:pStyle w:val="Heading1"/>
      </w:pPr>
      <w:r>
        <w:t>6. Live Dashboard</w:t>
      </w:r>
    </w:p>
    <w:p>
      <w:r>
        <w:t>[Reserved for the live dashboard description. This section will be completed separately.]</w:t>
      </w:r>
    </w:p>
    <w:p>
      <w:pPr>
        <w:pStyle w:val="Heading1"/>
      </w:pPr>
      <w:r>
        <w:t>7. Scheduler: pl_rt_alert_writer</w:t>
      </w:r>
    </w:p>
    <w:p>
      <w:r>
        <w:t>A Data pipeline schedules the KQL writer so alert persistence does not depend on manually running a query. The pipeline is named pl_rt_alert_writer and contains a KQL activity named write_alerts.</w:t>
      </w:r>
    </w:p>
    <w:p>
      <w:pPr>
        <w:pStyle w:val="Heading2"/>
      </w:pPr>
      <w:r>
        <w:t>Setup procedure</w:t>
      </w:r>
    </w:p>
    <w:p>
      <w:pPr>
        <w:pStyle w:val="ListNumber"/>
      </w:pPr>
      <w:r>
        <w:t>In the workspace, select New item → Data pipeline and name it pl_rt_alert_writer.</w:t>
      </w:r>
    </w:p>
    <w:p>
      <w:pPr>
        <w:pStyle w:val="ListNumber"/>
      </w:pPr>
      <w:r>
        <w:t>Add a KQL activity and name it write_alerts.</w:t>
      </w:r>
    </w:p>
    <w:p>
      <w:pPr>
        <w:pStyle w:val="ListNumber"/>
      </w:pPr>
      <w:r>
        <w:t>In the activity settings, select the KQL database eh_fleet as the connection.</w:t>
      </w:r>
    </w:p>
    <w:p>
      <w:pPr>
        <w:pStyle w:val="ListNumber"/>
      </w:pPr>
      <w:r>
        <w:t>Test the connection and command execution with the harmless command .show tables. Save and run the pipeline. If the command is rejected by the activity, use the platform-supported alternative for executing KQL control commands.</w:t>
      </w:r>
    </w:p>
    <w:p>
      <w:pPr>
        <w:pStyle w:val="ListNumber"/>
      </w:pPr>
      <w:r>
        <w:t>Replace the test command with the alert-writer query shown below and set the activity timeout to 00:03:00.</w:t>
      </w:r>
    </w:p>
    <w:p>
      <w:pPr>
        <w:pStyle w:val="ListNumber"/>
      </w:pPr>
      <w:r>
        <w:t>Run the activity manually once and verify that alert_events contains records, for example by running alert_events | count.</w:t>
      </w:r>
    </w:p>
    <w:p>
      <w:pPr>
        <w:pStyle w:val="ListNumber"/>
      </w:pPr>
      <w:r>
        <w:t>Configure the pipeline's schedule according to the required refresh frequency, then monitor run history and failures.</w:t>
      </w:r>
    </w:p>
    <w:p>
      <w:pPr>
        <w:pStyle w:val="Heading2"/>
      </w:pPr>
      <w:r>
        <w:t>Writer query</w:t>
      </w:r>
    </w:p>
    <w:p>
      <w:pPr>
        <w:spacing w:before="80" w:after="160"/>
        <w:ind w:left="288" w:right="288"/>
      </w:pPr>
      <w:r>
        <w:rPr>
          <w:rFonts w:ascii="Consolas" w:hAnsi="Consolas"/>
          <w:color w:val="2D3741"/>
          <w:sz w:val="16"/>
        </w:rPr>
        <w:t>.append alert_events &lt;|</w:t>
        <w:br/>
      </w:r>
      <w:r>
        <w:rPr>
          <w:rFonts w:ascii="Consolas" w:hAnsi="Consolas"/>
          <w:color w:val="2D3741"/>
          <w:sz w:val="16"/>
        </w:rPr>
        <w:t xml:space="preserve">    AllAlerts()</w:t>
        <w:br/>
      </w:r>
      <w:r>
        <w:rPr>
          <w:rFonts w:ascii="Consolas" w:hAnsi="Consolas"/>
          <w:color w:val="2D3741"/>
          <w:sz w:val="16"/>
        </w:rPr>
        <w:t xml:space="preserve">    | join kind=leftanti (alert_events | project alert_key, status) on alert_key, status</w:t>
        <w:br/>
      </w:r>
      <w:r>
        <w:rPr>
          <w:rFonts w:ascii="Consolas" w:hAnsi="Consolas"/>
          <w:color w:val="2D3741"/>
          <w:sz w:val="16"/>
        </w:rPr>
        <w:t xml:space="preserve">    | extend detected_at = now(), last_updated_at = now()</w:t>
        <w:br/>
      </w:r>
      <w:r>
        <w:rPr>
          <w:rFonts w:ascii="Consolas" w:hAnsi="Consolas"/>
          <w:color w:val="2D3741"/>
          <w:sz w:val="16"/>
        </w:rPr>
        <w:t xml:space="preserve">    | project alert_key, alert_category, alert_type, severity, status,</w:t>
        <w:br/>
      </w:r>
      <w:r>
        <w:rPr>
          <w:rFonts w:ascii="Consolas" w:hAnsi="Consolas"/>
          <w:color w:val="2D3741"/>
          <w:sz w:val="16"/>
        </w:rPr>
        <w:t xml:space="preserve">              vehicle_id, trip_id, shipment_id, driver_id,</w:t>
        <w:br/>
      </w:r>
      <w:r>
        <w:rPr>
          <w:rFonts w:ascii="Consolas" w:hAnsi="Consolas"/>
          <w:color w:val="2D3741"/>
          <w:sz w:val="16"/>
        </w:rPr>
        <w:t xml:space="preserve">              condition_start_time, condition_met_time, closed_at,</w:t>
        <w:br/>
      </w:r>
      <w:r>
        <w:rPr>
          <w:rFonts w:ascii="Consolas" w:hAnsi="Consolas"/>
          <w:color w:val="2D3741"/>
          <w:sz w:val="16"/>
        </w:rPr>
        <w:t xml:space="preserve">              observed_value, threshold_value, value_unit, detected_by,</w:t>
        <w:br/>
      </w:r>
      <w:r>
        <w:rPr>
          <w:rFonts w:ascii="Consolas" w:hAnsi="Consolas"/>
          <w:color w:val="2D3741"/>
          <w:sz w:val="16"/>
        </w:rPr>
        <w:t xml:space="preserve">              message, trigger_arrival_time, detected_at, last_updated_at</w:t>
        <w:br/>
      </w:r>
    </w:p>
    <w:p>
      <w:r>
        <w:t>The left-anti join prevents the writer from appending an alert record when the same alert_key and status combination already exists. The timeout limits how long a run can remain active and helps prevent a stalled execution from delaying subsequent scheduled runs. The schedule itself should be selected based on the desired alert freshness and expected event volume.</w:t>
      </w:r>
    </w:p>
    <w:p>
      <w:pPr>
        <w:pStyle w:val="Heading1"/>
      </w:pPr>
      <w:r>
        <w:t>Operational Notes</w:t>
      </w:r>
    </w:p>
    <w:p>
      <w:pPr>
        <w:pStyle w:val="ListBullet"/>
      </w:pPr>
      <w:r>
        <w:t>Confirm that reference tables and bronze source tables are populated before enabling update policies.</w:t>
      </w:r>
    </w:p>
    <w:p>
      <w:pPr>
        <w:pStyle w:val="ListBullet"/>
      </w:pPr>
      <w:r>
        <w:t>Monitor rt_* and dlq_speed counts to identify ingestion, validation, or schema issues.</w:t>
      </w:r>
    </w:p>
    <w:p>
      <w:pPr>
        <w:pStyle w:val="ListBullet"/>
      </w:pPr>
      <w:r>
        <w:t>Review scheduler run history and alert_events counts after deployment or rule changes.</w:t>
      </w:r>
    </w:p>
    <w:p>
      <w:pPr>
        <w:pStyle w:val="ListBullet"/>
      </w:pPr>
      <w:r>
        <w:t>Run parity and detection evaluation after controlled test injections and after material changes to rules.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Real-Time Dashboard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646E78"/>
        <w:sz w:val="16"/>
      </w:rPr>
      <w:t>REAL-TIME DASHBOARD ANALYSIS  |  PROJECT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