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d262f2aa1f58e7377103dd76315186e123f985"/>
    <w:p>
      <w:pPr>
        <w:pStyle w:val="Heading1"/>
      </w:pPr>
      <w:r>
        <w:t xml:space="preserve">CarbonTally v1.0 — Management Approval Report</w:t>
      </w:r>
    </w:p>
    <w:p>
      <w:pPr>
        <w:pStyle w:val="FirstParagraph"/>
      </w:pPr>
      <w:r>
        <w:rPr>
          <w:iCs/>
          <w:i/>
        </w:rPr>
        <w:t xml:space="preserve">Prepared by the Chief Database Architect for the Product Owner — 4 August 2026. This report converts the Production Hardening Plan into decisions for sign-off. Every recommendation from that plan appears exactly once below, as something to approve, defer, or reject.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Total recommendations reviewed: 89.</w:t>
      </w:r>
      <w:r>
        <w:t xml:space="preserve"> </w:t>
      </w:r>
      <w:r>
        <w:t xml:space="preserve">This comprises 25 launch-gating items (Category A), 14 items scheduled for the post-launch</w:t>
      </w:r>
      <w:r>
        <w:t xml:space="preserve"> </w:t>
      </w:r>
      <w:r>
        <w:t xml:space="preserve">“</w:t>
      </w:r>
      <w:r>
        <w:t xml:space="preserve">v1.0.x hardening window</w:t>
      </w:r>
      <w:r>
        <w:t xml:space="preserve">”</w:t>
      </w:r>
      <w:r>
        <w:t xml:space="preserve"> </w:t>
      </w:r>
      <w:r>
        <w:t xml:space="preserve">(B-window), 30 deferred items (Category C), and 20 rejected items (Category D).</w:t>
      </w:r>
    </w:p>
    <w:p>
      <w:pPr>
        <w:pStyle w:val="BodyText"/>
      </w:pPr>
      <w:r>
        <w:rPr>
          <w:bCs/>
          <w:b/>
        </w:rPr>
        <w:t xml:space="preserve">Decision breakdown: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33 approved for the v1.0 launch window</w:t>
      </w:r>
      <w:r>
        <w:t xml:space="preserve"> </w:t>
      </w:r>
      <w:r>
        <w:t xml:space="preserve">— the 25 launch-gating items plus 8 B-window items that the plan schedules to land immediately post-launch (v1.0.1) or that begin there.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36 deferred to v1.1 or later</w:t>
      </w:r>
      <w:r>
        <w:t xml:space="preserve"> </w:t>
      </w:r>
      <w:r>
        <w:t xml:space="preserve">— all 30 Category C items plus 6 B-window items the plan schedules at v1.0.2 or beyond.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 rejected</w:t>
      </w:r>
      <w:r>
        <w:t xml:space="preserve"> </w:t>
      </w:r>
      <w:r>
        <w:t xml:space="preserve">— recommendations that conflict with an approved architecture decision, are over-engineered, low-value, or premature.</w:t>
      </w:r>
    </w:p>
    <w:p>
      <w:pPr>
        <w:pStyle w:val="FirstParagraph"/>
      </w:pPr>
      <w:r>
        <w:rPr>
          <w:bCs/>
          <w:b/>
        </w:rPr>
        <w:t xml:space="preserve">Estimated implementation effort for the approved set: roughly 40 person-days</w:t>
      </w:r>
      <w:r>
        <w:t xml:space="preserve">, derived from the plan’s five delivery phases — Phase 1 (critical security, tenancy and Irish-market fixes): ~10–12 days; Phase 2 (data integrity constraints): ~8–10 days; Phase 3 (targeted performance indexes): ~4 days; Phase 4 (application-level validation pack): ~10 days; Phase 5 (compliance pack including the data-erasure procedure): ~6–8 days. The approved B-window items are included within these phase estimates. This is a small, mostly low-risk body of work, deliberately kept small by rejecting or deferring the audit’s larger programmes.</w:t>
      </w:r>
    </w:p>
    <w:p>
      <w:pPr>
        <w:pStyle w:val="BodyText"/>
      </w:pPr>
      <w:r>
        <w:rPr>
          <w:bCs/>
          <w:b/>
        </w:rPr>
        <w:t xml:space="preserve">Overall production readiness score: 32/100 today, projected 85/100 once the approved hardening set completes.</w:t>
      </w:r>
      <w:r>
        <w:t xml:space="preserve"> </w:t>
      </w:r>
      <w:r>
        <w:t xml:space="preserve">The original review scored the platform 32/100 against launch criteria; the approved 33 items close every defect touching customer money, credentials, tenant isolation, compliance or a reported carbon number, while the deferred and rejected items are — by the plan’s evidence — not launch-relevant at our scale. The projected 85/100 reflects a launchable product carrying known, scheduled, non-blocking hygiene debt.</w:t>
      </w:r>
    </w:p>
    <w:p>
      <w:pPr>
        <w:pStyle w:val="BodyText"/>
      </w:pPr>
      <w:r>
        <w:rPr>
          <w:bCs/>
          <w:b/>
        </w:rPr>
        <w:t xml:space="preserve">Verdict: GO WITH CONDITIONS</w:t>
      </w:r>
      <w:r>
        <w:t xml:space="preserve"> </w:t>
      </w:r>
      <w:r>
        <w:t xml:space="preserve">— the binding conditions are set out in Section 6.</w:t>
      </w:r>
    </w:p>
    <w:p>
      <w:r>
        <w:pict>
          <v:rect style="width:0;height:1.5pt" o:hralign="center" o:hrstd="t" o:hr="t"/>
        </w:pict>
      </w:r>
    </w:p>
    <w:bookmarkEnd w:id="20"/>
    <w:bookmarkStart w:id="21" w:name="X795cd3db7251c26b6e71cd2a44f4b3d4bf19a2d"/>
    <w:p>
      <w:pPr>
        <w:pStyle w:val="Heading2"/>
      </w:pPr>
      <w:r>
        <w:t xml:space="preserve">Section 1 — Approved Changes </w:t>
      </w:r>
      <w:r>
        <w:rPr>
          <w:rFonts w:ascii="Segoe UI Emoji" w:hAnsi="Segoe UI Emoji" w:cs="Segoe UI Emoji" w:eastAsia="Segoe UI Emoji"/>
        </w:rPr>
        <w:t>✅</w:t>
      </w:r>
      <w:r>
        <w:t xml:space="preserve"> (APPROVE FOR V1.0)</w:t>
      </w:r>
    </w:p>
    <w:p>
      <w:pPr>
        <w:pStyle w:val="FirstParagraph"/>
      </w:pPr>
      <w:r>
        <w:t xml:space="preserve">These changes are approved for the v1.0 launch. Items A1–A25 are hard launch gates: none can be skipped. Items B1–B8 are approved on the strength of the plan’s scheduling — they land in the</w:t>
      </w:r>
      <w:r>
        <w:t xml:space="preserve"> </w:t>
      </w:r>
      <w:r>
        <w:rPr>
          <w:bCs/>
          <w:b/>
        </w:rPr>
        <w:t xml:space="preserve">first post-launch patch window (v1.0.1)</w:t>
      </w:r>
      <w:r>
        <w:t xml:space="preserve"> </w:t>
      </w:r>
      <w:r>
        <w:t xml:space="preserve">or begin there, and are treated as part of the committed launch programme, not optional extras.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9FB8AC" w:space="0"/>
          <w:left w:val="single" w:sz="4" w:color="9FB8AC" w:space="0"/>
          <w:bottom w:val="single" w:sz="4" w:color="9FB8AC" w:space="0"/>
          <w:right w:val="single" w:sz="4" w:color="9FB8AC" w:space="0"/>
          <w:insideH w:val="single" w:sz="4" w:color="9FB8AC" w:space="0"/>
          <w:insideV w:val="single" w:sz="4" w:color="9FB8AC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E3EDE7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9"/>
              </w:rPr>
              <w:t xml:space="preserve">ID</w:t>
            </w:r>
          </w:p>
        </w:tc>
        <w:tc>
          <w:tcPr>
            <w:shd w:val="clear" w:fill="E3EDE7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9"/>
              </w:rPr>
              <w:t xml:space="preserve">Recommendation</w:t>
            </w:r>
          </w:p>
        </w:tc>
        <w:tc>
          <w:tcPr>
            <w:shd w:val="clear" w:fill="E3EDE7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9"/>
              </w:rPr>
              <w:t xml:space="preserve">Reason</w:t>
            </w:r>
          </w:p>
        </w:tc>
        <w:tc>
          <w:tcPr>
            <w:shd w:val="clear" w:fill="E3EDE7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9"/>
              </w:rPr>
              <w:t xml:space="preserve">Risk if Ignored</w:t>
            </w:r>
          </w:p>
        </w:tc>
        <w:tc>
          <w:tcPr>
            <w:shd w:val="clear" w:fill="E3EDE7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9"/>
              </w:rP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Verify the customer-data isolation rules (row-level security) end-to-end, and confirm no master access key is ever exposed to customers’ browsers or unfiltered in background workers.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One customer seeing another’s data is a reportable ICO (UK Information Commissioner’s Office) / DPC (Irish Data Protection Commission) incident and an existential trust breach for a multi-tenant financial product.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Cross-tenant data leak; regulatory report; churn.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Backfill and then require a customer-organisation reference on six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hot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tables (conversations, messages, upload batches, review queue, file attachments, verifications).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Rows without an organisation fall outside every isolation rule — invisible or wrongly visible. Cheap now, painful after launch.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Silent tenant-isolation holes.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Stop storing long-lived credentials in plain text: hash consultant API keys, password-reset tokens and invitation tokens, with key rotation support.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Plaintext credentials defeat every other control: any backup or log yields live keys.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Credential theft from a routine operational artefact.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Correct the password-reset rule so only the token itself must be unique (not one reset per user); latest valid token wins.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As built, an attacker can repeatedly request resets to permanently block a victim’s recovery.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Unauthenticated denial-of-service against any user.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Formally decide who owns the password column on the user record; if the login platform handles passwords, retire the column and never write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 dormant credential column will eventually be written, creating two drifting credential stores.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Future credential-store split and audit failure.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Verify every table relationship’s delete behaviour; block dangerous auto-deletes on financial and audit records.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We must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iCs/>
                <w:i/>
                <w:color w:val="333333"/>
                <w:sz w:val="19"/>
              </w:rPr>
              <w:t xml:space="preserve">know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what deleting a record cascades to before real customer data exists.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Accidental mass deletion of audit/financial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Clean the seed data: remove out-of-market German/French/Finnish/AI-flavoured test users; add a full Irish test organisation and site (Eircode, EUR, Irish factor).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Out-of-market pseudo-personal data must never ship; the missing Irish fixture is why the Ireland defect survived.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Launching with placeholder PII (personal data) and no Irish regression guard.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Add customer account lifecycle flags —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active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and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archived at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— to organisations.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Without a suspend path, the only lever for a churned customer is deleting their audit evidence.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Forced to delete audit records to offboard a customer.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Allow a supplier invoice to exist without being tied to an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asset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(relax the document-to-asset requirement).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Supplier invoices have no asset; the current rule forces fake assets into the emissions hierarchy — manufactured corruption of the core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Corrupted emissions data on the core entity.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Fix the Ireland blocker: accept Eircodes on sites, make UK postcodes optional, and require one or the other.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Ireland has no postcodes; without this an Irish customer literally cannot register the site we are supposed to measure.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Irish launch customers fail at onboarding — the loudest possible failure.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Restrict the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country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field on organisations, sites, suppliers and consultants to our launch markets (GB, IE).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Every jurisdiction rule, aggregation and billing reconciliation reads this value; free text (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UK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,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England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) breaks them.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Jurisdiction rules silently misapplied.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Restrict all currency fields and the system default currency to GBP/EUR.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Every money aggregation and Stripe reconciliation keys off the currency value.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Mis-aggregated spend and billing errors.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Add a currency field to consultant billing (the only billing table without one).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Undenominated prices in a two-currency launch are unreconcilable.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Ambiguous consultant invoices.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Add provenance detail to emission factors (unit, scope, source, country) and enforce one row per year and activity type.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Factors currently don’t state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kg CO₂e per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iCs/>
                <w:i/>
                <w:color w:val="333333"/>
                <w:sz w:val="19"/>
              </w:rPr>
              <w:t xml:space="preserve">what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; duplicate rows silently double-count the product’s core number.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Silently wrong carbon figures.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Load the minimal current-year Irish emission factor set (SEAI/EPA — Sustainable Energy Authority of Ireland / Environmental Protection Agency: grid electricity, gas, common fuels).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 Dublin site computed on UK factors reports silently wrong Scope 2 emissions; wrong numbers are worse than a missing feature.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Wrong numbers filed by Irish customers; credibility collapse.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Record the unit and scope on every emissions entry.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Unit-less quantities make the legally relevant kWh totals an inference — unauditable numbers.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Unauditable regulatory figures.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Forbid negative values on all emission and factor figures.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One negative calculated emission silently corrupts every regulatory total it feeds.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Corrupted SECR (Streamlined Energy and Carbon Reporting) / customer reports.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Widen the file-size field so uploads over 2 GB don’t fail.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Invoice bundles can exceed 2 GB; the upload would fail at the customer’s highest-value moment. Near-free now, expensive rewrite later.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Public upload failures on large documents.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Add a content fingerprint (checksum) to uploaded documents for duplicate detection.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Deterministic duplicate detection on the primary pipeline entity; near-free on an empty table.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Undetectable duplicate invoices double-counting spend/emissions.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Enforce uniqueness where duplicates corrupt the business: memberships, consultant-client links, monthly billing usage, report versions, and supplier VAT/company numbers.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Duplicates split billing allowances, corrupt isolation rules, and get amplified by AI supplier-matching into emissions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Billing errors and corrupted customer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Block writes to the old, weaker invitations table; the secure invitations table is canonical.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The weaker table — no token, expiry or status — is a live security downgrade that is still writable.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An open, weaker invitation path remains exploitable.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Build and rehearse the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anonymise in place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data-erasure procedure (replace a person’s email/name, keep the record shell), tested on staging.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Hard deletion is structurally impossible across ~40 relationships; a GDPR erasure request can arrive on day one with a one-month statutory clock.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Untested destructive script against a live customer; ICO exposure.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Verify data residency: hosting region is UK-London or Ireland, and backups live in the same jurisdiction.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One free check on which every enterprise questionnaire’s residency claim depends.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False residency claims to enterprise buyers.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Tidy the busiest flags and timestamps so they can never be blank (backfill, then require values with defaults) on the four hot processing tables.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 blank flag on a hot path is an ambiguous state that workers and suspension logic silently misread.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Silent misprocessing of customer documents.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Restrict queue, billing and role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status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fields to their allowed value lists.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 typo’d status becomes a silent state that workers and billing-limit checks miss.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Silent stuck documents and billing-limit failures.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Ship the data-retention schedule and first automated clean-up jobs (processing logs 90 days; login/email logs 12 months; activity 12–24 months; audit 24 months), plus a retention date on documents.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The plan schedules this for v1.0.1 — nothing ages out of empty tables on day one, but the capability must exist before data accumulates.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Unbounded personal-data accumulation (GDPR minimisation risk).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Add soft-delete for customer documents (a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deleted at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marker rather than physical removal), with all read paths respecting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Plan-scheduled v1.0.1; right while the table is young and cheap to add.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An accidental deletion is unrecoverable support pain.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Add supplier/organisation name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fuzzy search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with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did you mean?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prompts.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Plan-scheduled v1.0.1–v1.0.2; reduces duplicate supplier creation through the friendly route.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More duplicate supplier records to clean later.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Ship the application-level validation pack: UK VAT checksum, Companies House/CRO number rules, valid postcode/Eircode shape checks, international phone formatting, and EUR defaulting for Irish customers.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Plan-scheduled v1.0.1; this is the approved replacement for the rejected database-level format checks — bad formats are stopped in the app, where format rules belong.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Bad contact/identity data enters at onboarding.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Harden the audit trail: remove the ability to edit or delete audit rows and drop their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last updated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markers.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Plan-scheduled v1.0.1; the honest, cheap route to tamper-evidence (replacing the rejected hash-chain).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Audit trail is mutable; weakens any dispute defence.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Complete the privacy housekeeping: personal-data inventory, expiry on data-export files, deletion of waitlist/beta data at launch, and support-log search indexes.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Plan-scheduled v1.0.1–v1.0.2; low-cost hygiene that underpins our privacy commitments.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Stale marketing PII and slow DSAR (data subject access request) responses.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Consolidate the two overlapping notification-delivery tables into 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Plan-scheduled v1.0.1–v1.0.2; mirrors the approved invitations consolidation — two tables answering the same question drift.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Divergent notification records; support confusion.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Allow customer documents to exist without a named uploading member (relax that requirement).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Plan-scheduled v1.0.1; pipeline-uploaded documents have no human uploader, so the rule currently blocks legitimate ingest paths.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Legitimate uploads rejected or forced fake attributions.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Small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ection-2-deferred-changes-defer-to-v1.1"/>
    <w:p>
      <w:pPr>
        <w:pStyle w:val="Heading2"/>
      </w:pPr>
      <w:r>
        <w:t xml:space="preserve">Section 2 — Deferred Changes </w:t>
      </w:r>
      <w:r>
        <w:rPr>
          <w:rFonts w:ascii="Segoe UI Emoji" w:hAnsi="Segoe UI Emoji" w:cs="Segoe UI Emoji" w:eastAsia="Segoe UI Emoji"/>
        </w:rPr>
        <w:t>🟡</w:t>
      </w:r>
      <w:r>
        <w:t xml:space="preserve"> (DEFER TO V1.1)</w:t>
      </w:r>
    </w:p>
    <w:p>
      <w:pPr>
        <w:pStyle w:val="FirstParagraph"/>
      </w:pPr>
      <w:r>
        <w:t xml:space="preserve">Genuinely good ideas whose cost, scope, or dependencies make them wrong for the launch window. Each has a named trigger or target version so it is revisited, not forgotten. The six B-window items (B9–B14) are scheduled by the plan at v1.0.2 or later and are therefore deferred here to v1.1 planning.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9FB8AC" w:space="0"/>
          <w:left w:val="single" w:sz="4" w:color="9FB8AC" w:space="0"/>
          <w:bottom w:val="single" w:sz="4" w:color="9FB8AC" w:space="0"/>
          <w:right w:val="single" w:sz="4" w:color="9FB8AC" w:space="0"/>
          <w:insideH w:val="single" w:sz="4" w:color="9FB8AC" w:space="0"/>
          <w:insideV w:val="single" w:sz="4" w:color="9FB8AC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3EDE7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9"/>
              </w:rPr>
              <w:t xml:space="preserve">ID</w:t>
            </w:r>
          </w:p>
        </w:tc>
        <w:tc>
          <w:tcPr>
            <w:shd w:val="clear" w:fill="E3EDE7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9"/>
              </w:rPr>
              <w:t xml:space="preserve">Recommendation</w:t>
            </w:r>
          </w:p>
        </w:tc>
        <w:tc>
          <w:tcPr>
            <w:shd w:val="clear" w:fill="E3EDE7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9"/>
              </w:rPr>
              <w:t xml:space="preserve">Why Deferred</w:t>
            </w:r>
          </w:p>
        </w:tc>
        <w:tc>
          <w:tcPr>
            <w:shd w:val="clear" w:fill="E3EDE7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9"/>
              </w:rPr>
              <w:t xml:space="preserve">Target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Typed invoice columns (number, date, amounts) on the documents table.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The existing data field already carries this; create typed columns only when query logs prove which are needed.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Hard uniqueness on the document fingerprint.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The fingerprint ships in v1.0; hard-blocking duplicates before we have a duplicate-resolution screen would punish legitimate re-uploads.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Allowed-value lists on the remaining ~20 status fields.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Right mechanism, but doing all of them at once is a redesign, not hardening; the risky five ship in v1.0.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Standardise IP-address storage across the log tables.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Useful for retention/privacy jobs; nothing reads these columns at launch.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Consolidate duplicated contact/identity columns (staff emails, supplier contacts, primary contacts).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Real drift but low-stakes; v1.0 convention stops new writes.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Single canonical source for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read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and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approved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states across messaging and verifications.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Heavy application rework across many surfaces; blocks nothing at launch.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One unified read-only view across the nine-plus audit/activity logs.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Right idea, but there is no auditor or support volume at launch.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County normalisation, arriving with the address-verification feature.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Nothing computes from county today; the verification loop brings normalisation for free.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Constrain the dormant tax/VAT region columns.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Rules on columns serving dormant features are ceremony; apply at feature activation.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Recompute jobs for drifting counters, plus the remaining ~80 flag/timestamp tidy-ups.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v1.0 checks bound the damage; the real fix is worker logic best done as a sweep.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Floor-area conversion tooling and square-feet deprecation; industry-code input hint.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Labelled square-metre columns ship in the first-patch batch (see B10); only the unit-conversion machinery is deferred here.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Address-verification status fields and the Royal Mail/Eircode lookup integration.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The status fields are inert without the verification feature behind them.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Our own invoices table with sequential numbers and stored VAT evidence.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Stripe-hosted invoices cover UK/IE VAT at launch scale; a second source of truth now would drift.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Dedicated contacts and support-ticket tables.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Inline columns serve launch; freezing table shapes before the workflows are real invites rework.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Full historical Irish factor catalogue, gas-species breakdowns, and the factor-table rename.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The correctness-critical core load ships in v1.0; historical depth is breadth, not correctness.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Proper reporting-period fields and SECR qualification metadata.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An integer year can’t name a financial year, but SECR is not a day-one flow; needed before the first SECR season.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Phone/timezone columns on users and organisations.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These earn their keep only with 2FA and invoicing; ship the columns with the features.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Bill-to-site meter (MPAN/MPRN — electricity/gas meter supply numbers) matching logic and site-manager contact fields.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The meter number column ships in the first-patch batch (see B10); only the supplier-matching logic is deferred here.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Per-organisation holiday calendars for support-SLA maths.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 modest v1.1 fix; four-jurisdiction modelling (rejected) is not needed.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Per-user notification channel preferences.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Preferences without per-channel delivery are inert columns.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Move typing/presence indicators to the platform’s realtime service.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The interim safeguards ship in v1.0; the platform absorbs this for free when done properly.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Consultant-client identity fields, credit limits, waitlist country, and Xero/QuickBooks sync columns.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None launch-blocking; the sync columns only have meaning once an integration contract exists.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 (sync columns may slip to v2.0)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Evidence-gated extra indexes (document data search, message search, back-office dashboards).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Build only when query logs or committed screens prove the need — the audit’s own stated criterion.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Self-service erasure UI, privacy-inventory automation, consent-capture fields.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The tested manual erasure procedure ships at launch; self-serve layers onto it later.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Merge the three processing queues into 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The multi-stage pipeline is an approved architecture decision; v1.x manages it with contracts, not redesign.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v2.0+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API-key and webhook infrastructure for an external API product.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There is no integration customer; revisit when the first one signs.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Enterprise single-sign-on (Entra ID) columns.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Trivial to add when the first enterprise procurement demands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Supplier-portal identity model.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Suppliers are data rows today; half-built portal columns are exactly the drift our architecture rules guard against.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Activate the dormant EU sustainability-reporting (CSRD/ESRS) fields.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EU scope is future by definition — but Ireland has transposed CSRD, so this is a standing watch item for large Irish signings.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v2.0+ (v1.1 watch item)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Envelope encryption (vault/KMS) for supplier bank details.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Display masking covers the launch risk; the provider decision must not be rushed inside a launch sprint.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Supplier sort-code column and last-4-only bank-detail masking in API responses.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Plan schedules the masking at v1.0.2; batch with the C30 bank-security work.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Labelled square-metre floor-area columns, site meter number, and direct site reference on emissions entries.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Plan schedules these at v1.0.2; all are useful reporting enrichments, none launch-critical.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Remaining modest value checks (timezone list, sensible date pairs, 0–100 percentages, non-negative counts).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Plan schedules at v1.0.2; the risky status/quantity checks already ship in v1.0.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Allowed-value list on the notification recipient type.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Plan schedules at v1.0.2; low-risk field behind the v1.0 queue/billing status checks.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De-duplicate the two overlapping default tax-rate columns.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Plan schedules at v1.0.2; convention prevents drift until then.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Standardise the AI confidence-score format.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Plan schedules at v1.0.2; display-level inconsistency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v1.1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ection-3-rejected-changes-reject"/>
    <w:p>
      <w:pPr>
        <w:pStyle w:val="Heading2"/>
      </w:pPr>
      <w:r>
        <w:t xml:space="preserve">Section 3 — Rejected Changes </w:t>
      </w:r>
      <w:r>
        <w:rPr>
          <w:rFonts w:ascii="Segoe UI Emoji" w:hAnsi="Segoe UI Emoji" w:cs="Segoe UI Emoji" w:eastAsia="Segoe UI Emoji"/>
        </w:rPr>
        <w:t>🔴</w:t>
      </w:r>
      <w:r>
        <w:t xml:space="preserve"> (REJECT)</w:t>
      </w:r>
    </w:p>
    <w:p>
      <w:pPr>
        <w:pStyle w:val="FirstParagraph"/>
      </w:pPr>
      <w:r>
        <w:t xml:space="preserve">Rejected on the plan’s reasoning: each either conflicts with an approved architecture decision, is over-engineered for a ~50-customer pre-revenue product, is low-value, or is premature optimisation. Each rejection pairs with a cheaper control that does ship.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9FB8AC" w:space="0"/>
          <w:left w:val="single" w:sz="4" w:color="9FB8AC" w:space="0"/>
          <w:bottom w:val="single" w:sz="4" w:color="9FB8AC" w:space="0"/>
          <w:right w:val="single" w:sz="4" w:color="9FB8AC" w:space="0"/>
          <w:insideH w:val="single" w:sz="4" w:color="9FB8AC" w:space="0"/>
          <w:insideV w:val="single" w:sz="4" w:color="9FB8AC" w:space="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3EDE7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9"/>
              </w:rPr>
              <w:t xml:space="preserve">ID</w:t>
            </w:r>
          </w:p>
        </w:tc>
        <w:tc>
          <w:tcPr>
            <w:shd w:val="clear" w:fill="E3EDE7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9"/>
              </w:rPr>
              <w:t xml:space="preserve">Recommendation</w:t>
            </w:r>
          </w:p>
        </w:tc>
        <w:tc>
          <w:tcPr>
            <w:shd w:val="clear" w:fill="E3EDE7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9"/>
              </w:rPr>
              <w:t xml:space="preserve">Reason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Format-checking rules (VAT, postcode, Eircode, phone, email, company numbers) hard-coded into the database.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Conflicts with an approved architecture decision: format rules belong in the application. Hard-coded rules reject valid edge cases and rot as third-party registries change. The approved app-layer validation pack (B4) is the correct home.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Index everything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programme — roughly 60 indexes across all tables.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Over-engineered, ~3× over-scoped: many indexes would sit on tables that are static, never searched, or deleted at launch, while slowing every write on the hot path. 15–18 targeted indexes ship instead.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Blanket advanced search indexes on all free-form data blobs.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Over-engineered: these indexes rewrite on every update of our busiest tables, to serve queries nobody runs. One security-related exception ships; the rest are evidence-gated (C23).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Monthly partitioning of the nine-plus log tables.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Premature optimisation: our year-one volumes are trivially handled by ordinary indexes plus retention deletes. Documented trigger for revisiting (10–20M rows per table).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Cryptographic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hash chain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tamper-proofing of the audit trail.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Low value — security theatre: the party verifying the chain is the same party that could rewrite it, so it proves nothing to an external auditor. Privilege lockdown plus point-in-time backups (B5) is the honest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Merging the nine-plus audit/activity log tables into 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Conflicts with an approved architecture decision (per-domain logs are frozen); a read-only view (C7) delivers the same benefit without rewriting every call site.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Replacing list-style columns with junction tables.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Conflicts with an approved architecture decision; the existing structure works fine at our scale and the churn buys nothing measurable.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Converting status fields to a rigid database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enum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type.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Conflicts with an approved architecture decision: that type makes every future new status value a painful schema change. Allowed-value lists (A25, C3) deliver the same protection flexibly.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 county lookup table (26 Irish + 6 NI + UK ceremonial counties).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Low value: nothing computes from county in either market, and it imports Dublin city/county and Derry/Londonderry edge-case debt for zero consumers.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UK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nation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field plus four-jurisdiction bank-holiday modelling.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Low value and over-engineered: no feature consumes it; nation is derivable from postcode area, and per-organisation holiday dates (C19) solve the real problem.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 second, parallel country-code column alongside the existing 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Over-engineered: the cure for a single-source-of-truth problem cannot be a second source of truth. Restricting the existing field (A11) fixes the actual defect.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Industry-classification (SIC) lookup table and Companies House schema artefacts.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Low value: nothing computes from the industry code at launch; a lookup table is maintenance in search of a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 separate Irish company-number column alongside the existing 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Over-engineered duplication: one company-number column with country-aware app validation serves both jurisdictions; two columns would split the uniqueness rule.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Forbidding two suppliers with the same name within an organisation.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An incorrect integrity rule: same-name suppliers legitimately exist (e.g. two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City Electrical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branches); the rule would force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City Electrical 2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workarounds that pollute the data. Uniqueness on VAT/company numbers (A20) plus fuzzy matching (B3) is the right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Accounting-integration identity columns added now,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just in case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Premature: speculative columns with no integration contract invite improvised meanings the real feature must unpick. Added when Xero/QuickBooks is scoped (C22).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API-key and webhook tables in v1.x.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Premature: no integration customer exists to consume them. Revisit at v2.0 (C26).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Deleting dormant EU/US compliance columns as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“</w:t>
            </w:r>
            <w:r>
              <w:rPr>
                <w:color w:val="333333"/>
                <w:sz w:val="19"/>
              </w:rPr>
              <w:t xml:space="preserve">scope hygiene</w:t>
            </w:r>
            <w:r>
              <w:rPr>
                <w:color w:val="333333"/>
                <w:sz w:val="19"/>
              </w:rPr>
              <w:t xml:space="preserve">”</w:t>
            </w:r>
            <w:r>
              <w:rPr>
                <w:color w:val="333333"/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Conflicts with our additive-only architecture posture and is irreversible: some of these may activate for CSRD-scope Irish customers. Dormant is not deleted (C29 watch item).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Our own two-factor-authentication and account-lockout columns.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Conflicts with an approved architecture decision: the login platform owns authentication; parallel auth state creates two drifting credential truths. Interim obligation: stop advertising 2FA as enforced until the platform feature ships.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Indexes on static reference, marketing and presence tables.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Low value and premature: on dozens-of-rows tables the index is dead weight; marketing tables are purged at launch; presence tables move to the realtime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Database triggers keeping address text blocks synchronised with structured address fields.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333333"/>
                <w:sz w:val="19"/>
              </w:rPr>
              <w:t xml:space="preserve">Over-engineered: hidden write-path machinery solving a procedural problem. A simple writing convention — structured fields are the truth, text blocks are generated displays — closes the risk.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ection-4-risks"/>
    <w:p>
      <w:pPr>
        <w:pStyle w:val="Heading2"/>
      </w:pPr>
      <w:r>
        <w:t xml:space="preserve">Section 4 — Risks</w:t>
      </w:r>
    </w:p>
    <w:p>
      <w:pPr>
        <w:pStyle w:val="FirstParagraph"/>
      </w:pPr>
      <w:r>
        <w:t xml:space="preserve">The top ten remaining risks before launch, ranked. All are drawn from the plan; none is new.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Critical — Unverified foundations (indexes, isolation rules, delete behaviour, table relationships).</w:t>
      </w:r>
      <w:r>
        <w:t xml:space="preserve"> </w:t>
      </w:r>
      <w:r>
        <w:t xml:space="preserve">The original schema dump showed none of these. They may exist in the actual migration files — but until someone inspects them, we are scoring an evidence pack, not a database. The migration-file inspection is the plan’s</w:t>
      </w:r>
      <w:r>
        <w:t xml:space="preserve"> </w:t>
      </w:r>
      <w:r>
        <w:t xml:space="preserve">“</w:t>
      </w:r>
      <w:r>
        <w:t xml:space="preserve">action zero</w:t>
      </w:r>
      <w:r>
        <w:t xml:space="preserve">”</w:t>
      </w:r>
      <w:r>
        <w:t xml:space="preserve"> </w:t>
      </w:r>
      <w:r>
        <w:t xml:space="preserve">and the first binding condition.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Critical — Tenant isolation must be proven, not assumed.</w:t>
      </w:r>
      <w:r>
        <w:t xml:space="preserve"> </w:t>
      </w:r>
      <w:r>
        <w:t xml:space="preserve">Whatever the migration files contain, a scripted cross-tenant penetration test must return zero leaked rows for every user role. One cross-tenant sighting after launch is a reportable ICO/DPC incident.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Critical — The data-erasure procedure is launch-gated.</w:t>
      </w:r>
      <w:r>
        <w:t xml:space="preserve"> </w:t>
      </w:r>
      <w:r>
        <w:t xml:space="preserve">A GDPR deletion request can arrive on day one with a one-month statutory clock, and hard deletion is structurally impossible. The rehearsed anonymise-in-place runbook (with a clean residual-data scan) is non-negotiable.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Critical — Irish market data quality.</w:t>
      </w:r>
      <w:r>
        <w:t xml:space="preserve"> </w:t>
      </w:r>
      <w:r>
        <w:t xml:space="preserve">If the Irish factor load slips, the only acceptable fallback is gating Irish sign-ups at onboarding — never shipping Irish customers UK factors and calling the result Scope 2. A wrong carbon number is worse than a missing feature.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High — Irish site registration must be end-to-end proven.</w:t>
      </w:r>
      <w:r>
        <w:t xml:space="preserve"> </w:t>
      </w:r>
      <w:r>
        <w:t xml:space="preserve">The Eircode fix must be exercised by the Irish fixture test (Irish organisation, site, EUR, Irish factor) in every release candidate — this is the regression guard whose absence let the defect survive to audit.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High — Seed-data cleanup.</w:t>
      </w:r>
      <w:r>
        <w:t xml:space="preserve"> </w:t>
      </w:r>
      <w:r>
        <w:t xml:space="preserve">Out-of-market test users with pseudo-personal data must be removed before launch, and replaced with the Irish fixtures. Shipping leftover test PII is a privacy incident waiting to be discovered.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High — Rollback exposure on two one-way changes.</w:t>
      </w:r>
      <w:r>
        <w:t xml:space="preserve"> </w:t>
      </w:r>
      <w:r>
        <w:t xml:space="preserve">Credential hashing cannot be reversed (only re-issued) and the organisation backfill cannot be un-backfilled. Both rollbacks must be rehearsed on staging before the first deploy, and the rollback strategy formally accepted (Section 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Medium — Processing-queue complexity.</w:t>
      </w:r>
      <w:r>
        <w:t xml:space="preserve"> </w:t>
      </w:r>
      <w:r>
        <w:t xml:space="preserve">The three overlapping processing queues are an approved architecture decision we are deliberately not redesigning. The interim safeguards (status value lists, blank-flag tidy-ups, deduplication) contain the risk, but the consolidation question returns at v2.0 planning and should be watched.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Medium — Validation over-rejection.</w:t>
      </w:r>
      <w:r>
        <w:t xml:space="preserve"> </w:t>
      </w:r>
      <w:r>
        <w:t xml:space="preserve">The new app-layer validation pack risks rejecting legitimate edge-case addresses or numbers. It ships with a shadow-mode (log-only) period and per-rule feature flags so enforcement can be tuned without database change.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Medium — Deferred duplicate enforcement.</w:t>
      </w:r>
      <w:r>
        <w:t xml:space="preserve"> </w:t>
      </w:r>
      <w:r>
        <w:t xml:space="preserve">Document fingerprints ship without hard uniqueness until the duplicate-resolution screen exists (v1.1). Until then duplicates are</w:t>
      </w:r>
      <w:r>
        <w:t xml:space="preserve"> </w:t>
      </w:r>
      <w:r>
        <w:rPr>
          <w:iCs/>
          <w:i/>
        </w:rPr>
        <w:t xml:space="preserve">detected</w:t>
      </w:r>
      <w:r>
        <w:t xml:space="preserve"> </w:t>
      </w:r>
      <w:r>
        <w:t xml:space="preserve">but not</w:t>
      </w:r>
      <w:r>
        <w:t xml:space="preserve"> </w:t>
      </w:r>
      <w:r>
        <w:rPr>
          <w:iCs/>
          <w:i/>
        </w:rPr>
        <w:t xml:space="preserve">prevented</w:t>
      </w:r>
      <w:r>
        <w:t xml:space="preserve"> </w:t>
      </w:r>
      <w:r>
        <w:t xml:space="preserve">— support should monitor for them in the first weeks.</w:t>
      </w:r>
    </w:p>
    <w:p>
      <w:r>
        <w:pict>
          <v:rect style="width:0;height:1.5pt" o:hralign="center" o:hrstd="t" o:hr="t"/>
        </w:pict>
      </w:r>
    </w:p>
    <w:bookmarkEnd w:id="24"/>
    <w:bookmarkStart w:id="25" w:name="section-5-final-approval-checklist"/>
    <w:p>
      <w:pPr>
        <w:pStyle w:val="Heading2"/>
      </w:pPr>
      <w:r>
        <w:t xml:space="preserve">Section 5 — Final Approval Checklist</w:t>
      </w:r>
    </w:p>
    <w:p>
      <w:pPr>
        <w:numPr>
          <w:ilvl w:val="0"/>
          <w:numId w:val="1003"/>
        </w:numPr>
        <w:pStyle w:val="Compact"/>
      </w:pPr>
      <w:r>
        <w:rPr>
          <w:rFonts w:ascii="Segoe UI Emoji" w:hAnsi="Segoe UI Emoji" w:cs="Segoe UI Emoji" w:eastAsia="Segoe UI Emoji"/>
        </w:rPr>
        <w:t>☐</w:t>
      </w:r>
      <w:r>
        <w:t xml:space="preserve"> I have reviewed all 33 approved recommendations in Section 1 and understand what each means for customers, compliance, cost or launch risk.</w:t>
      </w:r>
    </w:p>
    <w:p>
      <w:pPr>
        <w:numPr>
          <w:ilvl w:val="0"/>
          <w:numId w:val="1003"/>
        </w:numPr>
        <w:pStyle w:val="Compact"/>
      </w:pPr>
      <w:r>
        <w:rPr>
          <w:rFonts w:ascii="Segoe UI Emoji" w:hAnsi="Segoe UI Emoji" w:cs="Segoe UI Emoji" w:eastAsia="Segoe UI Emoji"/>
        </w:rPr>
        <w:t>☐</w:t>
      </w:r>
      <w:r>
        <w:t xml:space="preserve"> I confirm none of the approved changes conflicts with an approved architecture decision (the plan confirms all architecture-conflicting remedies were rejected, not approved).</w:t>
      </w:r>
    </w:p>
    <w:p>
      <w:pPr>
        <w:numPr>
          <w:ilvl w:val="0"/>
          <w:numId w:val="1003"/>
        </w:numPr>
        <w:pStyle w:val="Compact"/>
      </w:pPr>
      <w:r>
        <w:rPr>
          <w:rFonts w:ascii="Segoe UI Emoji" w:hAnsi="Segoe UI Emoji" w:cs="Segoe UI Emoji" w:eastAsia="Segoe UI Emoji"/>
        </w:rPr>
        <w:t>☐</w:t>
      </w:r>
      <w:r>
        <w:t xml:space="preserve"> I confirm UK and Ireland launch requirements are fully covered, including Irish Eircode site registration and the SEAI/EPA Irish emission-factor load, and I accept the fallback of gating Irish sign-ups if the factor load slips.</w:t>
      </w:r>
    </w:p>
    <w:p>
      <w:pPr>
        <w:numPr>
          <w:ilvl w:val="0"/>
          <w:numId w:val="1003"/>
        </w:numPr>
        <w:pStyle w:val="Compact"/>
      </w:pPr>
      <w:r>
        <w:rPr>
          <w:rFonts w:ascii="Segoe UI Emoji" w:hAnsi="Segoe UI Emoji" w:cs="Segoe UI Emoji" w:eastAsia="Segoe UI Emoji"/>
        </w:rPr>
        <w:t>☐</w:t>
      </w:r>
      <w:r>
        <w:t xml:space="preserve"> I confirm customer-data isolation (row-level security) is unaffected by the approved changes, and that the isolation penetration test is a binding launch gate.</w:t>
      </w:r>
    </w:p>
    <w:p>
      <w:pPr>
        <w:numPr>
          <w:ilvl w:val="0"/>
          <w:numId w:val="1003"/>
        </w:numPr>
        <w:pStyle w:val="Compact"/>
      </w:pPr>
      <w:r>
        <w:rPr>
          <w:rFonts w:ascii="Segoe UI Emoji" w:hAnsi="Segoe UI Emoji" w:cs="Segoe UI Emoji" w:eastAsia="Segoe UI Emoji"/>
        </w:rPr>
        <w:t>☐</w:t>
      </w:r>
      <w:r>
        <w:t xml:space="preserve"> I confirm the application-level impact is understood: login/reset/invite flows change, upload paths change, and the validation pack changes onboarding behaviour, with shadow-mode and feature flags as the safety mechanism.</w:t>
      </w:r>
    </w:p>
    <w:p>
      <w:pPr>
        <w:numPr>
          <w:ilvl w:val="0"/>
          <w:numId w:val="1003"/>
        </w:numPr>
        <w:pStyle w:val="Compact"/>
      </w:pPr>
      <w:r>
        <w:rPr>
          <w:rFonts w:ascii="Segoe UI Emoji" w:hAnsi="Segoe UI Emoji" w:cs="Segoe UI Emoji" w:eastAsia="Segoe UI Emoji"/>
        </w:rPr>
        <w:t>☐</w:t>
      </w:r>
      <w:r>
        <w:t xml:space="preserve"> I confirm the rollback strategy is accepted, including the two one-way changes (credential hashing — re-issue, not reverse; organisation backfill — snapshot restore only) and their staging rehearsals.</w:t>
      </w:r>
    </w:p>
    <w:p>
      <w:pPr>
        <w:numPr>
          <w:ilvl w:val="0"/>
          <w:numId w:val="1003"/>
        </w:numPr>
        <w:pStyle w:val="Compact"/>
      </w:pPr>
      <w:r>
        <w:rPr>
          <w:rFonts w:ascii="Segoe UI Emoji" w:hAnsi="Segoe UI Emoji" w:cs="Segoe UI Emoji" w:eastAsia="Segoe UI Emoji"/>
        </w:rPr>
        <w:t>☐</w:t>
      </w:r>
      <w:r>
        <w:t xml:space="preserve"> I confirm the deferred items (Section 2) have named target versions and will be revisited at v1.1 planning, and the rejected items (Section 3) will not be built.</w:t>
      </w:r>
    </w:p>
    <w:p>
      <w:pPr>
        <w:numPr>
          <w:ilvl w:val="0"/>
          <w:numId w:val="1003"/>
        </w:numPr>
        <w:pStyle w:val="Compact"/>
      </w:pPr>
      <w:r>
        <w:rPr>
          <w:rFonts w:ascii="Segoe UI Emoji" w:hAnsi="Segoe UI Emoji" w:cs="Segoe UI Emoji" w:eastAsia="Segoe UI Emoji"/>
        </w:rPr>
        <w:t>☐</w:t>
      </w:r>
      <w:r>
        <w:t xml:space="preserve"> I approve implementation of the Section 1 changes as the committed launch programme.</w:t>
      </w:r>
    </w:p>
    <w:p>
      <w:r>
        <w:pict>
          <v:rect style="width:0;height:1.5pt" o:hralign="center" o:hrstd="t" o:hr="t"/>
        </w:pict>
      </w:r>
    </w:p>
    <w:bookmarkEnd w:id="25"/>
    <w:bookmarkStart w:id="26" w:name="section-6-go-no-go-recommendation"/>
    <w:p>
      <w:pPr>
        <w:pStyle w:val="Heading2"/>
      </w:pPr>
      <w:r>
        <w:t xml:space="preserve">Section 6 — Go / No-Go Recommendation</w:t>
      </w:r>
    </w:p>
    <w:p>
      <w:pPr>
        <w:pStyle w:val="FirstParagraph"/>
      </w:pPr>
      <w:r>
        <w:rPr>
          <w:bCs/>
          <w:rFonts w:ascii="Segoe UI Emoji" w:hAnsi="Segoe UI Emoji" w:cs="Segoe UI Emoji" w:eastAsia="Segoe UI Emoji"/>
          <w:b/>
        </w:rPr>
        <w:t>🟡</w:t>
      </w:r>
      <w:r>
        <w:rPr>
          <w:bCs/>
          <w:b/>
        </w:rPr>
        <w:t xml:space="preserve"> GO WITH CONDITIONS.</w:t>
      </w:r>
    </w:p>
    <w:p>
      <w:pPr>
        <w:pStyle w:val="BodyText"/>
      </w:pPr>
      <w:r>
        <w:t xml:space="preserve">CarbonTally is approved to launch in the UK and Ireland once — and only once — the following binding conditions are met, mirroring the plan’s conditional-GO verdict: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Every Section 1 item completed and evidenced.</w:t>
      </w:r>
      <w:r>
        <w:t xml:space="preserve"> </w:t>
      </w:r>
      <w:r>
        <w:t xml:space="preserve">All 25 launch-gating items (A1–A25) verified on staging with the named proof for each (e.g. the Irish facility registers end-to-end; the isolation penetration test returns zero cross-tenant rows; duplicate and negative-value writes are rejected). There is no partial credit: 24 of 25 is a No-Go. The eight approved B-window items (B1–B8) are committed to the v1.0.1 patch window immediately after launch.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migration-file inspection gate passed.</w:t>
      </w:r>
      <w:r>
        <w:t xml:space="preserve"> </w:t>
      </w:r>
      <w:r>
        <w:t xml:space="preserve">Before remediation is scored complete, the actual Supabase migration files must be inspected to confirm which protections (indexes, isolation policies, relationships, value rules) genuinely exist — the audit’s own evidence caveat makes this the mandatory action zero.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Irish fixture test passed and made permanent.</w:t>
      </w:r>
      <w:r>
        <w:t xml:space="preserve"> </w:t>
      </w:r>
      <w:r>
        <w:t xml:space="preserve">An Irish organisation with an Eircode site, EUR currency and an Irish emission factor must register, upload and report correctly in every release candidate — and if the Irish factor load slips, Irish sign-ups are gated at onboarding rather than shipping wrong Scope 2 numbers.</w:t>
      </w:r>
    </w:p>
    <w:p>
      <w:pPr>
        <w:pStyle w:val="FirstParagraph"/>
      </w:pPr>
      <w:r>
        <w:t xml:space="preserve">With these conditions met, the remaining deferred and rejected items carry no launch risk at our scale, and the product can proceed to revenue with known, scheduled hygiene debt.</w:t>
      </w:r>
    </w:p>
    <w:bookmarkEnd w:id="26"/>
    <w:bookmarkEnd w:id="27"/>
    <w:sectPr>
      <w:headerReference w:type="default" r:id="rId9"/>
      <w:footerReference w:type="default" r:id="rId10"/>
      <w:pgSz w:orient="landscape" w:w="16834" w:h="11909"/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E8B7B"/>
        <w:sz w:val="18"/>
      </w:rPr>
      <w:t xml:space="preserve">Page </w:t>
    </w:r>
    <w:r>
      <w:rPr>
        <w:color w:val="6E8B7B"/>
        <w:sz w:val="18"/>
      </w:rPr>
      <w:fldChar w:fldCharType="begin"/>
    </w:r>
    <w:r>
      <w:rPr>
        <w:color w:val="6E8B7B"/>
        <w:sz w:val="18"/>
      </w:rPr>
      <w:instrText xml:space="preserve"> PAGE </w:instrText>
    </w:r>
    <w:r>
      <w:rPr>
        <w:color w:val="6E8B7B"/>
        <w:sz w:val="18"/>
      </w:rPr>
      <w:fldChar w:fldCharType="end"/>
    </w:r>
    <w:r>
      <w:rPr>
        <w:color w:val="6E8B7B"/>
        <w:sz w:val="18"/>
      </w:rPr>
      <w:t xml:space="preserve"> of </w:t>
    </w:r>
    <w:r>
      <w:rPr>
        <w:color w:val="6E8B7B"/>
        <w:sz w:val="18"/>
      </w:rPr>
      <w:fldChar w:fldCharType="begin"/>
    </w:r>
    <w:r>
      <w:rPr>
        <w:color w:val="6E8B7B"/>
        <w:sz w:val="18"/>
      </w:rPr>
      <w:instrText xml:space="preserve"> NUMPAGES </w:instrText>
    </w:r>
    <w:r>
      <w:rPr>
        <w:color w:val="6E8B7B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color="9FB8AC" w:space="4"/>
      </w:pBdr>
    </w:pPr>
    <w:r/>
    <w:r>
      <w:rPr>
        <w:color w:val="6E8B7B"/>
        <w:sz w:val="18"/>
      </w:rPr>
      <w:t>CarbonTally v1.0 — Management Approval Report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3333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2026-08-04T04:17:24Z</dcterms:created>
  <dcterms:modified xsi:type="dcterms:W3CDTF">2026-08-04T04:17:24Z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