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3a58bdac951ac831e3ac26aa14faf2518987d7a"/>
    <w:p>
      <w:pPr>
        <w:pStyle w:val="Heading1"/>
      </w:pPr>
      <w:r>
        <w:t xml:space="preserve">CarbonTally v1.0 — Structural Change Review</w:t>
      </w:r>
    </w:p>
    <w:p>
      <w:pPr>
        <w:pStyle w:val="FirstParagraph"/>
      </w:pPr>
      <w:r>
        <w:rPr>
          <w:iCs/>
          <w:i/>
        </w:rPr>
        <w:t xml:space="preserve">Chief Database Architect’s review — prepared against the actual schema dump (</w:t>
      </w:r>
      <w:r>
        <w:rPr>
          <w:rStyle w:val="VerbatimChar"/>
          <w:iCs/>
          <w:i/>
        </w:rPr>
        <w:t xml:space="preserve">database.txt</w:t>
      </w:r>
      <w:r>
        <w:rPr>
          <w:iCs/>
          <w:i/>
        </w:rPr>
        <w:t xml:space="preserve">, ~90 tables), the Production Hardening Plan and the original readiness review. Scope: structural changes only — renames, added columns, added tables, indexes, constraints, foreign keys. ADRs are frozen: the jsonb</w:t>
      </w:r>
      <w:r>
        <w:rPr>
          <w:iCs/>
          <w:i/>
        </w:rPr>
        <w:t xml:space="preserve"> </w:t>
      </w:r>
      <w:r>
        <w:rPr>
          <w:rStyle w:val="VerbatimChar"/>
          <w:iCs/>
          <w:i/>
        </w:rPr>
        <w:t xml:space="preserve">metadata</w:t>
      </w:r>
      <w:r>
        <w:rPr>
          <w:iCs/>
          <w:i/>
        </w:rPr>
        <w:t xml:space="preserve">/</w:t>
      </w:r>
      <w:r>
        <w:rPr>
          <w:rStyle w:val="VerbatimChar"/>
          <w:iCs/>
          <w:i/>
        </w:rPr>
        <w:t xml:space="preserve">extracted_data</w:t>
      </w:r>
      <w:r>
        <w:rPr>
          <w:iCs/>
          <w:i/>
        </w:rPr>
        <w:t xml:space="preserve"> </w:t>
      </w:r>
      <w:r>
        <w:rPr>
          <w:iCs/>
          <w:i/>
        </w:rPr>
        <w:t xml:space="preserve">pattern, the single processing-queue direction and Supabase Auth ownership are not revisited. No SQL is specified anywhere in this document; proposals are design prose. Data-only loads (e.g. seeding the SEAI/EPA factor set) and application-layer work are noted for context only, never as recommendations.</w:t>
      </w:r>
    </w:p>
    <w:bookmarkStart w:id="20" w:name="executive-summary"/>
    <w:p>
      <w:pPr>
        <w:pStyle w:val="Heading2"/>
      </w:pPr>
      <w:r>
        <w:t xml:space="preserve">Executive Summary</w:t>
      </w:r>
    </w:p>
    <w:p>
      <w:pPr>
        <w:pStyle w:val="FirstParagraph"/>
      </w:pPr>
      <w:r>
        <w:t xml:space="preserve">Thirty-eight candidate structural changes were evaluated against the schema as dumped. The verdicts:</w:t>
      </w:r>
      <w:r>
        <w:t xml:space="preserve"> </w:t>
      </w:r>
      <w:r>
        <w:rPr>
          <w:bCs/>
          <w:b/>
        </w:rPr>
        <w:t xml:space="preserve">28 APPROVE, 4 DEFER, 6 REJECT</w:t>
      </w:r>
      <w:r>
        <w:t xml:space="preserve">. The approved set is dominated by Small, additive changes — nullable columns, IN-list CHECKs, one type widening, three renames and five targeted index families — consistent with the hardening plan’s finding that the launch programme is a hardening sprint, not a redesign.</w:t>
      </w:r>
    </w:p>
    <w:p>
      <w:pPr>
        <w:pStyle w:val="BodyText"/>
      </w:pPr>
      <w:r>
        <w:t xml:space="preserve">The new product decision — UK as the default and primary launch market with full UK validation, UK reporting and UK defaults; Ireland as a beta market in which Irish users may register and operate but Ireland-specific localisation is limited to beta necessities — recalibrates rather than enlarges the prior triage. Two consequences follow. First, Ireland remains a</w:t>
      </w:r>
      <w:r>
        <w:t xml:space="preserve"> </w:t>
      </w:r>
      <w:r>
        <w:rPr>
          <w:iCs/>
          <w:i/>
        </w:rPr>
        <w:t xml:space="preserve">write-path</w:t>
      </w:r>
      <w:r>
        <w:t xml:space="preserve"> </w:t>
      </w:r>
      <w:r>
        <w:t xml:space="preserve">necessity even in beta: an Irish beta user must be able to register an organisation, add a facility (which requires the</w:t>
      </w:r>
      <w:r>
        <w:t xml:space="preserve"> </w:t>
      </w:r>
      <w:r>
        <w:rPr>
          <w:rStyle w:val="VerbatimChar"/>
        </w:rPr>
        <w:t xml:space="preserve">facilities.eircode</w:t>
      </w:r>
      <w:r>
        <w:t xml:space="preserve"> </w:t>
      </w:r>
      <w:r>
        <w:t xml:space="preserve">fix, since Ireland has no postcodes), upload documents and see a reported number — so the Eircode write-path and the country/currency IN-lists stay approved. Second, Ireland-specific</w:t>
      </w:r>
      <w:r>
        <w:t xml:space="preserve"> </w:t>
      </w:r>
      <w:r>
        <w:rPr>
          <w:iCs/>
          <w:i/>
        </w:rPr>
        <w:t xml:space="preserve">validation depth</w:t>
      </w:r>
      <w:r>
        <w:t xml:space="preserve"> </w:t>
      </w:r>
      <w:r>
        <w:t xml:space="preserve">(Eircode routing-key verification, CRO number rules, county normalisation, Irish address-verification loops) is correctly held at the API layer or deferred — none of it is structural, and none of it justifies schema. The rejected regex-CHECK matrix stays rejected under either framing.</w:t>
      </w:r>
    </w:p>
    <w:p>
      <w:pPr>
        <w:pStyle w:val="BodyText"/>
      </w:pPr>
      <w:r>
        <w:t xml:space="preserve">The hard requirement — full Ireland support in v1.1 with</w:t>
      </w:r>
      <w:r>
        <w:t xml:space="preserve"> </w:t>
      </w:r>
      <w:r>
        <w:rPr>
          <w:bCs/>
          <w:b/>
        </w:rPr>
        <w:t xml:space="preserve">no major database redesign</w:t>
      </w:r>
      <w:r>
        <w:t xml:space="preserve"> </w:t>
      </w:r>
      <w:r>
        <w:t xml:space="preserve">— is met by three specific enablers in the approved set:</w:t>
      </w:r>
      <w:r>
        <w:t xml:space="preserve"> </w:t>
      </w:r>
      <w:r>
        <w:rPr>
          <w:bCs/>
          <w:b/>
        </w:rPr>
        <w:t xml:space="preserve">R1</w:t>
      </w:r>
      <w:r>
        <w:t xml:space="preserve"> </w:t>
      </w:r>
      <w:r>
        <w:t xml:space="preserve">(</w:t>
      </w:r>
      <w:r>
        <w:rPr>
          <w:rStyle w:val="VerbatimChar"/>
        </w:rPr>
        <w:t xml:space="preserve">defra_conversion_factors</w:t>
      </w:r>
      <w:r>
        <w:t xml:space="preserve"> </w:t>
      </w:r>
      <w:r>
        <w:t xml:space="preserve">renamed to the jurisdiction-neutral</w:t>
      </w:r>
      <w:r>
        <w:t xml:space="preserve"> </w:t>
      </w:r>
      <w:r>
        <w:rPr>
          <w:rStyle w:val="VerbatimChar"/>
        </w:rPr>
        <w:t xml:space="preserve">emission_factors</w:t>
      </w:r>
      <w:r>
        <w:t xml:space="preserve">),</w:t>
      </w:r>
      <w:r>
        <w:t xml:space="preserve"> </w:t>
      </w:r>
      <w:r>
        <w:rPr>
          <w:bCs/>
          <w:b/>
        </w:rPr>
        <w:t xml:space="preserve">R2</w:t>
      </w:r>
      <w:r>
        <w:t xml:space="preserve"> </w:t>
      </w:r>
      <w:r>
        <w:t xml:space="preserve">(the two referencing FK columns renamed to</w:t>
      </w:r>
      <w:r>
        <w:t xml:space="preserve"> </w:t>
      </w:r>
      <w:r>
        <w:rPr>
          <w:rStyle w:val="VerbatimChar"/>
        </w:rPr>
        <w:t xml:space="preserve">emission_factor_id</w:t>
      </w:r>
      <w:r>
        <w:t xml:space="preserve">/</w:t>
      </w:r>
      <w:r>
        <w:rPr>
          <w:rStyle w:val="VerbatimChar"/>
        </w:rPr>
        <w:t xml:space="preserve">emission_factor_used</w:t>
      </w:r>
      <w:r>
        <w:t xml:space="preserve">), and</w:t>
      </w:r>
      <w:r>
        <w:t xml:space="preserve"> </w:t>
      </w:r>
      <w:r>
        <w:rPr>
          <w:bCs/>
          <w:b/>
        </w:rPr>
        <w:t xml:space="preserve">C4</w:t>
      </w:r>
      <w:r>
        <w:t xml:space="preserve"> </w:t>
      </w:r>
      <w:r>
        <w:t xml:space="preserve">(provenance columns including a</w:t>
      </w:r>
      <w:r>
        <w:t xml:space="preserve"> </w:t>
      </w:r>
      <w:r>
        <w:rPr>
          <w:rStyle w:val="VerbatimChar"/>
        </w:rPr>
        <w:t xml:space="preserve">country</w:t>
      </w:r>
      <w:r>
        <w:t xml:space="preserve"> </w:t>
      </w:r>
      <w:r>
        <w:t xml:space="preserve">jurisdiction column constrained to the (</w:t>
      </w:r>
      <w:r>
        <w:t xml:space="preserve">‘</w:t>
      </w:r>
      <w:r>
        <w:t xml:space="preserve">GB</w:t>
      </w:r>
      <w:r>
        <w:t xml:space="preserve">’</w:t>
      </w:r>
      <w:r>
        <w:t xml:space="preserve">,</w:t>
      </w:r>
      <w:r>
        <w:t xml:space="preserve">‘</w:t>
      </w:r>
      <w:r>
        <w:t xml:space="preserve">IE</w:t>
      </w:r>
      <w:r>
        <w:t xml:space="preserve">’</w:t>
      </w:r>
      <w:r>
        <w:t xml:space="preserve">) list by K1’s mechanism). With those three in place, v1.1 Ireland activation is a</w:t>
      </w:r>
      <w:r>
        <w:t xml:space="preserve"> </w:t>
      </w:r>
      <w:r>
        <w:rPr>
          <w:iCs/>
          <w:i/>
        </w:rPr>
        <w:t xml:space="preserve">data</w:t>
      </w:r>
      <w:r>
        <w:t xml:space="preserve"> </w:t>
      </w:r>
      <w:r>
        <w:t xml:space="preserve">exercise — loading SEAI/EPA rows with</w:t>
      </w:r>
      <w:r>
        <w:t xml:space="preserve"> </w:t>
      </w:r>
      <w:r>
        <w:rPr>
          <w:rStyle w:val="VerbatimChar"/>
        </w:rPr>
        <w:t xml:space="preserve">country='IE'</w:t>
      </w:r>
      <w:r>
        <w:t xml:space="preserve"> </w:t>
      </w:r>
      <w:r>
        <w:t xml:space="preserve">— plus API-layer validation work, against a schema that already names, keys and constrains jurisdiction correctly. Note for context (not a recommendation, being a data load): the minimal current-year SEAI/EPA core factor load identified in the hardening plan remains the correct companion to C4 and should ride the same phase; it is excluded from this register because it changes rows, not structure. Where the dump is silent — it shows no indexes, foreign keys, CHECK definitions or RLS policies — this review states so explicitly, and the migration-file inspection (the hardening plan’s</w:t>
      </w:r>
      <w:r>
        <w:t xml:space="preserve"> </w:t>
      </w:r>
      <w:r>
        <w:t xml:space="preserve">“</w:t>
      </w:r>
      <w:r>
        <w:t xml:space="preserve">action zero</w:t>
      </w:r>
      <w:r>
        <w:t xml:space="preserve">”</w:t>
      </w:r>
      <w:r>
        <w:t xml:space="preserve">) is recorded as the migration-impact caveat on every affected item.</w:t>
      </w:r>
    </w:p>
    <w:bookmarkEnd w:id="20"/>
    <w:bookmarkStart w:id="21" w:name="summary-register"/>
    <w:p>
      <w:pPr>
        <w:pStyle w:val="Heading2"/>
      </w:pPr>
      <w:r>
        <w:t xml:space="preserve">Summary Register</w:t>
      </w:r>
    </w:p>
    <w:tbl>
      <w:tblPr>
        <w:tblStyle w:val="Table"/>
        <w:tblW w:type="dxa" w:w="14817"/>
        <w:jc w:val="center"/>
        <w:tblLayout w:type="autofit"/>
        <w:tblLook w:firstRow="1" w:lastRow="0" w:firstColumn="0" w:lastColumn="0" w:noHBand="0" w:noVBand="0" w:val="0020"/>
        <w:tblBorders>
          <w:top w:val="single" w:sz="4" w:color="9FB8AC"/>
          <w:left w:val="single" w:sz="4" w:color="9FB8AC"/>
          <w:bottom w:val="single" w:sz="4" w:color="9FB8AC"/>
          <w:right w:val="single" w:sz="4" w:color="9FB8AC"/>
          <w:insideH w:val="single" w:sz="4" w:color="9FB8AC"/>
          <w:insideV w:val="single" w:sz="4" w:color="9FB8AC"/>
        </w:tblBorders>
      </w:tblPr>
      <w:tblGrid>
        <w:gridCol w:w="754"/>
        <w:gridCol w:w="1508"/>
        <w:gridCol w:w="1131"/>
        <w:gridCol w:w="3017"/>
        <w:gridCol w:w="1508"/>
      </w:tblGrid>
      <w:tr>
        <w:trPr>
          <w:tblHeader w:val="true"/>
          <w:tblHeader w:val="true"/>
        </w:trPr>
        <w:tc>
          <w:tcPr>
            <w:shd w:val="clear" w:fill="E3EDE7"/>
          </w:tcPr>
          <w:p>
            <w:pPr>
              <w:pStyle w:val="Compact"/>
              <w:jc w:val="left"/>
            </w:pPr>
            <w:r>
              <w:rPr>
                <w:b/>
                <w:color w:val="333333"/>
                <w:sz w:val="19"/>
              </w:rPr>
              <w:t xml:space="preserve">ID</w:t>
            </w:r>
          </w:p>
        </w:tc>
        <w:tc>
          <w:tcPr>
            <w:shd w:val="clear" w:fill="E3EDE7"/>
          </w:tcPr>
          <w:p>
            <w:pPr>
              <w:pStyle w:val="Compact"/>
              <w:jc w:val="left"/>
            </w:pPr>
            <w:r>
              <w:rPr>
                <w:b/>
                <w:color w:val="333333"/>
                <w:sz w:val="19"/>
              </w:rPr>
              <w:t xml:space="preserve">Change</w:t>
            </w:r>
          </w:p>
        </w:tc>
        <w:tc>
          <w:tcPr>
            <w:shd w:val="clear" w:fill="E3EDE7"/>
          </w:tcPr>
          <w:p>
            <w:pPr>
              <w:pStyle w:val="Compact"/>
              <w:jc w:val="left"/>
            </w:pPr>
            <w:r>
              <w:rPr>
                <w:b/>
                <w:color w:val="333333"/>
                <w:sz w:val="19"/>
              </w:rPr>
              <w:t xml:space="preserve">Type</w:t>
            </w:r>
          </w:p>
        </w:tc>
        <w:tc>
          <w:tcPr>
            <w:shd w:val="clear" w:fill="E3EDE7"/>
          </w:tcPr>
          <w:p>
            <w:pPr>
              <w:pStyle w:val="Compact"/>
              <w:jc w:val="left"/>
            </w:pPr>
            <w:r>
              <w:rPr>
                <w:b/>
                <w:color w:val="333333"/>
                <w:sz w:val="19"/>
              </w:rPr>
              <w:t xml:space="preserve">Recommendation</w:t>
            </w:r>
          </w:p>
        </w:tc>
        <w:tc>
          <w:tcPr>
            <w:shd w:val="clear" w:fill="E3EDE7"/>
          </w:tcPr>
          <w:p>
            <w:pPr>
              <w:pStyle w:val="Compact"/>
              <w:jc w:val="left"/>
            </w:pPr>
            <w:r>
              <w:rPr>
                <w:b/>
                <w:color w:val="333333"/>
                <w:sz w:val="19"/>
              </w:rPr>
              <w:t xml:space="preserve">Effort</w:t>
            </w:r>
          </w:p>
        </w:tc>
      </w:tr>
      <w:tr>
        <w:tc>
          <w:tcPr/>
          <w:p>
            <w:pPr>
              <w:pStyle w:val="Compact"/>
              <w:jc w:val="left"/>
            </w:pPr>
            <w:r>
              <w:rPr>
                <w:color w:val="333333"/>
                <w:sz w:val="19"/>
              </w:rPr>
              <w:t xml:space="preserve">R1</w:t>
            </w:r>
          </w:p>
        </w:tc>
        <w:tc>
          <w:tcPr/>
          <w:p>
            <w:pPr>
              <w:pStyle w:val="Compact"/>
              <w:jc w:val="left"/>
            </w:pPr>
            <w:r>
              <w:rPr>
                <w:rStyle w:val="VerbatimChar"/>
                <w:color w:val="333333"/>
                <w:sz w:val="19"/>
              </w:rPr>
              <w:t xml:space="preserve">defra_conversion_factors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emission_factors</w:t>
            </w:r>
          </w:p>
        </w:tc>
        <w:tc>
          <w:tcPr/>
          <w:p>
            <w:pPr>
              <w:pStyle w:val="Compact"/>
              <w:jc w:val="left"/>
            </w:pPr>
            <w:r>
              <w:rPr>
                <w:color w:val="333333"/>
                <w:sz w:val="19"/>
              </w:rPr>
              <w:t xml:space="preserve">Rename</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R2</w:t>
            </w:r>
          </w:p>
        </w:tc>
        <w:tc>
          <w:tcPr/>
          <w:p>
            <w:pPr>
              <w:pStyle w:val="Compact"/>
              <w:jc w:val="left"/>
            </w:pPr>
            <w:r>
              <w:rPr>
                <w:rStyle w:val="VerbatimChar"/>
                <w:color w:val="333333"/>
                <w:sz w:val="19"/>
              </w:rPr>
              <w:t xml:space="preserve">emissions_logs.defra_factor_id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emission_factor_id</w:t>
            </w:r>
            <w:r>
              <w:rPr>
                <w:color w:val="333333"/>
                <w:sz w:val="19"/>
              </w:rPr>
              <w:t xml:space="preserve">;</w:t>
            </w:r>
            <w:r>
              <w:rPr>
                <w:color w:val="333333"/>
                <w:sz w:val="19"/>
              </w:rPr>
              <w:t xml:space="preserve"> </w:t>
            </w:r>
            <w:r>
              <w:rPr>
                <w:rStyle w:val="VerbatimChar"/>
                <w:color w:val="333333"/>
                <w:sz w:val="19"/>
              </w:rPr>
              <w:t xml:space="preserve">document_processing_queue.defra_factor_used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p>
        </w:tc>
        <w:tc>
          <w:tcPr/>
          <w:p>
            <w:pPr>
              <w:pStyle w:val="Compact"/>
              <w:jc w:val="left"/>
            </w:pPr>
            <w:r>
              <w:rPr>
                <w:color w:val="333333"/>
                <w:sz w:val="19"/>
              </w:rPr>
              <w:t xml:space="preserve">Rename</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R3</w:t>
            </w:r>
          </w:p>
        </w:tc>
        <w:tc>
          <w:tcPr/>
          <w:p>
            <w:pPr>
              <w:pStyle w:val="Compact"/>
              <w:jc w:val="left"/>
            </w:pPr>
            <w:r>
              <w:rPr>
                <w:rStyle w:val="VerbatimChar"/>
                <w:color w:val="333333"/>
                <w:sz w:val="19"/>
              </w:rPr>
              <w:t xml:space="preserve">organizations.default_defra_version</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default_factor_year</w:t>
            </w:r>
          </w:p>
        </w:tc>
        <w:tc>
          <w:tcPr/>
          <w:p>
            <w:pPr>
              <w:pStyle w:val="Compact"/>
              <w:jc w:val="left"/>
            </w:pPr>
            <w:r>
              <w:rPr>
                <w:color w:val="333333"/>
                <w:sz w:val="19"/>
              </w:rPr>
              <w:t xml:space="preserve">Rename</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C1</w:t>
            </w:r>
          </w:p>
        </w:tc>
        <w:tc>
          <w:tcPr/>
          <w:p>
            <w:pPr>
              <w:pStyle w:val="Compact"/>
              <w:jc w:val="left"/>
            </w:pPr>
            <w:r>
              <w:rPr>
                <w:rStyle w:val="VerbatimChar"/>
                <w:color w:val="333333"/>
                <w:sz w:val="19"/>
              </w:rPr>
              <w:t xml:space="preserve">facilities.eircode</w:t>
            </w:r>
            <w:r>
              <w:rPr>
                <w:color w:val="333333"/>
                <w:sz w:val="19"/>
              </w:rPr>
              <w:t xml:space="preserve">; relax</w:t>
            </w:r>
            <w:r>
              <w:rPr>
                <w:color w:val="333333"/>
                <w:sz w:val="19"/>
              </w:rPr>
              <w:t xml:space="preserve"> </w:t>
            </w:r>
            <w:r>
              <w:rPr>
                <w:rStyle w:val="VerbatimChar"/>
                <w:color w:val="333333"/>
                <w:sz w:val="19"/>
              </w:rPr>
              <w:t xml:space="preserve">facilities.postcode</w:t>
            </w:r>
            <w:r>
              <w:rPr>
                <w:color w:val="333333"/>
                <w:sz w:val="19"/>
              </w:rPr>
              <w:t xml:space="preserve"> </w:t>
            </w:r>
            <w:r>
              <w:rPr>
                <w:color w:val="333333"/>
                <w:sz w:val="19"/>
              </w:rPr>
              <w:t xml:space="preserve">NOT NULL; presence CHECK (postcode XOR-or-OR by country)</w:t>
            </w:r>
          </w:p>
        </w:tc>
        <w:tc>
          <w:tcPr/>
          <w:p>
            <w:pPr>
              <w:pStyle w:val="Compact"/>
              <w:jc w:val="left"/>
            </w:pPr>
            <w:r>
              <w:rPr>
                <w:color w:val="333333"/>
                <w:sz w:val="19"/>
              </w:rPr>
              <w:t xml:space="preserve">Column + 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C2</w:t>
            </w:r>
          </w:p>
        </w:tc>
        <w:tc>
          <w:tcPr/>
          <w:p>
            <w:pPr>
              <w:pStyle w:val="Compact"/>
              <w:jc w:val="left"/>
            </w:pPr>
            <w:r>
              <w:rPr>
                <w:rStyle w:val="VerbatimChar"/>
                <w:color w:val="333333"/>
                <w:sz w:val="19"/>
              </w:rPr>
              <w:t xml:space="preserve">organizations.is_active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organizations.archived_at</w:t>
            </w:r>
            <w:r>
              <w:rPr>
                <w:color w:val="333333"/>
                <w:sz w:val="19"/>
              </w:rPr>
              <w:t xml:space="preserve"> </w:t>
            </w:r>
            <w:r>
              <w:rPr>
                <w:color w:val="333333"/>
                <w:sz w:val="19"/>
              </w:rPr>
              <w:t xml:space="preserve">lifecycle columns</w:t>
            </w:r>
          </w:p>
        </w:tc>
        <w:tc>
          <w:tcPr/>
          <w:p>
            <w:pPr>
              <w:pStyle w:val="Compact"/>
              <w:jc w:val="left"/>
            </w:pPr>
            <w:r>
              <w:rPr>
                <w:color w:val="333333"/>
                <w:sz w:val="19"/>
              </w:rPr>
              <w:t xml:space="preserve">Columns</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C3</w:t>
            </w:r>
          </w:p>
        </w:tc>
        <w:tc>
          <w:tcPr/>
          <w:p>
            <w:pPr>
              <w:pStyle w:val="Compact"/>
              <w:jc w:val="left"/>
            </w:pPr>
            <w:r>
              <w:rPr>
                <w:rStyle w:val="VerbatimChar"/>
                <w:color w:val="333333"/>
                <w:sz w:val="19"/>
              </w:rPr>
              <w:t xml:space="preserve">consultant_billing.currency</w:t>
            </w:r>
          </w:p>
        </w:tc>
        <w:tc>
          <w:tcPr/>
          <w:p>
            <w:pPr>
              <w:pStyle w:val="Compact"/>
              <w:jc w:val="left"/>
            </w:pPr>
            <w:r>
              <w:rPr>
                <w:color w:val="333333"/>
                <w:sz w:val="19"/>
              </w:rPr>
              <w:t xml:space="preserve">Column</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C4</w:t>
            </w:r>
          </w:p>
        </w:tc>
        <w:tc>
          <w:tcPr/>
          <w:p>
            <w:pPr>
              <w:pStyle w:val="Compact"/>
              <w:jc w:val="left"/>
            </w:pPr>
            <w:r>
              <w:rPr>
                <w:rStyle w:val="VerbatimChar"/>
                <w:color w:val="333333"/>
                <w:sz w:val="19"/>
              </w:rPr>
              <w:t xml:space="preserve">emission_factors</w:t>
            </w:r>
            <w:r>
              <w:rPr>
                <w:color w:val="333333"/>
                <w:sz w:val="19"/>
              </w:rPr>
              <w:t xml:space="preserve"> </w:t>
            </w:r>
            <w:r>
              <w:rPr>
                <w:color w:val="333333"/>
                <w:sz w:val="19"/>
              </w:rPr>
              <w:t xml:space="preserve">provenance columns:</w:t>
            </w:r>
            <w:r>
              <w:rPr>
                <w:color w:val="333333"/>
                <w:sz w:val="19"/>
              </w:rPr>
              <w:t xml:space="preserve"> </w:t>
            </w: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color w:val="333333"/>
                <w:sz w:val="19"/>
              </w:rPr>
              <w:t xml:space="preserve"> </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p>
        </w:tc>
        <w:tc>
          <w:tcPr/>
          <w:p>
            <w:pPr>
              <w:pStyle w:val="Compact"/>
              <w:jc w:val="left"/>
            </w:pPr>
            <w:r>
              <w:rPr>
                <w:color w:val="333333"/>
                <w:sz w:val="19"/>
              </w:rPr>
              <w:t xml:space="preserve">Columns</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C5</w:t>
            </w:r>
          </w:p>
        </w:tc>
        <w:tc>
          <w:tcPr/>
          <w:p>
            <w:pPr>
              <w:pStyle w:val="Compact"/>
              <w:jc w:val="left"/>
            </w:pPr>
            <w:r>
              <w:rPr>
                <w:rStyle w:val="VerbatimChar"/>
                <w:color w:val="333333"/>
                <w:sz w:val="19"/>
              </w:rPr>
              <w:t xml:space="preserve">emissions_logs.unit</w:t>
            </w:r>
            <w:r>
              <w:rPr>
                <w:color w:val="333333"/>
                <w:sz w:val="19"/>
              </w:rPr>
              <w:t xml:space="preserve"> </w:t>
            </w:r>
            <w:r>
              <w:rPr>
                <w:color w:val="333333"/>
                <w:sz w:val="19"/>
              </w:rPr>
              <w:t xml:space="preserve">(FK to</w:t>
            </w:r>
            <w:r>
              <w:rPr>
                <w:color w:val="333333"/>
                <w:sz w:val="19"/>
              </w:rPr>
              <w:t xml:space="preserve"> </w:t>
            </w:r>
            <w:r>
              <w:rPr>
                <w:rStyle w:val="VerbatimChar"/>
                <w:color w:val="333333"/>
                <w:sz w:val="19"/>
              </w:rPr>
              <w:t xml:space="preserve">units.code</w:t>
            </w:r>
            <w:r>
              <w:rPr>
                <w:color w:val="333333"/>
                <w:sz w:val="19"/>
              </w:rPr>
              <w:t xml:space="preserve">) +</w:t>
            </w:r>
            <w:r>
              <w:rPr>
                <w:color w:val="333333"/>
                <w:sz w:val="19"/>
              </w:rPr>
              <w:t xml:space="preserve"> </w:t>
            </w:r>
            <w:r>
              <w:rPr>
                <w:rStyle w:val="VerbatimChar"/>
                <w:color w:val="333333"/>
                <w:sz w:val="19"/>
              </w:rPr>
              <w:t xml:space="preserve">emissions_logs.scope</w:t>
            </w:r>
          </w:p>
        </w:tc>
        <w:tc>
          <w:tcPr/>
          <w:p>
            <w:pPr>
              <w:pStyle w:val="Compact"/>
              <w:jc w:val="left"/>
            </w:pPr>
            <w:r>
              <w:rPr>
                <w:color w:val="333333"/>
                <w:sz w:val="19"/>
              </w:rPr>
              <w:t xml:space="preserve">Columns</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C6</w:t>
            </w:r>
          </w:p>
        </w:tc>
        <w:tc>
          <w:tcPr/>
          <w:p>
            <w:pPr>
              <w:pStyle w:val="Compact"/>
              <w:jc w:val="left"/>
            </w:pPr>
            <w:r>
              <w:rPr>
                <w:rStyle w:val="VerbatimChar"/>
                <w:color w:val="333333"/>
                <w:sz w:val="19"/>
              </w:rPr>
              <w:t xml:space="preserve">customer_documents.file_checksum</w:t>
            </w:r>
            <w:r>
              <w:rPr>
                <w:color w:val="333333"/>
                <w:sz w:val="19"/>
              </w:rPr>
              <w:t xml:space="preserve"> </w:t>
            </w:r>
            <w:r>
              <w:rPr>
                <w:color w:val="333333"/>
                <w:sz w:val="19"/>
              </w:rPr>
              <w:t xml:space="preserve">(SHA-256)</w:t>
            </w:r>
          </w:p>
        </w:tc>
        <w:tc>
          <w:tcPr/>
          <w:p>
            <w:pPr>
              <w:pStyle w:val="Compact"/>
              <w:jc w:val="left"/>
            </w:pPr>
            <w:r>
              <w:rPr>
                <w:color w:val="333333"/>
                <w:sz w:val="19"/>
              </w:rPr>
              <w:t xml:space="preserve">Column</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C7</w:t>
            </w:r>
          </w:p>
        </w:tc>
        <w:tc>
          <w:tcPr/>
          <w:p>
            <w:pPr>
              <w:pStyle w:val="Compact"/>
              <w:jc w:val="left"/>
            </w:pPr>
            <w:r>
              <w:rPr>
                <w:rStyle w:val="VerbatimChar"/>
                <w:color w:val="333333"/>
                <w:sz w:val="19"/>
              </w:rPr>
              <w:t xml:space="preserve">file_attachments.file_size</w:t>
            </w:r>
            <w:r>
              <w:rPr>
                <w:color w:val="333333"/>
                <w:sz w:val="19"/>
              </w:rPr>
              <w:t xml:space="preserve"> </w:t>
            </w:r>
            <w:r>
              <w:rPr>
                <w:color w:val="333333"/>
                <w:sz w:val="19"/>
              </w:rPr>
              <w:t xml:space="preserve">int4 → int8 widening</w:t>
            </w:r>
          </w:p>
        </w:tc>
        <w:tc>
          <w:tcPr/>
          <w:p>
            <w:pPr>
              <w:pStyle w:val="Compact"/>
              <w:jc w:val="left"/>
            </w:pPr>
            <w:r>
              <w:rPr>
                <w:color w:val="333333"/>
                <w:sz w:val="19"/>
              </w:rPr>
              <w:t xml:space="preserve">Type change</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C8</w:t>
            </w:r>
          </w:p>
        </w:tc>
        <w:tc>
          <w:tcPr/>
          <w:p>
            <w:pPr>
              <w:pStyle w:val="Compact"/>
              <w:jc w:val="left"/>
            </w:pPr>
            <w:r>
              <w:rPr>
                <w:rStyle w:val="VerbatimChar"/>
                <w:color w:val="333333"/>
                <w:sz w:val="19"/>
              </w:rPr>
              <w:t xml:space="preserve">suppliers.sort_code</w:t>
            </w:r>
            <w:r>
              <w:rPr>
                <w:color w:val="333333"/>
                <w:sz w:val="19"/>
              </w:rPr>
              <w:t xml:space="preserve"> </w:t>
            </w:r>
            <w:r>
              <w:rPr>
                <w:color w:val="333333"/>
                <w:sz w:val="19"/>
              </w:rPr>
              <w:t xml:space="preserve">(masked banking)</w:t>
            </w:r>
          </w:p>
        </w:tc>
        <w:tc>
          <w:tcPr/>
          <w:p>
            <w:pPr>
              <w:pStyle w:val="Compact"/>
              <w:jc w:val="left"/>
            </w:pPr>
            <w:r>
              <w:rPr>
                <w:color w:val="333333"/>
                <w:sz w:val="19"/>
              </w:rPr>
              <w:t xml:space="preserve">Column</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C9</w:t>
            </w:r>
          </w:p>
        </w:tc>
        <w:tc>
          <w:tcPr/>
          <w:p>
            <w:pPr>
              <w:pStyle w:val="Compact"/>
              <w:jc w:val="left"/>
            </w:pPr>
            <w:r>
              <w:rPr>
                <w:rStyle w:val="VerbatimChar"/>
                <w:color w:val="333333"/>
                <w:sz w:val="19"/>
              </w:rPr>
              <w:t xml:space="preserve">facilities.meter_mpan_mprn</w:t>
            </w:r>
          </w:p>
        </w:tc>
        <w:tc>
          <w:tcPr/>
          <w:p>
            <w:pPr>
              <w:pStyle w:val="Compact"/>
              <w:jc w:val="left"/>
            </w:pPr>
            <w:r>
              <w:rPr>
                <w:color w:val="333333"/>
                <w:sz w:val="19"/>
              </w:rPr>
              <w:t xml:space="preserve">Column</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C10</w:t>
            </w:r>
          </w:p>
        </w:tc>
        <w:tc>
          <w:tcPr/>
          <w:p>
            <w:pPr>
              <w:pStyle w:val="Compact"/>
              <w:jc w:val="left"/>
            </w:pPr>
            <w:r>
              <w:rPr>
                <w:rStyle w:val="VerbatimChar"/>
                <w:color w:val="333333"/>
                <w:sz w:val="19"/>
              </w:rPr>
              <w:t xml:space="preserve">organization_metadata.total_floor_area_sqm</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.occupied_floor_area_sqm</w:t>
            </w:r>
          </w:p>
        </w:tc>
        <w:tc>
          <w:tcPr/>
          <w:p>
            <w:pPr>
              <w:pStyle w:val="Compact"/>
              <w:jc w:val="left"/>
            </w:pPr>
            <w:r>
              <w:rPr>
                <w:color w:val="333333"/>
                <w:sz w:val="19"/>
              </w:rPr>
              <w:t xml:space="preserve">Columns</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C11</w:t>
            </w:r>
          </w:p>
        </w:tc>
        <w:tc>
          <w:tcPr/>
          <w:p>
            <w:pPr>
              <w:pStyle w:val="Compact"/>
              <w:jc w:val="left"/>
            </w:pPr>
            <w:r>
              <w:rPr>
                <w:color w:val="333333"/>
                <w:sz w:val="19"/>
              </w:rPr>
              <w:t xml:space="preserve">Typed invoice columns on</w:t>
            </w:r>
            <w:r>
              <w:rPr>
                <w:color w:val="333333"/>
                <w:sz w:val="19"/>
              </w:rPr>
              <w:t xml:space="preserve"> </w:t>
            </w:r>
            <w:r>
              <w:rPr>
                <w:rStyle w:val="VerbatimChar"/>
                <w:color w:val="333333"/>
                <w:sz w:val="19"/>
              </w:rPr>
              <w:t xml:space="preserve">customer_documents</w:t>
            </w:r>
          </w:p>
        </w:tc>
        <w:tc>
          <w:tcPr/>
          <w:p>
            <w:pPr>
              <w:pStyle w:val="Compact"/>
              <w:jc w:val="left"/>
            </w:pPr>
            <w:r>
              <w:rPr>
                <w:color w:val="333333"/>
                <w:sz w:val="19"/>
              </w:rPr>
              <w:t xml:space="preserve">Columns</w:t>
            </w:r>
          </w:p>
        </w:tc>
        <w:tc>
          <w:tcPr/>
          <w:p>
            <w:pPr>
              <w:pStyle w:val="Compact"/>
              <w:jc w:val="left"/>
            </w:pPr>
            <w:r>
              <w:rPr>
                <w:color w:val="333333"/>
                <w:sz w:val="19"/>
              </w:rPr>
              <w:t xml:space="preserve">DEFER</w:t>
            </w:r>
          </w:p>
        </w:tc>
        <w:tc>
          <w:tcPr/>
          <w:p>
            <w:pPr>
              <w:pStyle w:val="Compact"/>
              <w:jc w:val="left"/>
            </w:pPr>
            <w:r>
              <w:rPr>
                <w:color w:val="333333"/>
                <w:sz w:val="19"/>
              </w:rPr>
              <w:t xml:space="preserve">Medium</w:t>
            </w:r>
          </w:p>
        </w:tc>
      </w:tr>
      <w:tr>
        <w:tc>
          <w:tcPr/>
          <w:p>
            <w:pPr>
              <w:pStyle w:val="Compact"/>
              <w:jc w:val="left"/>
            </w:pPr>
            <w:r>
              <w:rPr>
                <w:color w:val="333333"/>
                <w:sz w:val="19"/>
              </w:rPr>
              <w:t xml:space="preserve">C12</w:t>
            </w:r>
          </w:p>
        </w:tc>
        <w:tc>
          <w:tcPr/>
          <w:p>
            <w:pPr>
              <w:pStyle w:val="Compact"/>
              <w:jc w:val="left"/>
            </w:pPr>
            <w:r>
              <w:rPr>
                <w:rStyle w:val="VerbatimChar"/>
                <w:color w:val="333333"/>
                <w:sz w:val="19"/>
              </w:rPr>
              <w:t xml:space="preserve">emissions_logs.facility_id</w:t>
            </w:r>
            <w:r>
              <w:rPr>
                <w:color w:val="333333"/>
                <w:sz w:val="19"/>
              </w:rPr>
              <w:t xml:space="preserve"> </w:t>
            </w:r>
            <w:r>
              <w:rPr>
                <w:color w:val="333333"/>
                <w:sz w:val="19"/>
              </w:rPr>
              <w:t xml:space="preserve">direct column</w:t>
            </w:r>
          </w:p>
        </w:tc>
        <w:tc>
          <w:tcPr/>
          <w:p>
            <w:pPr>
              <w:pStyle w:val="Compact"/>
              <w:jc w:val="left"/>
            </w:pPr>
            <w:r>
              <w:rPr>
                <w:color w:val="333333"/>
                <w:sz w:val="19"/>
              </w:rPr>
              <w:t xml:space="preserve">Column</w:t>
            </w:r>
          </w:p>
        </w:tc>
        <w:tc>
          <w:tcPr/>
          <w:p>
            <w:pPr>
              <w:pStyle w:val="Compact"/>
              <w:jc w:val="left"/>
            </w:pPr>
            <w:r>
              <w:rPr>
                <w:color w:val="333333"/>
                <w:sz w:val="19"/>
              </w:rPr>
              <w:t xml:space="preserve">DEFER</w:t>
            </w:r>
          </w:p>
        </w:tc>
        <w:tc>
          <w:tcPr/>
          <w:p>
            <w:pPr>
              <w:pStyle w:val="Compact"/>
              <w:jc w:val="left"/>
            </w:pPr>
            <w:r>
              <w:rPr>
                <w:color w:val="333333"/>
                <w:sz w:val="19"/>
              </w:rPr>
              <w:t xml:space="preserve">Medium</w:t>
            </w:r>
          </w:p>
        </w:tc>
      </w:tr>
      <w:tr>
        <w:tc>
          <w:tcPr/>
          <w:p>
            <w:pPr>
              <w:pStyle w:val="Compact"/>
              <w:jc w:val="left"/>
            </w:pPr>
            <w:r>
              <w:rPr>
                <w:color w:val="333333"/>
                <w:sz w:val="19"/>
              </w:rPr>
              <w:t xml:space="preserve">C13</w:t>
            </w:r>
          </w:p>
        </w:tc>
        <w:tc>
          <w:tcPr/>
          <w:p>
            <w:pPr>
              <w:pStyle w:val="Compact"/>
              <w:jc w:val="left"/>
            </w:pPr>
            <w:r>
              <w:rPr>
                <w:rStyle w:val="VerbatimChar"/>
                <w:color w:val="333333"/>
                <w:sz w:val="19"/>
              </w:rPr>
              <w:t xml:space="preserve">customer_documents.deleted_at</w:t>
            </w:r>
            <w:r>
              <w:rPr>
                <w:color w:val="333333"/>
                <w:sz w:val="19"/>
              </w:rPr>
              <w:t xml:space="preserve"> </w:t>
            </w:r>
            <w:r>
              <w:rPr>
                <w:color w:val="333333"/>
                <w:sz w:val="19"/>
              </w:rPr>
              <w:t xml:space="preserve">soft-delete</w:t>
            </w:r>
          </w:p>
        </w:tc>
        <w:tc>
          <w:tcPr/>
          <w:p>
            <w:pPr>
              <w:pStyle w:val="Compact"/>
              <w:jc w:val="left"/>
            </w:pPr>
            <w:r>
              <w:rPr>
                <w:color w:val="333333"/>
                <w:sz w:val="19"/>
              </w:rPr>
              <w:t xml:space="preserve">Column</w:t>
            </w:r>
          </w:p>
        </w:tc>
        <w:tc>
          <w:tcPr/>
          <w:p>
            <w:pPr>
              <w:pStyle w:val="Compact"/>
              <w:jc w:val="left"/>
            </w:pPr>
            <w:r>
              <w:rPr>
                <w:color w:val="333333"/>
                <w:sz w:val="19"/>
              </w:rPr>
              <w:t xml:space="preserve">DEFER</w:t>
            </w:r>
          </w:p>
        </w:tc>
        <w:tc>
          <w:tcPr/>
          <w:p>
            <w:pPr>
              <w:pStyle w:val="Compact"/>
              <w:jc w:val="left"/>
            </w:pPr>
            <w:r>
              <w:rPr>
                <w:color w:val="333333"/>
                <w:sz w:val="19"/>
              </w:rPr>
              <w:t xml:space="preserve">Small</w:t>
            </w:r>
          </w:p>
        </w:tc>
      </w:tr>
      <w:tr>
        <w:tc>
          <w:tcPr/>
          <w:p>
            <w:pPr>
              <w:pStyle w:val="Compact"/>
              <w:jc w:val="left"/>
            </w:pPr>
            <w:r>
              <w:rPr>
                <w:color w:val="333333"/>
                <w:sz w:val="19"/>
              </w:rPr>
              <w:t xml:space="preserve">C14</w:t>
            </w:r>
          </w:p>
        </w:tc>
        <w:tc>
          <w:tcPr/>
          <w:p>
            <w:pPr>
              <w:pStyle w:val="Compact"/>
              <w:jc w:val="left"/>
            </w:pPr>
            <w:r>
              <w:rPr>
                <w:color w:val="333333"/>
                <w:sz w:val="19"/>
              </w:rPr>
              <w:t xml:space="preserve">Per-user 2FA/lockout columns on</w:t>
            </w:r>
            <w:r>
              <w:rPr>
                <w:color w:val="333333"/>
                <w:sz w:val="19"/>
              </w:rPr>
              <w:t xml:space="preserve"> </w:t>
            </w:r>
            <w:r>
              <w:rPr>
                <w:rStyle w:val="VerbatimChar"/>
                <w:color w:val="333333"/>
                <w:sz w:val="19"/>
              </w:rPr>
              <w:t xml:space="preserve">users</w:t>
            </w:r>
          </w:p>
        </w:tc>
        <w:tc>
          <w:tcPr/>
          <w:p>
            <w:pPr>
              <w:pStyle w:val="Compact"/>
              <w:jc w:val="left"/>
            </w:pPr>
            <w:r>
              <w:rPr>
                <w:color w:val="333333"/>
                <w:sz w:val="19"/>
              </w:rPr>
              <w:t xml:space="preserve">Columns</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C15</w:t>
            </w:r>
          </w:p>
        </w:tc>
        <w:tc>
          <w:tcPr/>
          <w:p>
            <w:pPr>
              <w:pStyle w:val="Compact"/>
              <w:jc w:val="left"/>
            </w:pPr>
            <w:r>
              <w:rPr>
                <w:rStyle w:val="VerbatimChar"/>
                <w:color w:val="333333"/>
                <w:sz w:val="19"/>
              </w:rPr>
              <w:t xml:space="preserve">external_id</w:t>
            </w:r>
            <w:r>
              <w:rPr>
                <w:color w:val="333333"/>
                <w:sz w:val="19"/>
              </w:rPr>
              <w:t xml:space="preserve">/</w:t>
            </w:r>
            <w:r>
              <w:rPr>
                <w:rStyle w:val="VerbatimChar"/>
                <w:color w:val="333333"/>
                <w:sz w:val="19"/>
              </w:rPr>
              <w:t xml:space="preserve">integration_source</w:t>
            </w:r>
            <w:r>
              <w:rPr>
                <w:color w:val="333333"/>
                <w:sz w:val="19"/>
              </w:rPr>
              <w:t xml:space="preserve">/</w:t>
            </w:r>
            <w:r>
              <w:rPr>
                <w:rStyle w:val="VerbatimChar"/>
                <w:color w:val="333333"/>
                <w:sz w:val="19"/>
              </w:rPr>
              <w:t xml:space="preserve">last_synced_at</w:t>
            </w:r>
            <w:r>
              <w:rPr>
                <w:color w:val="333333"/>
                <w:sz w:val="19"/>
              </w:rPr>
              <w:t xml:space="preserve"> </w:t>
            </w:r>
            <w:r>
              <w:rPr>
                <w:color w:val="333333"/>
                <w:sz w:val="19"/>
              </w:rPr>
              <w:t xml:space="preserve">integration columns</w:t>
            </w:r>
          </w:p>
        </w:tc>
        <w:tc>
          <w:tcPr/>
          <w:p>
            <w:pPr>
              <w:pStyle w:val="Compact"/>
              <w:jc w:val="left"/>
            </w:pPr>
            <w:r>
              <w:rPr>
                <w:color w:val="333333"/>
                <w:sz w:val="19"/>
              </w:rPr>
              <w:t xml:space="preserve">Columns</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T1</w:t>
            </w:r>
          </w:p>
        </w:tc>
        <w:tc>
          <w:tcPr/>
          <w:p>
            <w:pPr>
              <w:pStyle w:val="Compact"/>
              <w:jc w:val="left"/>
            </w:pPr>
            <w:r>
              <w:rPr>
                <w:rStyle w:val="VerbatimChar"/>
                <w:color w:val="333333"/>
                <w:sz w:val="19"/>
              </w:rPr>
              <w:t xml:space="preserve">emission_factor_sets</w:t>
            </w:r>
            <w:r>
              <w:rPr>
                <w:color w:val="333333"/>
                <w:sz w:val="19"/>
              </w:rPr>
              <w:t xml:space="preserve"> </w:t>
            </w:r>
            <w:r>
              <w:rPr>
                <w:color w:val="333333"/>
                <w:sz w:val="19"/>
              </w:rPr>
              <w:t xml:space="preserve">/ factor-jurisdiction mapping table</w:t>
            </w:r>
          </w:p>
        </w:tc>
        <w:tc>
          <w:tcPr/>
          <w:p>
            <w:pPr>
              <w:pStyle w:val="Compact"/>
              <w:jc w:val="left"/>
            </w:pPr>
            <w:r>
              <w:rPr>
                <w:color w:val="333333"/>
                <w:sz w:val="19"/>
              </w:rPr>
              <w:t xml:space="preserve">Table</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T2</w:t>
            </w:r>
          </w:p>
        </w:tc>
        <w:tc>
          <w:tcPr/>
          <w:p>
            <w:pPr>
              <w:pStyle w:val="Compact"/>
              <w:jc w:val="left"/>
            </w:pPr>
            <w:r>
              <w:rPr>
                <w:color w:val="333333"/>
                <w:sz w:val="19"/>
              </w:rPr>
              <w:t xml:space="preserve">Audit-archive table</w:t>
            </w:r>
          </w:p>
        </w:tc>
        <w:tc>
          <w:tcPr/>
          <w:p>
            <w:pPr>
              <w:pStyle w:val="Compact"/>
              <w:jc w:val="left"/>
            </w:pPr>
            <w:r>
              <w:rPr>
                <w:color w:val="333333"/>
                <w:sz w:val="19"/>
              </w:rPr>
              <w:t xml:space="preserve">Table</w:t>
            </w:r>
          </w:p>
        </w:tc>
        <w:tc>
          <w:tcPr/>
          <w:p>
            <w:pPr>
              <w:pStyle w:val="Compact"/>
              <w:jc w:val="left"/>
            </w:pPr>
            <w:r>
              <w:rPr>
                <w:color w:val="333333"/>
                <w:sz w:val="19"/>
              </w:rPr>
              <w:t xml:space="preserve">DEFER</w:t>
            </w:r>
          </w:p>
        </w:tc>
        <w:tc>
          <w:tcPr/>
          <w:p>
            <w:pPr>
              <w:pStyle w:val="Compact"/>
              <w:jc w:val="left"/>
            </w:pPr>
            <w:r>
              <w:rPr>
                <w:color w:val="333333"/>
                <w:sz w:val="19"/>
              </w:rPr>
              <w:t xml:space="preserve">Medium</w:t>
            </w:r>
          </w:p>
        </w:tc>
      </w:tr>
      <w:tr>
        <w:tc>
          <w:tcPr/>
          <w:p>
            <w:pPr>
              <w:pStyle w:val="Compact"/>
              <w:jc w:val="left"/>
            </w:pPr>
            <w:r>
              <w:rPr>
                <w:color w:val="333333"/>
                <w:sz w:val="19"/>
              </w:rPr>
              <w:t xml:space="preserve">T3</w:t>
            </w:r>
          </w:p>
        </w:tc>
        <w:tc>
          <w:tcPr/>
          <w:p>
            <w:pPr>
              <w:pStyle w:val="Compact"/>
              <w:jc w:val="left"/>
            </w:pPr>
            <w:r>
              <w:rPr>
                <w:color w:val="333333"/>
                <w:sz w:val="19"/>
              </w:rPr>
              <w:t xml:space="preserve">County lookup table (26 ROI + 6 NI + UK ceremonial)</w:t>
            </w:r>
          </w:p>
        </w:tc>
        <w:tc>
          <w:tcPr/>
          <w:p>
            <w:pPr>
              <w:pStyle w:val="Compact"/>
              <w:jc w:val="left"/>
            </w:pPr>
            <w:r>
              <w:rPr>
                <w:color w:val="333333"/>
                <w:sz w:val="19"/>
              </w:rPr>
              <w:t xml:space="preserve">Table</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I1</w:t>
            </w:r>
          </w:p>
        </w:tc>
        <w:tc>
          <w:tcPr/>
          <w:p>
            <w:pPr>
              <w:pStyle w:val="Compact"/>
              <w:jc w:val="left"/>
            </w:pPr>
            <w:r>
              <w:rPr>
                <w:color w:val="333333"/>
                <w:sz w:val="19"/>
              </w:rPr>
              <w:t xml:space="preserve">Tenant composites:</w:t>
            </w:r>
            <w:r>
              <w:rPr>
                <w:color w:val="333333"/>
                <w:sz w:val="19"/>
              </w:rPr>
              <w:t xml:space="preserve"> </w:t>
            </w:r>
            <w:r>
              <w:rPr>
                <w:rStyle w:val="VerbatimChar"/>
                <w:color w:val="333333"/>
                <w:sz w:val="19"/>
              </w:rPr>
              <w:t xml:space="preserve">customer_documents(organization_id, created_at DESC)</w:t>
            </w:r>
            <w:r>
              <w:rPr>
                <w:color w:val="333333"/>
                <w:sz w:val="19"/>
              </w:rPr>
              <w:t xml:space="preserve">,</w:t>
            </w:r>
            <w:r>
              <w:rPr>
                <w:color w:val="333333"/>
                <w:sz w:val="19"/>
              </w:rPr>
              <w:t xml:space="preserve"> </w:t>
            </w:r>
            <w:r>
              <w:rPr>
                <w:rStyle w:val="VerbatimChar"/>
                <w:color w:val="333333"/>
                <w:sz w:val="19"/>
              </w:rPr>
              <w:t xml:space="preserve">emissions_logs(organization_id, start_date)</w:t>
            </w:r>
            <w:r>
              <w:rPr>
                <w:color w:val="333333"/>
                <w:sz w:val="19"/>
              </w:rPr>
              <w:t xml:space="preserve">,</w:t>
            </w:r>
            <w:r>
              <w:rPr>
                <w:color w:val="333333"/>
                <w:sz w:val="19"/>
              </w:rPr>
              <w:t xml:space="preserve"> </w:t>
            </w:r>
            <w:r>
              <w:rPr>
                <w:rStyle w:val="VerbatimChar"/>
                <w:color w:val="333333"/>
                <w:sz w:val="19"/>
              </w:rPr>
              <w:t xml:space="preserve">suppliers(organization_id)</w:t>
            </w:r>
            <w:r>
              <w:rPr>
                <w:color w:val="333333"/>
                <w:sz w:val="19"/>
              </w:rPr>
              <w:t xml:space="preserve">,</w:t>
            </w:r>
            <w:r>
              <w:rPr>
                <w:color w:val="333333"/>
                <w:sz w:val="19"/>
              </w:rPr>
              <w:t xml:space="preserve"> </w:t>
            </w:r>
            <w:r>
              <w:rPr>
                <w:rStyle w:val="VerbatimChar"/>
                <w:color w:val="333333"/>
                <w:sz w:val="19"/>
              </w:rPr>
              <w:t xml:space="preserve">facilities(organization_id)</w:t>
            </w:r>
          </w:p>
        </w:tc>
        <w:tc>
          <w:tcPr/>
          <w:p>
            <w:pPr>
              <w:pStyle w:val="Compact"/>
              <w:jc w:val="left"/>
            </w:pPr>
            <w:r>
              <w:rPr>
                <w:color w:val="333333"/>
                <w:sz w:val="19"/>
              </w:rPr>
              <w:t xml:space="preserve">Index family</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I2</w:t>
            </w:r>
          </w:p>
        </w:tc>
        <w:tc>
          <w:tcPr/>
          <w:p>
            <w:pPr>
              <w:pStyle w:val="Compact"/>
              <w:jc w:val="left"/>
            </w:pPr>
            <w:r>
              <w:rPr>
                <w:color w:val="333333"/>
                <w:sz w:val="19"/>
              </w:rPr>
              <w:t xml:space="preserve">Queue-claim partials:</w:t>
            </w:r>
            <w:r>
              <w:rPr>
                <w:color w:val="333333"/>
                <w:sz w:val="19"/>
              </w:rPr>
              <w:t xml:space="preserve"> </w:t>
            </w:r>
            <w:r>
              <w:rPr>
                <w:rStyle w:val="VerbatimChar"/>
                <w:color w:val="333333"/>
                <w:sz w:val="19"/>
              </w:rPr>
              <w:t xml:space="preserve">document_processing_queue(status, created_at)</w:t>
            </w:r>
            <w:r>
              <w:rPr>
                <w:color w:val="333333"/>
                <w:sz w:val="19"/>
              </w:rPr>
              <w:t xml:space="preserve">,</w:t>
            </w:r>
            <w:r>
              <w:rPr>
                <w:color w:val="333333"/>
                <w:sz w:val="19"/>
              </w:rPr>
              <w:t xml:space="preserve"> </w:t>
            </w:r>
            <w:r>
              <w:rPr>
                <w:rStyle w:val="VerbatimChar"/>
                <w:color w:val="333333"/>
                <w:sz w:val="19"/>
              </w:rPr>
              <w:t xml:space="preserve">processing_queue(queue_status, …)</w:t>
            </w:r>
            <w:r>
              <w:rPr>
                <w:color w:val="333333"/>
                <w:sz w:val="19"/>
              </w:rPr>
              <w:t xml:space="preserve">,</w:t>
            </w:r>
            <w:r>
              <w:rPr>
                <w:color w:val="333333"/>
                <w:sz w:val="19"/>
              </w:rPr>
              <w:t xml:space="preserve"> </w:t>
            </w:r>
            <w:r>
              <w:rPr>
                <w:rStyle w:val="VerbatimChar"/>
                <w:color w:val="333333"/>
                <w:sz w:val="19"/>
              </w:rPr>
              <w:t xml:space="preserve">report_generation_queue</w:t>
            </w:r>
          </w:p>
        </w:tc>
        <w:tc>
          <w:tcPr/>
          <w:p>
            <w:pPr>
              <w:pStyle w:val="Compact"/>
              <w:jc w:val="left"/>
            </w:pPr>
            <w:r>
              <w:rPr>
                <w:color w:val="333333"/>
                <w:sz w:val="19"/>
              </w:rPr>
              <w:t xml:space="preserve">Index family</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I3</w:t>
            </w:r>
          </w:p>
        </w:tc>
        <w:tc>
          <w:tcPr/>
          <w:p>
            <w:pPr>
              <w:pStyle w:val="Compact"/>
              <w:jc w:val="left"/>
            </w:pPr>
            <w:r>
              <w:rPr>
                <w:color w:val="333333"/>
                <w:sz w:val="19"/>
              </w:rPr>
              <w:t xml:space="preserve">Messaging/notifications:</w:t>
            </w:r>
            <w:r>
              <w:rPr>
                <w:color w:val="333333"/>
                <w:sz w:val="19"/>
              </w:rPr>
              <w:t xml:space="preserve"> </w:t>
            </w:r>
            <w:r>
              <w:rPr>
                <w:rStyle w:val="VerbatimChar"/>
                <w:color w:val="333333"/>
                <w:sz w:val="19"/>
              </w:rPr>
              <w:t xml:space="preserve">messages(conversation_id, created_at)</w:t>
            </w:r>
            <w:r>
              <w:rPr>
                <w:color w:val="333333"/>
                <w:sz w:val="19"/>
              </w:rPr>
              <w:t xml:space="preserve">,</w:t>
            </w:r>
            <w:r>
              <w:rPr>
                <w:color w:val="333333"/>
                <w:sz w:val="19"/>
              </w:rPr>
              <w:t xml:space="preserve"> </w:t>
            </w:r>
            <w:r>
              <w:rPr>
                <w:rStyle w:val="VerbatimChar"/>
                <w:color w:val="333333"/>
                <w:sz w:val="19"/>
              </w:rPr>
              <w:t xml:space="preserve">conversation_participants(conversation_id, user_id)</w:t>
            </w:r>
            <w:r>
              <w:rPr>
                <w:color w:val="333333"/>
                <w:sz w:val="19"/>
              </w:rPr>
              <w:t xml:space="preserve">, unread-notifications partial</w:t>
            </w:r>
          </w:p>
        </w:tc>
        <w:tc>
          <w:tcPr/>
          <w:p>
            <w:pPr>
              <w:pStyle w:val="Compact"/>
              <w:jc w:val="left"/>
            </w:pPr>
            <w:r>
              <w:rPr>
                <w:color w:val="333333"/>
                <w:sz w:val="19"/>
              </w:rPr>
              <w:t xml:space="preserve">Index family</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I4</w:t>
            </w:r>
          </w:p>
        </w:tc>
        <w:tc>
          <w:tcPr/>
          <w:p>
            <w:pPr>
              <w:pStyle w:val="Compact"/>
              <w:jc w:val="left"/>
            </w:pPr>
            <w:r>
              <w:rPr>
                <w:rStyle w:val="VerbatimChar"/>
                <w:color w:val="333333"/>
                <w:sz w:val="19"/>
              </w:rPr>
              <w:t xml:space="preserve">consultant_firm_members.client_access</w:t>
            </w:r>
            <w:r>
              <w:rPr>
                <w:color w:val="333333"/>
                <w:sz w:val="19"/>
              </w:rPr>
              <w:t xml:space="preserve"> </w:t>
            </w:r>
            <w:r>
              <w:rPr>
                <w:color w:val="333333"/>
                <w:sz w:val="19"/>
              </w:rPr>
              <w:t xml:space="preserve">array GIN</w:t>
            </w:r>
          </w:p>
        </w:tc>
        <w:tc>
          <w:tcPr/>
          <w:p>
            <w:pPr>
              <w:pStyle w:val="Compact"/>
              <w:jc w:val="left"/>
            </w:pPr>
            <w:r>
              <w:rPr>
                <w:color w:val="333333"/>
                <w:sz w:val="19"/>
              </w:rPr>
              <w:t xml:space="preserve">Index</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I5</w:t>
            </w:r>
          </w:p>
        </w:tc>
        <w:tc>
          <w:tcPr/>
          <w:p>
            <w:pPr>
              <w:pStyle w:val="Compact"/>
              <w:jc w:val="left"/>
            </w:pPr>
            <w:r>
              <w:rPr>
                <w:rStyle w:val="VerbatimChar"/>
                <w:color w:val="333333"/>
                <w:sz w:val="19"/>
              </w:rPr>
              <w:t xml:space="preserve">pg_trgm</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suppliers.name</w:t>
            </w:r>
            <w:r>
              <w:rPr>
                <w:color w:val="333333"/>
                <w:sz w:val="19"/>
              </w:rPr>
              <w:t xml:space="preserve">/</w:t>
            </w:r>
            <w:r>
              <w:rPr>
                <w:rStyle w:val="VerbatimChar"/>
                <w:color w:val="333333"/>
                <w:sz w:val="19"/>
              </w:rPr>
              <w:t xml:space="preserve">.vat_number</w:t>
            </w:r>
            <w:r>
              <w:rPr>
                <w:color w:val="333333"/>
                <w:sz w:val="19"/>
              </w:rPr>
              <w:t xml:space="preserve">,</w:t>
            </w:r>
            <w:r>
              <w:rPr>
                <w:color w:val="333333"/>
                <w:sz w:val="19"/>
              </w:rPr>
              <w:t xml:space="preserve"> </w:t>
            </w:r>
            <w:r>
              <w:rPr>
                <w:rStyle w:val="VerbatimChar"/>
                <w:color w:val="333333"/>
                <w:sz w:val="19"/>
              </w:rPr>
              <w:t xml:space="preserve">organizations.name</w:t>
            </w:r>
          </w:p>
        </w:tc>
        <w:tc>
          <w:tcPr/>
          <w:p>
            <w:pPr>
              <w:pStyle w:val="Compact"/>
              <w:jc w:val="left"/>
            </w:pPr>
            <w:r>
              <w:rPr>
                <w:color w:val="333333"/>
                <w:sz w:val="19"/>
              </w:rPr>
              <w:t xml:space="preserve">Index family</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I6</w:t>
            </w:r>
          </w:p>
        </w:tc>
        <w:tc>
          <w:tcPr/>
          <w:p>
            <w:pPr>
              <w:pStyle w:val="Compact"/>
              <w:jc w:val="left"/>
            </w:pPr>
            <w:r>
              <w:rPr>
                <w:color w:val="333333"/>
                <w:sz w:val="19"/>
              </w:rPr>
              <w:t xml:space="preserve">Blanket</w:t>
            </w:r>
            <w:r>
              <w:rPr>
                <w:color w:val="333333"/>
                <w:sz w:val="19"/>
              </w:rPr>
              <w:t xml:space="preserve"> </w:t>
            </w:r>
            <w:r>
              <w:rPr>
                <w:color w:val="333333"/>
                <w:sz w:val="19"/>
              </w:rPr>
              <w:t xml:space="preserve">“</w:t>
            </w:r>
            <w:r>
              <w:rPr>
                <w:color w:val="333333"/>
                <w:sz w:val="19"/>
              </w:rPr>
              <w:t xml:space="preserve">index every FK</w:t>
            </w:r>
            <w:r>
              <w:rPr>
                <w:color w:val="333333"/>
                <w:sz w:val="19"/>
              </w:rPr>
              <w:t xml:space="preserve">”</w:t>
            </w:r>
            <w:r>
              <w:rPr>
                <w:color w:val="333333"/>
                <w:sz w:val="19"/>
              </w:rPr>
              <w:t xml:space="preserve"> </w:t>
            </w:r>
            <w:r>
              <w:rPr>
                <w:color w:val="333333"/>
                <w:sz w:val="19"/>
              </w:rPr>
              <w:t xml:space="preserve">programme (~60 indexes)</w:t>
            </w:r>
          </w:p>
        </w:tc>
        <w:tc>
          <w:tcPr/>
          <w:p>
            <w:pPr>
              <w:pStyle w:val="Compact"/>
              <w:jc w:val="left"/>
            </w:pPr>
            <w:r>
              <w:rPr>
                <w:color w:val="333333"/>
                <w:sz w:val="19"/>
              </w:rPr>
              <w:t xml:space="preserve">Index programme</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K1</w:t>
            </w:r>
          </w:p>
        </w:tc>
        <w:tc>
          <w:tcPr/>
          <w:p>
            <w:pPr>
              <w:pStyle w:val="Compact"/>
              <w:jc w:val="left"/>
            </w:pPr>
            <w:r>
              <w:rPr>
                <w:rStyle w:val="VerbatimChar"/>
                <w:color w:val="333333"/>
                <w:sz w:val="19"/>
              </w:rPr>
              <w:t xml:space="preserve">country</w:t>
            </w:r>
            <w:r>
              <w:rPr>
                <w:color w:val="333333"/>
                <w:sz w:val="19"/>
              </w:rPr>
              <w:t xml:space="preserve"> </w:t>
            </w:r>
            <w:r>
              <w:rPr>
                <w:color w:val="333333"/>
                <w:sz w:val="19"/>
              </w:rPr>
              <w:t xml:space="preserve">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 on</w:t>
            </w:r>
            <w:r>
              <w:rPr>
                <w:color w:val="333333"/>
                <w:sz w:val="19"/>
              </w:rPr>
              <w:t xml:space="preserve"> </w:t>
            </w:r>
            <w:r>
              <w:rPr>
                <w:rStyle w:val="VerbatimChar"/>
                <w:color w:val="333333"/>
                <w:sz w:val="19"/>
              </w:rPr>
              <w:t xml:space="preserve">organizations</w:t>
            </w:r>
            <w:r>
              <w:rPr>
                <w:color w:val="333333"/>
                <w:sz w:val="19"/>
              </w:rPr>
              <w:t xml:space="preserve">,</w:t>
            </w:r>
            <w:r>
              <w:rPr>
                <w:color w:val="333333"/>
                <w:sz w:val="19"/>
              </w:rPr>
              <w:t xml:space="preserve"> </w:t>
            </w:r>
            <w:r>
              <w:rPr>
                <w:rStyle w:val="VerbatimChar"/>
                <w:color w:val="333333"/>
                <w:sz w:val="19"/>
              </w:rPr>
              <w:t xml:space="preserve">facilities</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consultant_profiles</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K2</w:t>
            </w:r>
          </w:p>
        </w:tc>
        <w:tc>
          <w:tcPr/>
          <w:p>
            <w:pPr>
              <w:pStyle w:val="Compact"/>
              <w:jc w:val="left"/>
            </w:pPr>
            <w:r>
              <w:rPr>
                <w:color w:val="333333"/>
                <w:sz w:val="19"/>
              </w:rPr>
              <w:t xml:space="preserve">Currency IN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 on six</w:t>
            </w:r>
            <w:r>
              <w:rPr>
                <w:color w:val="333333"/>
                <w:sz w:val="19"/>
              </w:rPr>
              <w:t xml:space="preserve"> </w:t>
            </w:r>
            <w:r>
              <w:rPr>
                <w:rStyle w:val="VerbatimChar"/>
                <w:color w:val="333333"/>
                <w:sz w:val="19"/>
              </w:rPr>
              <w:t xml:space="preserve">currency</w:t>
            </w:r>
            <w:r>
              <w:rPr>
                <w:color w:val="333333"/>
                <w:sz w:val="19"/>
              </w:rPr>
              <w:t xml:space="preserve"> </w:t>
            </w:r>
            <w:r>
              <w:rPr>
                <w:color w:val="333333"/>
                <w:sz w:val="19"/>
              </w:rPr>
              <w:t xml:space="preserve">columns +</w:t>
            </w:r>
            <w:r>
              <w:rPr>
                <w:color w:val="333333"/>
                <w:sz w:val="19"/>
              </w:rPr>
              <w:t xml:space="preserve"> </w:t>
            </w:r>
            <w:r>
              <w:rPr>
                <w:rStyle w:val="VerbatimChar"/>
                <w:color w:val="333333"/>
                <w:sz w:val="19"/>
              </w:rPr>
              <w:t xml:space="preserve">system_settings.default_currency</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K3</w:t>
            </w:r>
          </w:p>
        </w:tc>
        <w:tc>
          <w:tcPr/>
          <w:p>
            <w:pPr>
              <w:pStyle w:val="Compact"/>
              <w:jc w:val="left"/>
            </w:pPr>
            <w:r>
              <w:rPr>
                <w:color w:val="333333"/>
                <w:sz w:val="19"/>
              </w:rPr>
              <w:t xml:space="preserve">Range CHECKs ≥ 0 on emission quantities, factors and money counters</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K4</w:t>
            </w:r>
          </w:p>
        </w:tc>
        <w:tc>
          <w:tcPr/>
          <w:p>
            <w:pPr>
              <w:pStyle w:val="Compact"/>
              <w:jc w:val="left"/>
            </w:pPr>
            <w:r>
              <w:rPr>
                <w:color w:val="333333"/>
                <w:sz w:val="19"/>
              </w:rPr>
              <w:t xml:space="preserve">Status/role CHECK value lists on five queue/billing/role columns</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K5</w:t>
            </w:r>
          </w:p>
        </w:tc>
        <w:tc>
          <w:tcPr/>
          <w:p>
            <w:pPr>
              <w:pStyle w:val="Compact"/>
              <w:jc w:val="left"/>
            </w:pPr>
            <w:r>
              <w:rPr>
                <w:color w:val="333333"/>
                <w:sz w:val="19"/>
              </w:rPr>
              <w:t xml:space="preserve">Uniqueness set: memberships, consultant links, billing months, report versions, supplier identifier partials, factor UNIQUE</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K6</w:t>
            </w:r>
          </w:p>
        </w:tc>
        <w:tc>
          <w:tcPr/>
          <w:p>
            <w:pPr>
              <w:pStyle w:val="Compact"/>
              <w:jc w:val="left"/>
            </w:pPr>
            <w:r>
              <w:rPr>
                <w:color w:val="333333"/>
                <w:sz w:val="19"/>
              </w:rPr>
              <w:t xml:space="preserve">Drop UNIQUE on</w:t>
            </w:r>
            <w:r>
              <w:rPr>
                <w:color w:val="333333"/>
                <w:sz w:val="19"/>
              </w:rPr>
              <w:t xml:space="preserve"> </w:t>
            </w:r>
            <w:r>
              <w:rPr>
                <w:rStyle w:val="VerbatimChar"/>
                <w:color w:val="333333"/>
                <w:sz w:val="19"/>
              </w:rPr>
              <w:t xml:space="preserve">password_reset_tokens.user_id</w:t>
            </w:r>
            <w:r>
              <w:rPr>
                <w:color w:val="333333"/>
                <w:sz w:val="19"/>
              </w:rPr>
              <w:t xml:space="preserve">; keep UNIQUE on</w:t>
            </w:r>
            <w:r>
              <w:rPr>
                <w:color w:val="333333"/>
                <w:sz w:val="19"/>
              </w:rPr>
              <w:t xml:space="preserve"> </w:t>
            </w:r>
            <w:r>
              <w:rPr>
                <w:rStyle w:val="VerbatimChar"/>
                <w:color w:val="333333"/>
                <w:sz w:val="19"/>
              </w:rPr>
              <w:t xml:space="preserve">token</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K7</w:t>
            </w:r>
          </w:p>
        </w:tc>
        <w:tc>
          <w:tcPr/>
          <w:p>
            <w:pPr>
              <w:pStyle w:val="Compact"/>
              <w:jc w:val="left"/>
            </w:pPr>
            <w:r>
              <w:rPr>
                <w:color w:val="333333"/>
                <w:sz w:val="19"/>
              </w:rPr>
              <w:t xml:space="preserve">Backfill then NOT NULL</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 six hot tenant tables</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K8</w:t>
            </w:r>
          </w:p>
        </w:tc>
        <w:tc>
          <w:tcPr/>
          <w:p>
            <w:pPr>
              <w:pStyle w:val="Compact"/>
              <w:jc w:val="left"/>
            </w:pPr>
            <w:r>
              <w:rPr>
                <w:color w:val="333333"/>
                <w:sz w:val="19"/>
              </w:rPr>
              <w:t xml:space="preserve">NOT NULL + DEFAULT on hot booleans/processing timestamps</w:t>
            </w:r>
          </w:p>
        </w:tc>
        <w:tc>
          <w:tcPr/>
          <w:p>
            <w:pPr>
              <w:pStyle w:val="Compact"/>
              <w:jc w:val="left"/>
            </w:pPr>
            <w:r>
              <w:rPr>
                <w:color w:val="333333"/>
                <w:sz w:val="19"/>
              </w:rPr>
              <w:t xml:space="preserve">Constraint</w:t>
            </w:r>
          </w:p>
        </w:tc>
        <w:tc>
          <w:tcPr/>
          <w:p>
            <w:pPr>
              <w:pStyle w:val="Compact"/>
              <w:jc w:val="left"/>
            </w:pPr>
            <w:r>
              <w:rPr>
                <w:color w:val="333333"/>
                <w:sz w:val="19"/>
              </w:rPr>
              <w:t xml:space="preserve">APPROVE</w:t>
            </w:r>
          </w:p>
        </w:tc>
        <w:tc>
          <w:tcPr/>
          <w:p>
            <w:pPr>
              <w:pStyle w:val="Compact"/>
              <w:jc w:val="left"/>
            </w:pPr>
            <w:r>
              <w:rPr>
                <w:color w:val="333333"/>
                <w:sz w:val="19"/>
              </w:rPr>
              <w:t xml:space="preserve">Small</w:t>
            </w:r>
          </w:p>
        </w:tc>
      </w:tr>
      <w:tr>
        <w:tc>
          <w:tcPr/>
          <w:p>
            <w:pPr>
              <w:pStyle w:val="Compact"/>
              <w:jc w:val="left"/>
            </w:pPr>
            <w:r>
              <w:rPr>
                <w:color w:val="333333"/>
                <w:sz w:val="19"/>
              </w:rPr>
              <w:t xml:space="preserve">K9</w:t>
            </w:r>
          </w:p>
        </w:tc>
        <w:tc>
          <w:tcPr/>
          <w:p>
            <w:pPr>
              <w:pStyle w:val="Compact"/>
              <w:jc w:val="left"/>
            </w:pPr>
            <w:r>
              <w:rPr>
                <w:color w:val="333333"/>
                <w:sz w:val="19"/>
              </w:rPr>
              <w:t xml:space="preserve">Country-conditional regex CHECKs (VAT, postcode, Eircode, phone, email, company numbers)</w:t>
            </w:r>
          </w:p>
        </w:tc>
        <w:tc>
          <w:tcPr/>
          <w:p>
            <w:pPr>
              <w:pStyle w:val="Compact"/>
              <w:jc w:val="left"/>
            </w:pPr>
            <w:r>
              <w:rPr>
                <w:color w:val="333333"/>
                <w:sz w:val="19"/>
              </w:rPr>
              <w:t xml:space="preserve">Constraint</w:t>
            </w:r>
          </w:p>
        </w:tc>
        <w:tc>
          <w:tcPr/>
          <w:p>
            <w:pPr>
              <w:pStyle w:val="Compact"/>
              <w:jc w:val="left"/>
            </w:pPr>
            <w:r>
              <w:rPr>
                <w:color w:val="333333"/>
                <w:sz w:val="19"/>
              </w:rPr>
              <w:t xml:space="preserve">REJECT</w:t>
            </w:r>
          </w:p>
        </w:tc>
        <w:tc>
          <w:tcPr/>
          <w:p>
            <w:pPr>
              <w:pStyle w:val="Compact"/>
              <w:jc w:val="left"/>
            </w:pPr>
            <w:r>
              <w:rPr>
                <w:color w:val="333333"/>
                <w:sz w:val="19"/>
              </w:rPr>
              <w:t xml:space="preserve">—</w:t>
            </w:r>
          </w:p>
        </w:tc>
      </w:tr>
      <w:tr>
        <w:tc>
          <w:tcPr/>
          <w:p>
            <w:pPr>
              <w:pStyle w:val="Compact"/>
              <w:jc w:val="left"/>
            </w:pPr>
            <w:r>
              <w:rPr>
                <w:color w:val="333333"/>
                <w:sz w:val="19"/>
              </w:rPr>
              <w:t xml:space="preserve">F1</w:t>
            </w:r>
          </w:p>
        </w:tc>
        <w:tc>
          <w:tcPr/>
          <w:p>
            <w:pPr>
              <w:pStyle w:val="Compact"/>
              <w:jc w:val="left"/>
            </w:pPr>
            <w:r>
              <w:rPr>
                <w:color w:val="333333"/>
                <w:sz w:val="19"/>
              </w:rPr>
              <w:t xml:space="preserve">Verify-first full FK inventory; add missing FKs implied by the dump</w:t>
            </w:r>
          </w:p>
        </w:tc>
        <w:tc>
          <w:tcPr/>
          <w:p>
            <w:pPr>
              <w:pStyle w:val="Compact"/>
              <w:jc w:val="left"/>
            </w:pPr>
            <w:r>
              <w:rPr>
                <w:color w:val="333333"/>
                <w:sz w:val="19"/>
              </w:rPr>
              <w:t xml:space="preserve">Foreign key</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r>
        <w:tc>
          <w:tcPr/>
          <w:p>
            <w:pPr>
              <w:pStyle w:val="Compact"/>
              <w:jc w:val="left"/>
            </w:pPr>
            <w:r>
              <w:rPr>
                <w:color w:val="333333"/>
                <w:sz w:val="19"/>
              </w:rPr>
              <w:t xml:space="preserve">F2</w:t>
            </w:r>
          </w:p>
        </w:tc>
        <w:tc>
          <w:tcPr/>
          <w:p>
            <w:pPr>
              <w:pStyle w:val="Compact"/>
              <w:jc w:val="left"/>
            </w:pPr>
            <w:r>
              <w:rPr>
                <w:color w:val="333333"/>
                <w:sz w:val="19"/>
              </w:rPr>
              <w:t xml:space="preserve">ON DELETE behaviour corrections (RESTRICT on financial/audit tables where CASCADE proven dangerous)</w:t>
            </w:r>
          </w:p>
        </w:tc>
        <w:tc>
          <w:tcPr/>
          <w:p>
            <w:pPr>
              <w:pStyle w:val="Compact"/>
              <w:jc w:val="left"/>
            </w:pPr>
            <w:r>
              <w:rPr>
                <w:color w:val="333333"/>
                <w:sz w:val="19"/>
              </w:rPr>
              <w:t xml:space="preserve">Foreign key</w:t>
            </w:r>
          </w:p>
        </w:tc>
        <w:tc>
          <w:tcPr/>
          <w:p>
            <w:pPr>
              <w:pStyle w:val="Compact"/>
              <w:jc w:val="left"/>
            </w:pPr>
            <w:r>
              <w:rPr>
                <w:color w:val="333333"/>
                <w:sz w:val="19"/>
              </w:rPr>
              <w:t xml:space="preserve">APPROVE</w:t>
            </w:r>
          </w:p>
        </w:tc>
        <w:tc>
          <w:tcPr/>
          <w:p>
            <w:pPr>
              <w:pStyle w:val="Compact"/>
              <w:jc w:val="left"/>
            </w:pPr>
            <w:r>
              <w:rPr>
                <w:color w:val="333333"/>
                <w:sz w:val="19"/>
              </w:rPr>
              <w:t xml:space="preserve">Medium</w:t>
            </w:r>
          </w:p>
        </w:tc>
      </w:tr>
    </w:tbl>
    <w:p>
      <w:pPr>
        <w:pStyle w:val="BodyText"/>
      </w:pPr>
      <w:r>
        <w:rPr>
          <w:bCs/>
          <w:b/>
        </w:rPr>
        <w:t xml:space="preserve">Counts: 38 changes — 28 APPROVE, 4 DEFER, 6 REJECT.</w:t>
      </w:r>
    </w:p>
    <w:p>
      <w:r>
        <w:pict>
          <v:rect style="width:0;height:1.5pt" o:hralign="center" o:hrstd="t" o:hr="t"/>
        </w:pict>
      </w:r>
    </w:p>
    <w:bookmarkEnd w:id="21"/>
    <w:bookmarkStart w:id="25" w:name="column-and-table-renames"/>
    <w:p>
      <w:pPr>
        <w:pStyle w:val="Heading2"/>
      </w:pPr>
      <w:r>
        <w:t xml:space="preserve">1. Column and Table Renames</w:t>
      </w:r>
    </w:p>
    <w:bookmarkStart w:id="22" w:name="X18d2b69ce1d0dc681c13378a8af68444a8b1fbb"/>
    <w:p>
      <w:pPr>
        <w:pStyle w:val="Heading3"/>
      </w:pPr>
      <w:r>
        <w:t xml:space="preserve">R1 —</w:t>
      </w:r>
      <w:r>
        <w:t xml:space="preserve"> </w:t>
      </w:r>
      <w:r>
        <w:rPr>
          <w:rStyle w:val="VerbatimChar"/>
        </w:rPr>
        <w:t xml:space="preserve">defra_conversion_factors</w:t>
      </w:r>
      <w:r>
        <w:t xml:space="preserve"> </w:t>
      </w:r>
      <w:r>
        <w:t xml:space="preserve">→</w:t>
      </w:r>
      <w:r>
        <w:t xml:space="preserve"> </w:t>
      </w:r>
      <w:r>
        <w:rPr>
          <w:rStyle w:val="VerbatimChar"/>
        </w:rPr>
        <w:t xml:space="preserve">emission_factors</w:t>
      </w:r>
    </w:p>
    <w:p>
      <w:pPr>
        <w:numPr>
          <w:ilvl w:val="0"/>
          <w:numId w:val="1001"/>
        </w:numPr>
        <w:pStyle w:val="Compact"/>
      </w:pPr>
      <w:r>
        <w:rPr>
          <w:bCs/>
          <w:b/>
        </w:rPr>
        <w:t xml:space="preserve">Current design.</w:t>
      </w:r>
      <w:r>
        <w:t xml:space="preserve"> </w:t>
      </w:r>
      <w:r>
        <w:t xml:space="preserve">The table is named</w:t>
      </w:r>
      <w:r>
        <w:t xml:space="preserve"> </w:t>
      </w:r>
      <w:r>
        <w:rPr>
          <w:rStyle w:val="VerbatimChar"/>
        </w:rPr>
        <w:t xml:space="preserve">defra_conversion_factors</w:t>
      </w:r>
      <w:r>
        <w:t xml:space="preserve"> </w:t>
      </w:r>
      <w:r>
        <w:t xml:space="preserve">and holds</w:t>
      </w:r>
      <w:r>
        <w:t xml:space="preserve"> </w:t>
      </w:r>
      <w:r>
        <w:rPr>
          <w:rStyle w:val="VerbatimChar"/>
        </w:rPr>
        <w:t xml:space="preserve">id</w:t>
      </w:r>
      <w:r>
        <w:t xml:space="preserve">,</w:t>
      </w:r>
      <w:r>
        <w:t xml:space="preserve"> </w:t>
      </w:r>
      <w:r>
        <w:rPr>
          <w:rStyle w:val="VerbatimChar"/>
        </w:rPr>
        <w:t xml:space="preserve">reporting_year</w:t>
      </w:r>
      <w:r>
        <w:t xml:space="preserve"> </w:t>
      </w:r>
      <w:r>
        <w:t xml:space="preserve">(int4),</w:t>
      </w:r>
      <w:r>
        <w:t xml:space="preserve"> </w:t>
      </w:r>
      <w:r>
        <w:rPr>
          <w:rStyle w:val="VerbatimChar"/>
        </w:rPr>
        <w:t xml:space="preserve">activity_type</w:t>
      </w:r>
      <w:r>
        <w:t xml:space="preserve"> </w:t>
      </w:r>
      <w:r>
        <w:t xml:space="preserve">(varchar),</w:t>
      </w:r>
      <w:r>
        <w:t xml:space="preserve"> </w:t>
      </w:r>
      <w:r>
        <w:rPr>
          <w:rStyle w:val="VerbatimChar"/>
        </w:rPr>
        <w:t xml:space="preserve">co2e_multiplier</w:t>
      </w:r>
      <w:r>
        <w:t xml:space="preserve"> </w:t>
      </w:r>
      <w:r>
        <w:t xml:space="preserve">(numeric),</w:t>
      </w:r>
      <w:r>
        <w:t xml:space="preserve"> </w:t>
      </w:r>
      <w:r>
        <w:rPr>
          <w:rStyle w:val="VerbatimChar"/>
        </w:rPr>
        <w:t xml:space="preserve">region</w:t>
      </w:r>
      <w:r>
        <w:t xml:space="preserve"> </w:t>
      </w:r>
      <w:r>
        <w:t xml:space="preserve">(varchar, nullable),</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 the schema dump also lists a second, duplicated</w:t>
      </w:r>
      <w:r>
        <w:t xml:space="preserve"> </w:t>
      </w:r>
      <w:r>
        <w:rPr>
          <w:rStyle w:val="VerbatimChar"/>
        </w:rPr>
        <w:t xml:space="preserve">updated_at</w:t>
      </w:r>
      <w:r>
        <w:t xml:space="preserve"> </w:t>
      </w:r>
      <w:r>
        <w:t xml:space="preserve">line, treated here as a dump artefact to be confirmed during migration-file inspection. The name hard-codes one national factor authority (UK DEFRA/DESNZ) into the identity of the platform’s factor store.</w:t>
      </w:r>
    </w:p>
    <w:p>
      <w:pPr>
        <w:numPr>
          <w:ilvl w:val="0"/>
          <w:numId w:val="1001"/>
        </w:numPr>
        <w:pStyle w:val="Compact"/>
      </w:pPr>
      <w:r>
        <w:rPr>
          <w:bCs/>
          <w:b/>
        </w:rPr>
        <w:t xml:space="preserve">Proposed design.</w:t>
      </w:r>
      <w:r>
        <w:t xml:space="preserve"> </w:t>
      </w:r>
      <w:r>
        <w:t xml:space="preserve">Rename the table to</w:t>
      </w:r>
      <w:r>
        <w:t xml:space="preserve"> </w:t>
      </w:r>
      <w:r>
        <w:rPr>
          <w:rStyle w:val="VerbatimChar"/>
        </w:rPr>
        <w:t xml:space="preserve">emission_factors</w:t>
      </w:r>
      <w:r>
        <w:t xml:space="preserve">. Row content is unchanged; the provenance columns that make the name honest arrive via C4, and the</w:t>
      </w:r>
      <w:r>
        <w:t xml:space="preserve"> </w:t>
      </w:r>
      <w:r>
        <w:rPr>
          <w:rStyle w:val="VerbatimChar"/>
        </w:rPr>
        <w:t xml:space="preserve">country</w:t>
      </w:r>
      <w:r>
        <w:t xml:space="preserve"> </w:t>
      </w:r>
      <w:r>
        <w:t xml:space="preserve">jurisdiction column carries</w:t>
      </w:r>
      <w:r>
        <w:t xml:space="preserve"> </w:t>
      </w:r>
      <w:r>
        <w:t xml:space="preserve">‘</w:t>
      </w:r>
      <w:r>
        <w:t xml:space="preserve">GB</w:t>
      </w:r>
      <w:r>
        <w:t xml:space="preserve">’</w:t>
      </w:r>
      <w:r>
        <w:t xml:space="preserve"> </w:t>
      </w:r>
      <w:r>
        <w:t xml:space="preserve">for all existing rows. The existing</w:t>
      </w:r>
      <w:r>
        <w:t xml:space="preserve"> </w:t>
      </w:r>
      <w:r>
        <w:rPr>
          <w:rStyle w:val="VerbatimChar"/>
        </w:rPr>
        <w:t xml:space="preserve">region</w:t>
      </w:r>
      <w:r>
        <w:t xml:space="preserve"> </w:t>
      </w:r>
      <w:r>
        <w:t xml:space="preserve">column half-does what</w:t>
      </w:r>
      <w:r>
        <w:t xml:space="preserve"> </w:t>
      </w:r>
      <w:r>
        <w:rPr>
          <w:rStyle w:val="VerbatimChar"/>
        </w:rPr>
        <w:t xml:space="preserve">country</w:t>
      </w:r>
      <w:r>
        <w:t xml:space="preserve"> </w:t>
      </w:r>
      <w:r>
        <w:t xml:space="preserve">will do properly, so during the C4 backfill its values are mapped into</w:t>
      </w:r>
      <w:r>
        <w:t xml:space="preserve"> </w:t>
      </w:r>
      <w:r>
        <w:rPr>
          <w:rStyle w:val="VerbatimChar"/>
        </w:rPr>
        <w:t xml:space="preserve">country</w:t>
      </w:r>
      <w:r>
        <w:t xml:space="preserve"> </w:t>
      </w:r>
      <w:r>
        <w:t xml:space="preserve">and</w:t>
      </w:r>
      <w:r>
        <w:t xml:space="preserve"> </w:t>
      </w:r>
      <w:r>
        <w:rPr>
          <w:rStyle w:val="VerbatimChar"/>
        </w:rPr>
        <w:t xml:space="preserve">region</w:t>
      </w:r>
      <w:r>
        <w:t xml:space="preserve"> </w:t>
      </w:r>
      <w:r>
        <w:t xml:space="preserve">is then retired, keeping the factor table to a single jurisdiction column in line with this review’s single-source-of-truth stance.</w:t>
      </w:r>
    </w:p>
    <w:p>
      <w:pPr>
        <w:numPr>
          <w:ilvl w:val="0"/>
          <w:numId w:val="1001"/>
        </w:numPr>
        <w:pStyle w:val="Compact"/>
      </w:pPr>
      <w:r>
        <w:rPr>
          <w:bCs/>
          <w:b/>
        </w:rPr>
        <w:t xml:space="preserve">Why the change is needed.</w:t>
      </w:r>
      <w:r>
        <w:t xml:space="preserve"> </w:t>
      </w:r>
      <w:r>
        <w:t xml:space="preserve">Under the UK-primary/IE-beta decision, Irish factors do not need full support in v1.0 — but the</w:t>
      </w:r>
      <w:r>
        <w:t xml:space="preserve"> </w:t>
      </w:r>
      <w:r>
        <w:rPr>
          <w:iCs/>
          <w:i/>
        </w:rPr>
        <w:t xml:space="preserve">name</w:t>
      </w:r>
      <w:r>
        <w:t xml:space="preserve"> </w:t>
      </w:r>
      <w:r>
        <w:t xml:space="preserve">of the table is the single structural artefact that cannot absorb a second jurisdiction without either a misleading label or a breaking rename later. A table rename on a live, factor-referenced table is precisely the kind of change the</w:t>
      </w:r>
      <w:r>
        <w:t xml:space="preserve"> </w:t>
      </w:r>
      <w:r>
        <w:t xml:space="preserve">“</w:t>
      </w:r>
      <w:r>
        <w:t xml:space="preserve">no major redesign in v1.1</w:t>
      </w:r>
      <w:r>
        <w:t xml:space="preserve">”</w:t>
      </w:r>
      <w:r>
        <w:t xml:space="preserve"> </w:t>
      </w:r>
      <w:r>
        <w:t xml:space="preserve">requirement exists to pre-empt. The only cheap moment to do it is pre-launch, while the referencing surface is small and pre-revenue.</w:t>
      </w:r>
    </w:p>
    <w:p>
      <w:pPr>
        <w:numPr>
          <w:ilvl w:val="0"/>
          <w:numId w:val="1001"/>
        </w:numPr>
        <w:pStyle w:val="Compact"/>
      </w:pPr>
      <w:r>
        <w:rPr>
          <w:bCs/>
          <w:b/>
        </w:rPr>
        <w:t xml:space="preserve">Benefits.</w:t>
      </w:r>
      <w:r>
        <w:t xml:space="preserve"> </w:t>
      </w:r>
      <w:r>
        <w:t xml:space="preserve">Jurisdiction-neutral naming for the v1.1 SEAI/EPA activation; honest naming for beta users who will see Irish factors later; reporting and analytics code written in v1.0 against the permanent name.</w:t>
      </w:r>
    </w:p>
    <w:p>
      <w:pPr>
        <w:numPr>
          <w:ilvl w:val="0"/>
          <w:numId w:val="1001"/>
        </w:numPr>
        <w:pStyle w:val="Compact"/>
      </w:pPr>
      <w:r>
        <w:rPr>
          <w:bCs/>
          <w:b/>
        </w:rPr>
        <w:t xml:space="preserve">Risks.</w:t>
      </w:r>
      <w:r>
        <w:t xml:space="preserve"> </w:t>
      </w:r>
      <w:r>
        <w:t xml:space="preserve">A rename touches every query, view, ORM model and seed script referencing the old name — a mechanical but wide search-and-replace; a missed reference surfaces only at runtime. Low technical risk, moderate completeness risk, mitigated by a single coordinated deploy.</w:t>
      </w:r>
    </w:p>
    <w:p>
      <w:pPr>
        <w:numPr>
          <w:ilvl w:val="0"/>
          <w:numId w:val="1001"/>
        </w:numPr>
        <w:pStyle w:val="Compact"/>
      </w:pPr>
      <w:r>
        <w:rPr>
          <w:bCs/>
          <w:b/>
        </w:rPr>
        <w:t xml:space="preserve">Migration impact.</w:t>
      </w:r>
      <w:r>
        <w:t xml:space="preserve"> </w:t>
      </w:r>
      <w:r>
        <w:t xml:space="preserve">Small: one metadata-only rename (no table rewrite). Verify against migration files that no view, function or RLS policy references the old name — the dump shows none, but the dump is silent on policies and functions.</w:t>
      </w:r>
    </w:p>
    <w:p>
      <w:pPr>
        <w:numPr>
          <w:ilvl w:val="0"/>
          <w:numId w:val="1001"/>
        </w:numPr>
        <w:pStyle w:val="Compact"/>
      </w:pPr>
      <w:r>
        <w:rPr>
          <w:bCs/>
          <w:b/>
        </w:rPr>
        <w:t xml:space="preserve">Application impact.</w:t>
      </w:r>
      <w:r>
        <w:t xml:space="preserve"> </w:t>
      </w:r>
      <w:r>
        <w:t xml:space="preserve">All factor-lookup call sites updated in the same release; no behavioural change.</w:t>
      </w:r>
    </w:p>
    <w:p>
      <w:pPr>
        <w:numPr>
          <w:ilvl w:val="0"/>
          <w:numId w:val="1001"/>
        </w:numPr>
        <w:pStyle w:val="Compact"/>
      </w:pPr>
      <w:r>
        <w:rPr>
          <w:bCs/>
          <w:b/>
        </w:rPr>
        <w:t xml:space="preserve">Backward compatibility.</w:t>
      </w:r>
      <w:r>
        <w:t xml:space="preserve"> </w:t>
      </w:r>
      <w:r>
        <w:t xml:space="preserve">Breaking for any external consumer of the old name; there are none pre-launch. Not compatible with a staged old/new dual-name period — renames are atomic.</w:t>
      </w:r>
    </w:p>
    <w:p>
      <w:pPr>
        <w:numPr>
          <w:ilvl w:val="0"/>
          <w:numId w:val="1001"/>
        </w:numPr>
        <w:pStyle w:val="Compact"/>
      </w:pPr>
      <w:r>
        <w:rPr>
          <w:bCs/>
          <w:b/>
        </w:rPr>
        <w:t xml:space="preserve">Recommendation: APPROVE.</w:t>
      </w:r>
      <w:r>
        <w:t xml:space="preserve"> </w:t>
      </w:r>
      <w:r>
        <w:t xml:space="preserve">This is the cheapest of the three v1.1-Ireland enablers and the one whose cost grows fastest with time.</w:t>
      </w:r>
    </w:p>
    <w:bookmarkEnd w:id="22"/>
    <w:bookmarkStart w:id="23" w:name="Xfb6ea7da71220b799e5c1e60c0925ad94702537"/>
    <w:p>
      <w:pPr>
        <w:pStyle w:val="Heading3"/>
      </w:pPr>
      <w:r>
        <w:t xml:space="preserve">R2 —</w:t>
      </w:r>
      <w:r>
        <w:t xml:space="preserve"> </w:t>
      </w:r>
      <w:r>
        <w:rPr>
          <w:rStyle w:val="VerbatimChar"/>
        </w:rPr>
        <w:t xml:space="preserve">emissions_logs.defra_factor_id</w:t>
      </w:r>
      <w:r>
        <w:t xml:space="preserve"> </w:t>
      </w:r>
      <w:r>
        <w:t xml:space="preserve">→</w:t>
      </w:r>
      <w:r>
        <w:t xml:space="preserve"> </w:t>
      </w:r>
      <w:r>
        <w:rPr>
          <w:rStyle w:val="VerbatimChar"/>
        </w:rPr>
        <w:t xml:space="preserve">emission_factor_id</w:t>
      </w:r>
      <w:r>
        <w:t xml:space="preserve">;</w:t>
      </w:r>
      <w:r>
        <w:t xml:space="preserve"> </w:t>
      </w:r>
      <w:r>
        <w:rPr>
          <w:rStyle w:val="VerbatimChar"/>
        </w:rPr>
        <w:t xml:space="preserve">document_processing_queue.defra_factor_used</w:t>
      </w:r>
      <w:r>
        <w:t xml:space="preserve"> </w:t>
      </w:r>
      <w:r>
        <w:t xml:space="preserve">→</w:t>
      </w:r>
      <w:r>
        <w:t xml:space="preserve"> </w:t>
      </w:r>
      <w:r>
        <w:rPr>
          <w:rStyle w:val="VerbatimChar"/>
        </w:rPr>
        <w:t xml:space="preserve">emission_factor_used</w:t>
      </w:r>
    </w:p>
    <w:p>
      <w:pPr>
        <w:numPr>
          <w:ilvl w:val="0"/>
          <w:numId w:val="1002"/>
        </w:numPr>
        <w:pStyle w:val="Compact"/>
      </w:pPr>
      <w:r>
        <w:rPr>
          <w:bCs/>
          <w:b/>
        </w:rPr>
        <w:t xml:space="preserve">Current design.</w:t>
      </w:r>
      <w:r>
        <w:t xml:space="preserve"> </w:t>
      </w:r>
      <w:r>
        <w:rPr>
          <w:rStyle w:val="VerbatimChar"/>
        </w:rPr>
        <w:t xml:space="preserve">emissions_logs.defra_factor_id</w:t>
      </w:r>
      <w:r>
        <w:t xml:space="preserve"> </w:t>
      </w:r>
      <w:r>
        <w:t xml:space="preserve">(uuid, nullable) references the factor table;</w:t>
      </w:r>
      <w:r>
        <w:t xml:space="preserve"> </w:t>
      </w:r>
      <w:r>
        <w:rPr>
          <w:rStyle w:val="VerbatimChar"/>
        </w:rPr>
        <w:t xml:space="preserve">document_processing_queue.defra_factor_used</w:t>
      </w:r>
      <w:r>
        <w:t xml:space="preserve"> </w:t>
      </w:r>
      <w:r>
        <w:t xml:space="preserve">(uuid, nullable) records the factor applied during pipeline calculation. Both column names repeat the jurisdiction-specific prefix.</w:t>
      </w:r>
    </w:p>
    <w:p>
      <w:pPr>
        <w:numPr>
          <w:ilvl w:val="0"/>
          <w:numId w:val="1002"/>
        </w:numPr>
        <w:pStyle w:val="Compact"/>
      </w:pPr>
      <w:r>
        <w:rPr>
          <w:bCs/>
          <w:b/>
        </w:rPr>
        <w:t xml:space="preserve">Proposed design.</w:t>
      </w:r>
      <w:r>
        <w:t xml:space="preserve"> </w:t>
      </w:r>
      <w:r>
        <w:t xml:space="preserve">Rename both columns to jurisdiction-neutral names in the same migration as R1.</w:t>
      </w:r>
    </w:p>
    <w:p>
      <w:pPr>
        <w:numPr>
          <w:ilvl w:val="0"/>
          <w:numId w:val="1002"/>
        </w:numPr>
        <w:pStyle w:val="Compact"/>
      </w:pPr>
      <w:r>
        <w:rPr>
          <w:bCs/>
          <w:b/>
        </w:rPr>
        <w:t xml:space="preserve">Why the change is needed.</w:t>
      </w:r>
      <w:r>
        <w:t xml:space="preserve"> </w:t>
      </w:r>
      <w:r>
        <w:t xml:space="preserve">The hardening plan deferred the</w:t>
      </w:r>
      <w:r>
        <w:t xml:space="preserve"> </w:t>
      </w:r>
      <w:r>
        <w:rPr>
          <w:rStyle w:val="VerbatimChar"/>
        </w:rPr>
        <w:t xml:space="preserve">defra_factor_id</w:t>
      </w:r>
      <w:r>
        <w:t xml:space="preserve"> </w:t>
      </w:r>
      <w:r>
        <w:t xml:space="preserve">rename to v1.1 (item C15); the UK-primary/IE-beta decision and the no-redesign requirement invert that. Renaming the table (R1) while leaving its referencing columns named</w:t>
      </w:r>
      <w:r>
        <w:t xml:space="preserve"> </w:t>
      </w:r>
      <w:r>
        <w:rPr>
          <w:rStyle w:val="VerbatimChar"/>
        </w:rPr>
        <w:t xml:space="preserve">defra_*</w:t>
      </w:r>
      <w:r>
        <w:t xml:space="preserve"> </w:t>
      </w:r>
      <w:r>
        <w:t xml:space="preserve">would freeze a permanent lie into the two hottest tables that consume factors — and a column rename on</w:t>
      </w:r>
      <w:r>
        <w:t xml:space="preserve"> </w:t>
      </w:r>
      <w:r>
        <w:rPr>
          <w:rStyle w:val="VerbatimChar"/>
        </w:rPr>
        <w:t xml:space="preserve">emissions_logs</w:t>
      </w:r>
      <w:r>
        <w:t xml:space="preserve"> </w:t>
      </w:r>
      <w:r>
        <w:t xml:space="preserve">after a year of tenant data and reporting snapshots is materially harder than today.</w:t>
      </w:r>
    </w:p>
    <w:p>
      <w:pPr>
        <w:numPr>
          <w:ilvl w:val="0"/>
          <w:numId w:val="1002"/>
        </w:numPr>
        <w:pStyle w:val="Compact"/>
      </w:pPr>
      <w:r>
        <w:rPr>
          <w:bCs/>
          <w:b/>
        </w:rPr>
        <w:t xml:space="preserve">Benefits.</w:t>
      </w:r>
      <w:r>
        <w:t xml:space="preserve"> </w:t>
      </w:r>
      <w:r>
        <w:t xml:space="preserve">Consistent neutral naming across the factor-read path; v1.1 needs no rename migration on a populated</w:t>
      </w:r>
      <w:r>
        <w:t xml:space="preserve"> </w:t>
      </w:r>
      <w:r>
        <w:rPr>
          <w:rStyle w:val="VerbatimChar"/>
        </w:rPr>
        <w:t xml:space="preserve">emissions_logs</w:t>
      </w:r>
      <w:r>
        <w:t xml:space="preserve">; seeds, fixtures and reporting code written once against final names.</w:t>
      </w:r>
    </w:p>
    <w:p>
      <w:pPr>
        <w:numPr>
          <w:ilvl w:val="0"/>
          <w:numId w:val="1002"/>
        </w:numPr>
        <w:pStyle w:val="Compact"/>
      </w:pPr>
      <w:r>
        <w:rPr>
          <w:bCs/>
          <w:b/>
        </w:rPr>
        <w:t xml:space="preserve">Risks.</w:t>
      </w:r>
      <w:r>
        <w:t xml:space="preserve"> </w:t>
      </w:r>
      <w:r>
        <w:t xml:space="preserve">Same mechanical completeness risk as R1, slightly wider because</w:t>
      </w:r>
      <w:r>
        <w:t xml:space="preserve"> </w:t>
      </w:r>
      <w:r>
        <w:rPr>
          <w:rStyle w:val="VerbatimChar"/>
        </w:rPr>
        <w:t xml:space="preserve">emissions_logs</w:t>
      </w:r>
      <w:r>
        <w:t xml:space="preserve"> </w:t>
      </w:r>
      <w:r>
        <w:t xml:space="preserve">is touched by reporting, exports and the pipeline. Coordinated single release required.</w:t>
      </w:r>
    </w:p>
    <w:p>
      <w:pPr>
        <w:numPr>
          <w:ilvl w:val="0"/>
          <w:numId w:val="1002"/>
        </w:numPr>
        <w:pStyle w:val="Compact"/>
      </w:pPr>
      <w:r>
        <w:rPr>
          <w:bCs/>
          <w:b/>
        </w:rPr>
        <w:t xml:space="preserve">Migration impact.</w:t>
      </w:r>
      <w:r>
        <w:t xml:space="preserve"> </w:t>
      </w:r>
      <w:r>
        <w:t xml:space="preserve">Small — metadata-only renames. Verify no views/functions reference the old column names (dump silent; migration-file inspection is the caveat).</w:t>
      </w:r>
    </w:p>
    <w:p>
      <w:pPr>
        <w:numPr>
          <w:ilvl w:val="0"/>
          <w:numId w:val="1002"/>
        </w:numPr>
        <w:pStyle w:val="Compact"/>
      </w:pPr>
      <w:r>
        <w:rPr>
          <w:bCs/>
          <w:b/>
        </w:rPr>
        <w:t xml:space="preserve">Application impact.</w:t>
      </w:r>
      <w:r>
        <w:t xml:space="preserve"> </w:t>
      </w:r>
      <w:r>
        <w:t xml:space="preserve">All factor-join and audit-display call sites updated with R1’s release.</w:t>
      </w:r>
    </w:p>
    <w:p>
      <w:pPr>
        <w:numPr>
          <w:ilvl w:val="0"/>
          <w:numId w:val="1002"/>
        </w:numPr>
        <w:pStyle w:val="Compact"/>
      </w:pPr>
      <w:r>
        <w:rPr>
          <w:bCs/>
          <w:b/>
        </w:rPr>
        <w:t xml:space="preserve">Backward compatibility.</w:t>
      </w:r>
      <w:r>
        <w:t xml:space="preserve"> </w:t>
      </w:r>
      <w:r>
        <w:t xml:space="preserve">Breaking only for pre-launch code; no external consumers exist.</w:t>
      </w:r>
    </w:p>
    <w:p>
      <w:pPr>
        <w:numPr>
          <w:ilvl w:val="0"/>
          <w:numId w:val="1002"/>
        </w:numPr>
        <w:pStyle w:val="Compact"/>
      </w:pPr>
      <w:r>
        <w:rPr>
          <w:bCs/>
          <w:b/>
        </w:rPr>
        <w:t xml:space="preserve">Recommendation: APPROVE.</w:t>
      </w:r>
      <w:r>
        <w:t xml:space="preserve"> </w:t>
      </w:r>
      <w:r>
        <w:t xml:space="preserve">Companion to R1; splitting them buys nothing and strands misleading names on hot tables.</w:t>
      </w:r>
    </w:p>
    <w:bookmarkEnd w:id="23"/>
    <w:bookmarkStart w:id="24" w:name="X3eb25dbceef0a9031f6cbe0dfca6b1a3e0ca313"/>
    <w:p>
      <w:pPr>
        <w:pStyle w:val="Heading3"/>
      </w:pPr>
      <w:r>
        <w:t xml:space="preserve">R3 —</w:t>
      </w:r>
      <w:r>
        <w:t xml:space="preserve"> </w:t>
      </w:r>
      <w:r>
        <w:rPr>
          <w:rStyle w:val="VerbatimChar"/>
        </w:rPr>
        <w:t xml:space="preserve">organizations.default_defra_version</w:t>
      </w:r>
      <w:r>
        <w:t xml:space="preserve"> </w:t>
      </w:r>
      <w:r>
        <w:t xml:space="preserve">→</w:t>
      </w:r>
      <w:r>
        <w:t xml:space="preserve"> </w:t>
      </w:r>
      <w:r>
        <w:rPr>
          <w:rStyle w:val="VerbatimChar"/>
        </w:rPr>
        <w:t xml:space="preserve">default_factor_year</w:t>
      </w:r>
    </w:p>
    <w:p>
      <w:pPr>
        <w:numPr>
          <w:ilvl w:val="0"/>
          <w:numId w:val="1003"/>
        </w:numPr>
        <w:pStyle w:val="Compact"/>
      </w:pPr>
      <w:r>
        <w:rPr>
          <w:bCs/>
          <w:b/>
        </w:rPr>
        <w:t xml:space="preserve">Current design.</w:t>
      </w:r>
      <w:r>
        <w:t xml:space="preserve"> </w:t>
      </w:r>
      <w:r>
        <w:rPr>
          <w:rStyle w:val="VerbatimChar"/>
        </w:rPr>
        <w:t xml:space="preserve">organizations.default_defra_version</w:t>
      </w:r>
      <w:r>
        <w:t xml:space="preserve"> </w:t>
      </w:r>
      <w:r>
        <w:t xml:space="preserve">(int4, nullable) stores each organisation’s default factor reporting year;</w:t>
      </w:r>
      <w:r>
        <w:t xml:space="preserve"> </w:t>
      </w:r>
      <w:r>
        <w:rPr>
          <w:rStyle w:val="VerbatimChar"/>
        </w:rPr>
        <w:t xml:space="preserve">system_settings.default_emission_factor_year</w:t>
      </w:r>
      <w:r>
        <w:t xml:space="preserve"> </w:t>
      </w:r>
      <w:r>
        <w:t xml:space="preserve">(int4) already uses neutral naming at platform level, making the org column’s</w:t>
      </w:r>
      <w:r>
        <w:t xml:space="preserve"> </w:t>
      </w:r>
      <w:r>
        <w:rPr>
          <w:rStyle w:val="VerbatimChar"/>
        </w:rPr>
        <w:t xml:space="preserve">defra</w:t>
      </w:r>
      <w:r>
        <w:t xml:space="preserve"> </w:t>
      </w:r>
      <w:r>
        <w:t xml:space="preserve">prefix both jurisdiction-specific and internally inconsistent.</w:t>
      </w:r>
    </w:p>
    <w:p>
      <w:pPr>
        <w:numPr>
          <w:ilvl w:val="0"/>
          <w:numId w:val="1003"/>
        </w:numPr>
        <w:pStyle w:val="Compact"/>
      </w:pPr>
      <w:r>
        <w:rPr>
          <w:bCs/>
          <w:b/>
        </w:rPr>
        <w:t xml:space="preserve">Proposed design.</w:t>
      </w:r>
      <w:r>
        <w:t xml:space="preserve"> </w:t>
      </w:r>
      <w:r>
        <w:t xml:space="preserve">Rename to</w:t>
      </w:r>
      <w:r>
        <w:t xml:space="preserve"> </w:t>
      </w:r>
      <w:r>
        <w:rPr>
          <w:rStyle w:val="VerbatimChar"/>
        </w:rPr>
        <w:t xml:space="preserve">default_factor_year</w:t>
      </w:r>
      <w:r>
        <w:t xml:space="preserve">, matching the platform-level setting’s semantics.</w:t>
      </w:r>
    </w:p>
    <w:p>
      <w:pPr>
        <w:numPr>
          <w:ilvl w:val="0"/>
          <w:numId w:val="1003"/>
        </w:numPr>
        <w:pStyle w:val="Compact"/>
      </w:pPr>
      <w:r>
        <w:rPr>
          <w:bCs/>
          <w:b/>
        </w:rPr>
        <w:t xml:space="preserve">Why the change is needed.</w:t>
      </w:r>
      <w:r>
        <w:t xml:space="preserve"> </w:t>
      </w:r>
      <w:r>
        <w:t xml:space="preserve">This is the one org-level setting an Irish beta tenant will read on day one (which year’s factors apply to their reports). Under UK-primary it stays functionally UK-defaulted; under the no-redesign rule its name must not require a v1.1 migration.</w:t>
      </w:r>
    </w:p>
    <w:p>
      <w:pPr>
        <w:numPr>
          <w:ilvl w:val="0"/>
          <w:numId w:val="1003"/>
        </w:numPr>
        <w:pStyle w:val="Compact"/>
      </w:pPr>
      <w:r>
        <w:rPr>
          <w:bCs/>
          <w:b/>
        </w:rPr>
        <w:t xml:space="preserve">Benefits.</w:t>
      </w:r>
      <w:r>
        <w:t xml:space="preserve"> </w:t>
      </w:r>
      <w:r>
        <w:t xml:space="preserve">Neutral, self-consistent naming; zero functional change.</w:t>
      </w:r>
    </w:p>
    <w:p>
      <w:pPr>
        <w:numPr>
          <w:ilvl w:val="0"/>
          <w:numId w:val="1003"/>
        </w:numPr>
        <w:pStyle w:val="Compact"/>
      </w:pPr>
      <w:r>
        <w:rPr>
          <w:bCs/>
          <w:b/>
        </w:rPr>
        <w:t xml:space="preserve">Risks.</w:t>
      </w:r>
      <w:r>
        <w:t xml:space="preserve"> </w:t>
      </w:r>
      <w:r>
        <w:t xml:space="preserve">Trivial completeness risk; the column has few readers (onboarding defaults, report generation).</w:t>
      </w:r>
    </w:p>
    <w:p>
      <w:pPr>
        <w:numPr>
          <w:ilvl w:val="0"/>
          <w:numId w:val="1003"/>
        </w:numPr>
        <w:pStyle w:val="Compact"/>
      </w:pPr>
      <w:r>
        <w:rPr>
          <w:bCs/>
          <w:b/>
        </w:rPr>
        <w:t xml:space="preserve">Migration impact.</w:t>
      </w:r>
      <w:r>
        <w:t xml:space="preserve"> </w:t>
      </w:r>
      <w:r>
        <w:t xml:space="preserve">Small, metadata-only; rides the R1/R2 release.</w:t>
      </w:r>
    </w:p>
    <w:p>
      <w:pPr>
        <w:numPr>
          <w:ilvl w:val="0"/>
          <w:numId w:val="1003"/>
        </w:numPr>
        <w:pStyle w:val="Compact"/>
      </w:pPr>
      <w:r>
        <w:rPr>
          <w:bCs/>
          <w:b/>
        </w:rPr>
        <w:t xml:space="preserve">Application impact.</w:t>
      </w:r>
      <w:r>
        <w:t xml:space="preserve"> </w:t>
      </w:r>
      <w:r>
        <w:t xml:space="preserve">Onboarding-default and report-generation readers updated in the same release.</w:t>
      </w:r>
    </w:p>
    <w:p>
      <w:pPr>
        <w:numPr>
          <w:ilvl w:val="0"/>
          <w:numId w:val="1003"/>
        </w:numPr>
        <w:pStyle w:val="Compact"/>
      </w:pPr>
      <w:r>
        <w:rPr>
          <w:bCs/>
          <w:b/>
        </w:rPr>
        <w:t xml:space="preserve">Backward compatibility.</w:t>
      </w:r>
      <w:r>
        <w:t xml:space="preserve"> </w:t>
      </w:r>
      <w:r>
        <w:t xml:space="preserve">Breaking only for pre-launch code.</w:t>
      </w:r>
    </w:p>
    <w:p>
      <w:pPr>
        <w:numPr>
          <w:ilvl w:val="0"/>
          <w:numId w:val="1003"/>
        </w:numPr>
        <w:pStyle w:val="Compact"/>
      </w:pPr>
      <w:r>
        <w:rPr>
          <w:bCs/>
          <w:b/>
        </w:rPr>
        <w:t xml:space="preserve">Recommendation: APPROVE.</w:t>
      </w:r>
    </w:p>
    <w:p>
      <w:r>
        <w:pict>
          <v:rect style="width:0;height:1.5pt" o:hralign="center" o:hrstd="t" o:hr="t"/>
        </w:pict>
      </w:r>
    </w:p>
    <w:bookmarkEnd w:id="24"/>
    <w:bookmarkEnd w:id="25"/>
    <w:bookmarkStart w:id="41" w:name="new-columns"/>
    <w:p>
      <w:pPr>
        <w:pStyle w:val="Heading2"/>
      </w:pPr>
      <w:r>
        <w:t xml:space="preserve">2. New Columns</w:t>
      </w:r>
    </w:p>
    <w:bookmarkStart w:id="26" w:name="Xc25d9be91e61ef07152feefee362cf92aa9c812"/>
    <w:p>
      <w:pPr>
        <w:pStyle w:val="Heading3"/>
      </w:pPr>
      <w:r>
        <w:t xml:space="preserve">C1 —</w:t>
      </w:r>
      <w:r>
        <w:t xml:space="preserve"> </w:t>
      </w:r>
      <w:r>
        <w:rPr>
          <w:rStyle w:val="VerbatimChar"/>
        </w:rPr>
        <w:t xml:space="preserve">facilities.eircode</w:t>
      </w:r>
      <w:r>
        <w:t xml:space="preserve">; relax</w:t>
      </w:r>
      <w:r>
        <w:t xml:space="preserve"> </w:t>
      </w:r>
      <w:r>
        <w:rPr>
          <w:rStyle w:val="VerbatimChar"/>
        </w:rPr>
        <w:t xml:space="preserve">facilities.postcode</w:t>
      </w:r>
      <w:r>
        <w:t xml:space="preserve"> </w:t>
      </w:r>
      <w:r>
        <w:t xml:space="preserve">NOT NULL; presence CHECK</w:t>
      </w:r>
    </w:p>
    <w:p>
      <w:pPr>
        <w:numPr>
          <w:ilvl w:val="0"/>
          <w:numId w:val="1004"/>
        </w:numPr>
        <w:pStyle w:val="Compact"/>
      </w:pPr>
      <w:r>
        <w:rPr>
          <w:bCs/>
          <w:b/>
        </w:rPr>
        <w:t xml:space="preserve">Current design.</w:t>
      </w:r>
      <w:r>
        <w:t xml:space="preserve"> </w:t>
      </w:r>
      <w:r>
        <w:rPr>
          <w:rStyle w:val="VerbatimChar"/>
        </w:rPr>
        <w:t xml:space="preserve">facilities</w:t>
      </w:r>
      <w:r>
        <w:t xml:space="preserve"> </w:t>
      </w:r>
      <w:r>
        <w:t xml:space="preserve">has</w:t>
      </w:r>
      <w:r>
        <w:t xml:space="preserve"> </w:t>
      </w:r>
      <w:r>
        <w:rPr>
          <w:rStyle w:val="VerbatimChar"/>
        </w:rPr>
        <w:t xml:space="preserve">postcode</w:t>
      </w:r>
      <w:r>
        <w:t xml:space="preserve"> </w:t>
      </w:r>
      <w:r>
        <w:t xml:space="preserve">(varchar,</w:t>
      </w:r>
      <w:r>
        <w:t xml:space="preserve"> </w:t>
      </w:r>
      <w:r>
        <w:rPr>
          <w:bCs/>
          <w:b/>
        </w:rPr>
        <w:t xml:space="preserve">NOT NULL</w:t>
      </w:r>
      <w:r>
        <w:t xml:space="preserve">),</w:t>
      </w:r>
      <w:r>
        <w:t xml:space="preserve"> </w:t>
      </w:r>
      <w:r>
        <w:rPr>
          <w:rStyle w:val="VerbatimChar"/>
        </w:rPr>
        <w:t xml:space="preserve">country</w:t>
      </w:r>
      <w:r>
        <w:t xml:space="preserve"> </w:t>
      </w:r>
      <w:r>
        <w:t xml:space="preserve">(varchar, nullable), and</w:t>
      </w:r>
      <w:r>
        <w:t xml:space="preserve"> </w:t>
      </w:r>
      <w:r>
        <w:rPr>
          <w:bCs/>
          <w:b/>
        </w:rPr>
        <w:t xml:space="preserve">no</w:t>
      </w:r>
      <w:r>
        <w:t xml:space="preserve"> </w:t>
      </w:r>
      <w:r>
        <w:rPr>
          <w:rStyle w:val="VerbatimChar"/>
        </w:rPr>
        <w:t xml:space="preserve">eircode</w:t>
      </w:r>
      <w:r>
        <w:t xml:space="preserve"> </w:t>
      </w:r>
      <w:r>
        <w:t xml:space="preserve">column — while</w:t>
      </w:r>
      <w:r>
        <w:t xml:space="preserve"> </w:t>
      </w:r>
      <w:r>
        <w:rPr>
          <w:rStyle w:val="VerbatimChar"/>
        </w:rPr>
        <w:t xml:space="preserve">organizations</w:t>
      </w:r>
      <w:r>
        <w:t xml:space="preserve">,</w:t>
      </w:r>
      <w:r>
        <w:t xml:space="preserve"> </w:t>
      </w:r>
      <w:r>
        <w:rPr>
          <w:rStyle w:val="VerbatimChar"/>
        </w:rPr>
        <w:t xml:space="preserve">suppliers</w:t>
      </w:r>
      <w:r>
        <w:t xml:space="preserve"> </w:t>
      </w:r>
      <w:r>
        <w:t xml:space="preserve">and</w:t>
      </w:r>
      <w:r>
        <w:t xml:space="preserve"> </w:t>
      </w:r>
      <w:r>
        <w:rPr>
          <w:rStyle w:val="VerbatimChar"/>
        </w:rPr>
        <w:t xml:space="preserve">consultant_profiles</w:t>
      </w:r>
      <w:r>
        <w:t xml:space="preserve"> </w:t>
      </w:r>
      <w:r>
        <w:t xml:space="preserve">all already carry nullable</w:t>
      </w:r>
      <w:r>
        <w:t xml:space="preserve"> </w:t>
      </w:r>
      <w:r>
        <w:rPr>
          <w:rStyle w:val="VerbatimChar"/>
        </w:rPr>
        <w:t xml:space="preserve">eircode</w:t>
      </w:r>
      <w:r>
        <w:t xml:space="preserve"> </w:t>
      </w:r>
      <w:r>
        <w:t xml:space="preserve">columns, proving the pattern was intended and</w:t>
      </w:r>
      <w:r>
        <w:t xml:space="preserve"> </w:t>
      </w:r>
      <w:r>
        <w:rPr>
          <w:rStyle w:val="VerbatimChar"/>
        </w:rPr>
        <w:t xml:space="preserve">facilities</w:t>
      </w:r>
      <w:r>
        <w:t xml:space="preserve"> </w:t>
      </w:r>
      <w:r>
        <w:t xml:space="preserve">was missed.</w:t>
      </w:r>
    </w:p>
    <w:p>
      <w:pPr>
        <w:numPr>
          <w:ilvl w:val="0"/>
          <w:numId w:val="1004"/>
        </w:numPr>
        <w:pStyle w:val="Compact"/>
      </w:pPr>
      <w:r>
        <w:rPr>
          <w:bCs/>
          <w:b/>
        </w:rPr>
        <w:t xml:space="preserve">Proposed design.</w:t>
      </w:r>
      <w:r>
        <w:t xml:space="preserve"> </w:t>
      </w:r>
      <w:r>
        <w:t xml:space="preserve">Add nullable</w:t>
      </w:r>
      <w:r>
        <w:t xml:space="preserve"> </w:t>
      </w:r>
      <w:r>
        <w:rPr>
          <w:rStyle w:val="VerbatimChar"/>
        </w:rPr>
        <w:t xml:space="preserve">facilities.eircode</w:t>
      </w:r>
      <w:r>
        <w:t xml:space="preserve"> </w:t>
      </w:r>
      <w:r>
        <w:t xml:space="preserve">(varchar); relax</w:t>
      </w:r>
      <w:r>
        <w:t xml:space="preserve"> </w:t>
      </w:r>
      <w:r>
        <w:rPr>
          <w:rStyle w:val="VerbatimChar"/>
        </w:rPr>
        <w:t xml:space="preserve">facilities.postcode</w:t>
      </w:r>
      <w:r>
        <w:t xml:space="preserve"> </w:t>
      </w:r>
      <w:r>
        <w:t xml:space="preserve">to nullable; add a presence CHECK requiring at least one of</w:t>
      </w:r>
      <w:r>
        <w:t xml:space="preserve"> </w:t>
      </w:r>
      <w:r>
        <w:rPr>
          <w:rStyle w:val="VerbatimChar"/>
        </w:rPr>
        <w:t xml:space="preserve">postcode</w:t>
      </w:r>
      <w:r>
        <w:t xml:space="preserve">/</w:t>
      </w:r>
      <w:r>
        <w:rPr>
          <w:rStyle w:val="VerbatimChar"/>
        </w:rPr>
        <w:t xml:space="preserve">eircode</w:t>
      </w:r>
      <w:r>
        <w:t xml:space="preserve"> </w:t>
      </w:r>
      <w:r>
        <w:t xml:space="preserve">to be present (country-conditional XOR — exactly one when</w:t>
      </w:r>
      <w:r>
        <w:t xml:space="preserve"> </w:t>
      </w:r>
      <w:r>
        <w:rPr>
          <w:rStyle w:val="VerbatimChar"/>
        </w:rPr>
        <w:t xml:space="preserve">country</w:t>
      </w:r>
      <w:r>
        <w:t xml:space="preserve"> </w:t>
      </w:r>
      <w:r>
        <w:t xml:space="preserve">is known — was considered; the simpler</w:t>
      </w:r>
      <w:r>
        <w:t xml:space="preserve"> </w:t>
      </w:r>
      <w:r>
        <w:t xml:space="preserve">“</w:t>
      </w:r>
      <w:r>
        <w:t xml:space="preserve">at least one</w:t>
      </w:r>
      <w:r>
        <w:t xml:space="preserve">”</w:t>
      </w:r>
      <w:r>
        <w:t xml:space="preserve"> </w:t>
      </w:r>
      <w:r>
        <w:t xml:space="preserve">form is preferred because</w:t>
      </w:r>
      <w:r>
        <w:t xml:space="preserve"> </w:t>
      </w:r>
      <w:r>
        <w:rPr>
          <w:rStyle w:val="VerbatimChar"/>
        </w:rPr>
        <w:t xml:space="preserve">facilities.country</w:t>
      </w:r>
      <w:r>
        <w:t xml:space="preserve"> </w:t>
      </w:r>
      <w:r>
        <w:t xml:space="preserve">is itself nullable and the API layer owns the per-country rule). Format validation of the Eircode value stays at the API layer (K9).</w:t>
      </w:r>
    </w:p>
    <w:p>
      <w:pPr>
        <w:numPr>
          <w:ilvl w:val="0"/>
          <w:numId w:val="1004"/>
        </w:numPr>
        <w:pStyle w:val="Compact"/>
      </w:pPr>
      <w:r>
        <w:rPr>
          <w:bCs/>
          <w:b/>
        </w:rPr>
        <w:t xml:space="preserve">Why the change is needed.</w:t>
      </w:r>
      <w:r>
        <w:t xml:space="preserve"> </w:t>
      </w:r>
      <w:r>
        <w:t xml:space="preserve">Ireland has no postcodes. With</w:t>
      </w:r>
      <w:r>
        <w:t xml:space="preserve"> </w:t>
      </w:r>
      <w:r>
        <w:rPr>
          <w:rStyle w:val="VerbatimChar"/>
        </w:rPr>
        <w:t xml:space="preserve">postcode</w:t>
      </w:r>
      <w:r>
        <w:t xml:space="preserve"> </w:t>
      </w:r>
      <w:r>
        <w:t xml:space="preserve">NOT NULL and no</w:t>
      </w:r>
      <w:r>
        <w:t xml:space="preserve"> </w:t>
      </w:r>
      <w:r>
        <w:rPr>
          <w:rStyle w:val="VerbatimChar"/>
        </w:rPr>
        <w:t xml:space="preserve">eircode</w:t>
      </w:r>
      <w:r>
        <w:t xml:space="preserve">, an Irish beta user physically cannot insert the facility row whose emissions the product measures. This is beta-necessary, not beta-optional: registration and site creation are the core beta flow.</w:t>
      </w:r>
    </w:p>
    <w:p>
      <w:pPr>
        <w:numPr>
          <w:ilvl w:val="0"/>
          <w:numId w:val="1004"/>
        </w:numPr>
        <w:pStyle w:val="Compact"/>
      </w:pPr>
      <w:r>
        <w:rPr>
          <w:bCs/>
          <w:b/>
        </w:rPr>
        <w:t xml:space="preserve">Benefits.</w:t>
      </w:r>
      <w:r>
        <w:t xml:space="preserve"> </w:t>
      </w:r>
      <w:r>
        <w:t xml:space="preserve">Unblocks the Irish onboarding path; aligns</w:t>
      </w:r>
      <w:r>
        <w:t xml:space="preserve"> </w:t>
      </w:r>
      <w:r>
        <w:rPr>
          <w:rStyle w:val="VerbatimChar"/>
        </w:rPr>
        <w:t xml:space="preserve">facilities</w:t>
      </w:r>
      <w:r>
        <w:t xml:space="preserve"> </w:t>
      </w:r>
      <w:r>
        <w:t xml:space="preserve">with the three peer tables; the CHECK guarantees the row always carries a locatable identifier for either market.</w:t>
      </w:r>
    </w:p>
    <w:p>
      <w:pPr>
        <w:numPr>
          <w:ilvl w:val="0"/>
          <w:numId w:val="1004"/>
        </w:numPr>
        <w:pStyle w:val="Compact"/>
      </w:pPr>
      <w:r>
        <w:rPr>
          <w:bCs/>
          <w:b/>
        </w:rPr>
        <w:t xml:space="preserve">Risks.</w:t>
      </w:r>
      <w:r>
        <w:t xml:space="preserve"> </w:t>
      </w:r>
      <w:r>
        <w:t xml:space="preserve">Relaxing a NOT NULL widens the state space; the presence CHECK closes the only harmful new state (both NULL). Any existing UK code assuming</w:t>
      </w:r>
      <w:r>
        <w:t xml:space="preserve"> </w:t>
      </w:r>
      <w:r>
        <w:rPr>
          <w:rStyle w:val="VerbatimChar"/>
        </w:rPr>
        <w:t xml:space="preserve">postcode</w:t>
      </w:r>
      <w:r>
        <w:t xml:space="preserve"> </w:t>
      </w:r>
      <w:r>
        <w:t xml:space="preserve">always present must tolerate NULL — small audit.</w:t>
      </w:r>
    </w:p>
    <w:p>
      <w:pPr>
        <w:numPr>
          <w:ilvl w:val="0"/>
          <w:numId w:val="1004"/>
        </w:numPr>
        <w:pStyle w:val="Compact"/>
      </w:pPr>
      <w:r>
        <w:rPr>
          <w:bCs/>
          <w:b/>
        </w:rPr>
        <w:t xml:space="preserve">Migration impact.</w:t>
      </w:r>
      <w:r>
        <w:t xml:space="preserve"> </w:t>
      </w:r>
      <w:r>
        <w:t xml:space="preserve">Small: one nullable add, one constraint drop, one CHECK add. Pre-launch data is GB-only seeds, so no backfill is required; verify seed facilities all carry postcodes.</w:t>
      </w:r>
    </w:p>
    <w:p>
      <w:pPr>
        <w:numPr>
          <w:ilvl w:val="0"/>
          <w:numId w:val="1004"/>
        </w:numPr>
        <w:pStyle w:val="Compact"/>
      </w:pPr>
      <w:r>
        <w:rPr>
          <w:bCs/>
          <w:b/>
        </w:rPr>
        <w:t xml:space="preserve">Application impact.</w:t>
      </w:r>
      <w:r>
        <w:t xml:space="preserve"> </w:t>
      </w:r>
      <w:r>
        <w:t xml:space="preserve">Facility forms render Eircode when</w:t>
      </w:r>
      <w:r>
        <w:t xml:space="preserve"> </w:t>
      </w:r>
      <w:r>
        <w:rPr>
          <w:rStyle w:val="VerbatimChar"/>
        </w:rPr>
        <w:t xml:space="preserve">country='IE'</w:t>
      </w:r>
      <w:r>
        <w:t xml:space="preserve">; API normalises and validates format. The staging acceptance test: IE facility with Eircode and NULL postcode inserts; both-NULL rejected.</w:t>
      </w:r>
    </w:p>
    <w:p>
      <w:pPr>
        <w:numPr>
          <w:ilvl w:val="0"/>
          <w:numId w:val="1004"/>
        </w:numPr>
        <w:pStyle w:val="Compact"/>
      </w:pPr>
      <w:r>
        <w:rPr>
          <w:bCs/>
          <w:b/>
        </w:rPr>
        <w:t xml:space="preserve">Backward compatibility.</w:t>
      </w:r>
      <w:r>
        <w:t xml:space="preserve"> </w:t>
      </w:r>
      <w:r>
        <w:t xml:space="preserve">Fully additive for reads; writes gain one rejection case (both NULL) that no legitimate UK row can hit.</w:t>
      </w:r>
    </w:p>
    <w:p>
      <w:pPr>
        <w:numPr>
          <w:ilvl w:val="0"/>
          <w:numId w:val="1004"/>
        </w:numPr>
        <w:pStyle w:val="Compact"/>
      </w:pPr>
      <w:r>
        <w:rPr>
          <w:bCs/>
          <w:b/>
        </w:rPr>
        <w:t xml:space="preserve">Recommendation: APPROVE.</w:t>
      </w:r>
      <w:r>
        <w:t xml:space="preserve"> </w:t>
      </w:r>
      <w:r>
        <w:t xml:space="preserve">The single non-negotiable Ireland write-path change; everything else Irish is negotiable, this is not.</w:t>
      </w:r>
    </w:p>
    <w:bookmarkEnd w:id="26"/>
    <w:bookmarkStart w:id="27" w:name="X322d4553240af3f296e2f52c9ead248e42a1b6f"/>
    <w:p>
      <w:pPr>
        <w:pStyle w:val="Heading3"/>
      </w:pPr>
      <w:r>
        <w:t xml:space="preserve">C2 —</w:t>
      </w:r>
      <w:r>
        <w:t xml:space="preserve"> </w:t>
      </w:r>
      <w:r>
        <w:rPr>
          <w:rStyle w:val="VerbatimChar"/>
        </w:rPr>
        <w:t xml:space="preserve">organizations.is_active</w:t>
      </w:r>
      <w:r>
        <w:t xml:space="preserve"> </w:t>
      </w:r>
      <w:r>
        <w:t xml:space="preserve">+</w:t>
      </w:r>
      <w:r>
        <w:t xml:space="preserve"> </w:t>
      </w:r>
      <w:r>
        <w:rPr>
          <w:rStyle w:val="VerbatimChar"/>
        </w:rPr>
        <w:t xml:space="preserve">organizations.archived_at</w:t>
      </w:r>
    </w:p>
    <w:p>
      <w:pPr>
        <w:numPr>
          <w:ilvl w:val="0"/>
          <w:numId w:val="1005"/>
        </w:numPr>
        <w:pStyle w:val="Compact"/>
      </w:pPr>
      <w:r>
        <w:rPr>
          <w:bCs/>
          <w:b/>
        </w:rPr>
        <w:t xml:space="preserve">Current design.</w:t>
      </w:r>
      <w:r>
        <w:t xml:space="preserve"> </w:t>
      </w:r>
      <w:r>
        <w:rPr>
          <w:rStyle w:val="VerbatimChar"/>
        </w:rPr>
        <w:t xml:space="preserve">organizations</w:t>
      </w:r>
      <w:r>
        <w:t xml:space="preserve"> </w:t>
      </w:r>
      <w:r>
        <w:t xml:space="preserve">(~65 columns) has no tenant lifecycle state — no</w:t>
      </w:r>
      <w:r>
        <w:t xml:space="preserve"> </w:t>
      </w:r>
      <w:r>
        <w:rPr>
          <w:rStyle w:val="VerbatimChar"/>
        </w:rPr>
        <w:t xml:space="preserve">is_active</w:t>
      </w:r>
      <w:r>
        <w:t xml:space="preserve">, no</w:t>
      </w:r>
      <w:r>
        <w:t xml:space="preserve"> </w:t>
      </w:r>
      <w:r>
        <w:rPr>
          <w:rStyle w:val="VerbatimChar"/>
        </w:rPr>
        <w:t xml:space="preserve">archived_at</w:t>
      </w:r>
      <w:r>
        <w:t xml:space="preserve"> </w:t>
      </w:r>
      <w:r>
        <w:t xml:space="preserve">— although</w:t>
      </w:r>
      <w:r>
        <w:t xml:space="preserve"> </w:t>
      </w:r>
      <w:r>
        <w:rPr>
          <w:rStyle w:val="VerbatimChar"/>
        </w:rPr>
        <w:t xml:space="preserve">users</w:t>
      </w:r>
      <w:r>
        <w:t xml:space="preserve">,</w:t>
      </w:r>
      <w:r>
        <w:t xml:space="preserve"> </w:t>
      </w:r>
      <w:r>
        <w:rPr>
          <w:rStyle w:val="VerbatimChar"/>
        </w:rPr>
        <w:t xml:space="preserve">facilities</w:t>
      </w:r>
      <w:r>
        <w:t xml:space="preserve">,</w:t>
      </w:r>
      <w:r>
        <w:t xml:space="preserve"> </w:t>
      </w:r>
      <w:r>
        <w:rPr>
          <w:rStyle w:val="VerbatimChar"/>
        </w:rPr>
        <w:t xml:space="preserve">suppliers</w:t>
      </w:r>
      <w:r>
        <w:t xml:space="preserve">,</w:t>
      </w:r>
      <w:r>
        <w:t xml:space="preserve"> </w:t>
      </w:r>
      <w:r>
        <w:rPr>
          <w:rStyle w:val="VerbatimChar"/>
        </w:rPr>
        <w:t xml:space="preserve">consultant_profiles</w:t>
      </w:r>
      <w:r>
        <w:t xml:space="preserve"> </w:t>
      </w:r>
      <w:r>
        <w:t xml:space="preserve">and</w:t>
      </w:r>
      <w:r>
        <w:t xml:space="preserve"> </w:t>
      </w:r>
      <w:r>
        <w:rPr>
          <w:rStyle w:val="VerbatimChar"/>
        </w:rPr>
        <w:t xml:space="preserve">report_templates</w:t>
      </w:r>
      <w:r>
        <w:t xml:space="preserve"> </w:t>
      </w:r>
      <w:r>
        <w:t xml:space="preserve">all carry</w:t>
      </w:r>
      <w:r>
        <w:t xml:space="preserve"> </w:t>
      </w:r>
      <w:r>
        <w:rPr>
          <w:rStyle w:val="VerbatimChar"/>
        </w:rPr>
        <w:t xml:space="preserve">is_active</w:t>
      </w:r>
      <w:r>
        <w:t xml:space="preserve"> </w:t>
      </w:r>
      <w:r>
        <w:t xml:space="preserve">flags.</w:t>
      </w:r>
    </w:p>
    <w:p>
      <w:pPr>
        <w:numPr>
          <w:ilvl w:val="0"/>
          <w:numId w:val="1005"/>
        </w:numPr>
        <w:pStyle w:val="Compact"/>
      </w:pPr>
      <w:r>
        <w:rPr>
          <w:bCs/>
          <w:b/>
        </w:rPr>
        <w:t xml:space="preserve">Proposed design.</w:t>
      </w:r>
      <w:r>
        <w:t xml:space="preserve"> </w:t>
      </w:r>
      <w:r>
        <w:t xml:space="preserve">Add</w:t>
      </w:r>
      <w:r>
        <w:t xml:space="preserve"> </w:t>
      </w:r>
      <w:r>
        <w:rPr>
          <w:rStyle w:val="VerbatimChar"/>
        </w:rPr>
        <w:t xml:space="preserve">organizations.is_active</w:t>
      </w:r>
      <w:r>
        <w:t xml:space="preserve"> </w:t>
      </w:r>
      <w:r>
        <w:t xml:space="preserve">(boolean, NOT NULL, default true, backfilled true) and</w:t>
      </w:r>
      <w:r>
        <w:t xml:space="preserve"> </w:t>
      </w:r>
      <w:r>
        <w:rPr>
          <w:rStyle w:val="VerbatimChar"/>
        </w:rPr>
        <w:t xml:space="preserve">organizations.archived_at</w:t>
      </w:r>
      <w:r>
        <w:t xml:space="preserve"> </w:t>
      </w:r>
      <w:r>
        <w:t xml:space="preserve">(timestamptz, nullable).</w:t>
      </w:r>
    </w:p>
    <w:p>
      <w:pPr>
        <w:numPr>
          <w:ilvl w:val="0"/>
          <w:numId w:val="1005"/>
        </w:numPr>
        <w:pStyle w:val="Compact"/>
      </w:pPr>
      <w:r>
        <w:rPr>
          <w:bCs/>
          <w:b/>
        </w:rPr>
        <w:t xml:space="preserve">Why the change is needed.</w:t>
      </w:r>
      <w:r>
        <w:t xml:space="preserve"> </w:t>
      </w:r>
      <w:r>
        <w:t xml:space="preserve">Without a suspend path, the only lever for a churned, abusive or non-paying tenant is deleting rows — which destroys the audit evidence carbon accounting exists to preserve. Applies equally to UK-primary tenants; jurisdiction-neutral.</w:t>
      </w:r>
    </w:p>
    <w:p>
      <w:pPr>
        <w:numPr>
          <w:ilvl w:val="0"/>
          <w:numId w:val="1005"/>
        </w:numPr>
        <w:pStyle w:val="Compact"/>
      </w:pPr>
      <w:r>
        <w:rPr>
          <w:bCs/>
          <w:b/>
        </w:rPr>
        <w:t xml:space="preserve">Benefits.</w:t>
      </w:r>
      <w:r>
        <w:t xml:space="preserve"> </w:t>
      </w:r>
      <w:r>
        <w:t xml:space="preserve">A reversible, evidence-preserving off-switch; gives support and billing a state machine hook; RLS policies gain a clean suspend predicate.</w:t>
      </w:r>
    </w:p>
    <w:p>
      <w:pPr>
        <w:numPr>
          <w:ilvl w:val="0"/>
          <w:numId w:val="1005"/>
        </w:numPr>
        <w:pStyle w:val="Compact"/>
      </w:pPr>
      <w:r>
        <w:rPr>
          <w:bCs/>
          <w:b/>
        </w:rPr>
        <w:t xml:space="preserve">Risks.</w:t>
      </w:r>
      <w:r>
        <w:t xml:space="preserve"> </w:t>
      </w:r>
      <w:r>
        <w:t xml:space="preserve">A new flag read on hot paths must be enforced everywhere to mean anything — partial enforcement is worse than none; default-true backfill makes pre-launch rollout safe.</w:t>
      </w:r>
    </w:p>
    <w:p>
      <w:pPr>
        <w:numPr>
          <w:ilvl w:val="0"/>
          <w:numId w:val="1005"/>
        </w:numPr>
        <w:pStyle w:val="Compact"/>
      </w:pPr>
      <w:r>
        <w:rPr>
          <w:bCs/>
          <w:b/>
        </w:rPr>
        <w:t xml:space="preserve">Migration impact.</w:t>
      </w:r>
      <w:r>
        <w:t xml:space="preserve"> </w:t>
      </w:r>
      <w:r>
        <w:t xml:space="preserve">Small: two adds plus a trivial backfill on a small table.</w:t>
      </w:r>
    </w:p>
    <w:p>
      <w:pPr>
        <w:numPr>
          <w:ilvl w:val="0"/>
          <w:numId w:val="1005"/>
        </w:numPr>
        <w:pStyle w:val="Compact"/>
      </w:pPr>
      <w:r>
        <w:rPr>
          <w:bCs/>
          <w:b/>
        </w:rPr>
        <w:t xml:space="preserve">Application impact.</w:t>
      </w:r>
      <w:r>
        <w:t xml:space="preserve"> </w:t>
      </w:r>
      <w:r>
        <w:t xml:space="preserve">Suspend/resume admin hook; login/API middleware checks the flag; Medium effort at the app layer but structurally trivial.</w:t>
      </w:r>
    </w:p>
    <w:p>
      <w:pPr>
        <w:numPr>
          <w:ilvl w:val="0"/>
          <w:numId w:val="1005"/>
        </w:numPr>
        <w:pStyle w:val="Compact"/>
      </w:pPr>
      <w:r>
        <w:rPr>
          <w:bCs/>
          <w:b/>
        </w:rPr>
        <w:t xml:space="preserve">Backward compatibility.</w:t>
      </w:r>
      <w:r>
        <w:t xml:space="preserve"> </w:t>
      </w:r>
      <w:r>
        <w:t xml:space="preserve">Fully additive; default true preserves current behaviour.</w:t>
      </w:r>
    </w:p>
    <w:p>
      <w:pPr>
        <w:numPr>
          <w:ilvl w:val="0"/>
          <w:numId w:val="1005"/>
        </w:numPr>
        <w:pStyle w:val="Compact"/>
      </w:pPr>
      <w:r>
        <w:rPr>
          <w:bCs/>
          <w:b/>
        </w:rPr>
        <w:t xml:space="preserve">Recommendation: APPROVE.</w:t>
      </w:r>
    </w:p>
    <w:bookmarkEnd w:id="27"/>
    <w:bookmarkStart w:id="28" w:name="c3-consultant_billing.currency"/>
    <w:p>
      <w:pPr>
        <w:pStyle w:val="Heading3"/>
      </w:pPr>
      <w:r>
        <w:t xml:space="preserve">C3 —</w:t>
      </w:r>
      <w:r>
        <w:t xml:space="preserve"> </w:t>
      </w:r>
      <w:r>
        <w:rPr>
          <w:rStyle w:val="VerbatimChar"/>
        </w:rPr>
        <w:t xml:space="preserve">consultant_billing.currency</w:t>
      </w:r>
    </w:p>
    <w:p>
      <w:pPr>
        <w:numPr>
          <w:ilvl w:val="0"/>
          <w:numId w:val="1006"/>
        </w:numPr>
        <w:pStyle w:val="Compact"/>
      </w:pPr>
      <w:r>
        <w:rPr>
          <w:bCs/>
          <w:b/>
        </w:rPr>
        <w:t xml:space="preserve">Current design.</w:t>
      </w:r>
      <w:r>
        <w:t xml:space="preserve"> </w:t>
      </w:r>
      <w:r>
        <w:rPr>
          <w:rStyle w:val="VerbatimChar"/>
        </w:rPr>
        <w:t xml:space="preserve">consultant_billing</w:t>
      </w:r>
      <w:r>
        <w:t xml:space="preserve"> </w:t>
      </w:r>
      <w:r>
        <w:t xml:space="preserve">carries prices (</w:t>
      </w:r>
      <w:r>
        <w:rPr>
          <w:rStyle w:val="VerbatimChar"/>
        </w:rPr>
        <w:t xml:space="preserve">auto_extraction_price</w:t>
      </w:r>
      <w:r>
        <w:t xml:space="preserve">,</w:t>
      </w:r>
      <w:r>
        <w:t xml:space="preserve"> </w:t>
      </w:r>
      <w:r>
        <w:rPr>
          <w:rStyle w:val="VerbatimChar"/>
        </w:rPr>
        <w:t xml:space="preserve">manual_extraction_price</w:t>
      </w:r>
      <w:r>
        <w:t xml:space="preserve">, numeric, nullable) with</w:t>
      </w:r>
      <w:r>
        <w:t xml:space="preserve"> </w:t>
      </w:r>
      <w:r>
        <w:rPr>
          <w:bCs/>
          <w:b/>
        </w:rPr>
        <w:t xml:space="preserve">no currency column</w:t>
      </w:r>
      <w:r>
        <w:t xml:space="preserve"> </w:t>
      </w:r>
      <w:r>
        <w:t xml:space="preserve">— the only billing table in the schema without one (</w:t>
      </w:r>
      <w:r>
        <w:rPr>
          <w:rStyle w:val="VerbatimChar"/>
        </w:rPr>
        <w:t xml:space="preserve">customer_subscriptions.currency</w:t>
      </w:r>
      <w:r>
        <w:t xml:space="preserve">,</w:t>
      </w:r>
      <w:r>
        <w:t xml:space="preserve"> </w:t>
      </w:r>
      <w:r>
        <w:rPr>
          <w:rStyle w:val="VerbatimChar"/>
        </w:rPr>
        <w:t xml:space="preserve">document_processing_queue.billing_currency</w:t>
      </w:r>
      <w:r>
        <w:t xml:space="preserve">,</w:t>
      </w:r>
      <w:r>
        <w:t xml:space="preserve"> </w:t>
      </w:r>
      <w:r>
        <w:rPr>
          <w:rStyle w:val="VerbatimChar"/>
        </w:rPr>
        <w:t xml:space="preserve">manual_extraction_batches.currency</w:t>
      </w:r>
      <w:r>
        <w:t xml:space="preserve">,</w:t>
      </w:r>
      <w:r>
        <w:t xml:space="preserve"> </w:t>
      </w:r>
      <w:r>
        <w:rPr>
          <w:rStyle w:val="VerbatimChar"/>
        </w:rPr>
        <w:t xml:space="preserve">suppliers.payment_currency</w:t>
      </w:r>
      <w:r>
        <w:t xml:space="preserve">,</w:t>
      </w:r>
      <w:r>
        <w:t xml:space="preserve"> </w:t>
      </w:r>
      <w:r>
        <w:rPr>
          <w:rStyle w:val="VerbatimChar"/>
        </w:rPr>
        <w:t xml:space="preserve">consultant_profiles.revenue_currency</w:t>
      </w:r>
      <w:r>
        <w:t xml:space="preserve">,</w:t>
      </w:r>
      <w:r>
        <w:t xml:space="preserve"> </w:t>
      </w:r>
      <w:r>
        <w:rPr>
          <w:rStyle w:val="VerbatimChar"/>
        </w:rPr>
        <w:t xml:space="preserve">organizations.currency</w:t>
      </w:r>
      <w:r>
        <w:t xml:space="preserve"> </w:t>
      </w:r>
      <w:r>
        <w:t xml:space="preserve">all exist).</w:t>
      </w:r>
    </w:p>
    <w:p>
      <w:pPr>
        <w:numPr>
          <w:ilvl w:val="0"/>
          <w:numId w:val="1006"/>
        </w:numPr>
        <w:pStyle w:val="Compact"/>
      </w:pPr>
      <w:r>
        <w:rPr>
          <w:bCs/>
          <w:b/>
        </w:rPr>
        <w:t xml:space="preserve">Proposed design.</w:t>
      </w:r>
      <w:r>
        <w:t xml:space="preserve"> </w:t>
      </w:r>
      <w:r>
        <w:t xml:space="preserve">Add</w:t>
      </w:r>
      <w:r>
        <w:t xml:space="preserve"> </w:t>
      </w:r>
      <w:r>
        <w:rPr>
          <w:rStyle w:val="VerbatimChar"/>
        </w:rPr>
        <w:t xml:space="preserve">consultant_billing.currency</w:t>
      </w:r>
      <w:r>
        <w:t xml:space="preserve"> </w:t>
      </w:r>
      <w:r>
        <w:t xml:space="preserve">(varchar, nullable at add; defaulted and backfilled</w:t>
      </w:r>
      <w:r>
        <w:t xml:space="preserve"> </w:t>
      </w:r>
      <w:r>
        <w:t xml:space="preserve">‘</w:t>
      </w:r>
      <w:r>
        <w:t xml:space="preserve">GBP</w:t>
      </w:r>
      <w:r>
        <w:t xml:space="preserve">’</w:t>
      </w:r>
      <w:r>
        <w:t xml:space="preserve">; constrained by K2’s IN-list).</w:t>
      </w:r>
    </w:p>
    <w:p>
      <w:pPr>
        <w:numPr>
          <w:ilvl w:val="0"/>
          <w:numId w:val="1006"/>
        </w:numPr>
        <w:pStyle w:val="Compact"/>
      </w:pPr>
      <w:r>
        <w:rPr>
          <w:bCs/>
          <w:b/>
        </w:rPr>
        <w:t xml:space="preserve">Why the change is needed.</w:t>
      </w:r>
      <w:r>
        <w:t xml:space="preserve"> </w:t>
      </w:r>
      <w:r>
        <w:t xml:space="preserve">A two-currency launch (GBP primary, EUR for Irish beta consultants) cannot tolerate an undenominated price on any billing table; Stripe reconciliation keys off currency.</w:t>
      </w:r>
    </w:p>
    <w:p>
      <w:pPr>
        <w:numPr>
          <w:ilvl w:val="0"/>
          <w:numId w:val="1006"/>
        </w:numPr>
        <w:pStyle w:val="Compact"/>
      </w:pPr>
      <w:r>
        <w:rPr>
          <w:bCs/>
          <w:b/>
        </w:rPr>
        <w:t xml:space="preserve">Benefits.</w:t>
      </w:r>
      <w:r>
        <w:t xml:space="preserve"> </w:t>
      </w:r>
      <w:r>
        <w:t xml:space="preserve">Complete denomination of the billing surface; reconciliation and invoicing correctness for IE consultants.</w:t>
      </w:r>
    </w:p>
    <w:p>
      <w:pPr>
        <w:numPr>
          <w:ilvl w:val="0"/>
          <w:numId w:val="1006"/>
        </w:numPr>
        <w:pStyle w:val="Compact"/>
      </w:pPr>
      <w:r>
        <w:rPr>
          <w:bCs/>
          <w:b/>
        </w:rPr>
        <w:t xml:space="preserve">Risks.</w:t>
      </w:r>
      <w:r>
        <w:t xml:space="preserve"> </w:t>
      </w:r>
      <w:r>
        <w:t xml:space="preserve">Backfill assumption (GBP) must be validated against existing rows — pre-launch, near-zero risk.</w:t>
      </w:r>
    </w:p>
    <w:p>
      <w:pPr>
        <w:numPr>
          <w:ilvl w:val="0"/>
          <w:numId w:val="1006"/>
        </w:numPr>
        <w:pStyle w:val="Compact"/>
      </w:pPr>
      <w:r>
        <w:rPr>
          <w:bCs/>
          <w:b/>
        </w:rPr>
        <w:t xml:space="preserve">Migration impact.</w:t>
      </w:r>
      <w:r>
        <w:t xml:space="preserve"> </w:t>
      </w:r>
      <w:r>
        <w:t xml:space="preserve">Small: add, default, backfill, then K2’s CHECK.</w:t>
      </w:r>
    </w:p>
    <w:p>
      <w:pPr>
        <w:numPr>
          <w:ilvl w:val="0"/>
          <w:numId w:val="1006"/>
        </w:numPr>
        <w:pStyle w:val="Compact"/>
      </w:pPr>
      <w:r>
        <w:rPr>
          <w:bCs/>
          <w:b/>
        </w:rPr>
        <w:t xml:space="preserve">Application impact.</w:t>
      </w:r>
      <w:r>
        <w:t xml:space="preserve"> </w:t>
      </w:r>
      <w:r>
        <w:t xml:space="preserve">Consultant-billing UI and Stripe sync read the column; invoice rendering denominates.</w:t>
      </w:r>
    </w:p>
    <w:p>
      <w:pPr>
        <w:numPr>
          <w:ilvl w:val="0"/>
          <w:numId w:val="1006"/>
        </w:numPr>
        <w:pStyle w:val="Compact"/>
      </w:pPr>
      <w:r>
        <w:rPr>
          <w:bCs/>
          <w:b/>
        </w:rPr>
        <w:t xml:space="preserve">Backward compatibility.</w:t>
      </w:r>
      <w:r>
        <w:t xml:space="preserve"> </w:t>
      </w:r>
      <w:r>
        <w:t xml:space="preserve">Additive; existing rows default to GBP, which matches the UK-primary launch reality.</w:t>
      </w:r>
    </w:p>
    <w:p>
      <w:pPr>
        <w:numPr>
          <w:ilvl w:val="0"/>
          <w:numId w:val="1006"/>
        </w:numPr>
        <w:pStyle w:val="Compact"/>
      </w:pPr>
      <w:r>
        <w:rPr>
          <w:bCs/>
          <w:b/>
        </w:rPr>
        <w:t xml:space="preserve">Recommendation: APPROVE.</w:t>
      </w:r>
    </w:p>
    <w:bookmarkEnd w:id="28"/>
    <w:bookmarkStart w:id="29" w:name="Xa0c824927e77bfa63800c6203cef0283eaea945"/>
    <w:p>
      <w:pPr>
        <w:pStyle w:val="Heading3"/>
      </w:pPr>
      <w:r>
        <w:t xml:space="preserve">C4 —</w:t>
      </w:r>
      <w:r>
        <w:t xml:space="preserve"> </w:t>
      </w:r>
      <w:r>
        <w:rPr>
          <w:rStyle w:val="VerbatimChar"/>
        </w:rPr>
        <w:t xml:space="preserve">emission_factors</w:t>
      </w:r>
      <w:r>
        <w:t xml:space="preserve"> </w:t>
      </w:r>
      <w:r>
        <w:t xml:space="preserve">provenance columns:</w:t>
      </w:r>
      <w:r>
        <w:t xml:space="preserve"> </w:t>
      </w:r>
      <w:r>
        <w:rPr>
          <w:rStyle w:val="VerbatimChar"/>
        </w:rPr>
        <w:t xml:space="preserve">unit</w:t>
      </w:r>
      <w:r>
        <w:t xml:space="preserve">,</w:t>
      </w:r>
      <w:r>
        <w:t xml:space="preserve"> </w:t>
      </w:r>
      <w:r>
        <w:rPr>
          <w:rStyle w:val="VerbatimChar"/>
        </w:rPr>
        <w:t xml:space="preserve">scope</w:t>
      </w:r>
      <w:r>
        <w:t xml:space="preserve">,</w:t>
      </w:r>
      <w:r>
        <w:t xml:space="preserve"> </w:t>
      </w:r>
      <w:r>
        <w:rPr>
          <w:rStyle w:val="VerbatimChar"/>
        </w:rPr>
        <w:t xml:space="preserve">factor_source</w:t>
      </w:r>
      <w:r>
        <w:t xml:space="preserve">,</w:t>
      </w:r>
      <w:r>
        <w:t xml:space="preserve"> </w:t>
      </w:r>
      <w:r>
        <w:rPr>
          <w:rStyle w:val="VerbatimChar"/>
        </w:rPr>
        <w:t xml:space="preserve">factor_set</w:t>
      </w:r>
      <w:r>
        <w:t xml:space="preserve">,</w:t>
      </w:r>
      <w:r>
        <w:t xml:space="preserve"> </w:t>
      </w:r>
      <w:r>
        <w:rPr>
          <w:rStyle w:val="VerbatimChar"/>
        </w:rPr>
        <w:t xml:space="preserve">country</w:t>
      </w:r>
    </w:p>
    <w:p>
      <w:pPr>
        <w:numPr>
          <w:ilvl w:val="0"/>
          <w:numId w:val="1007"/>
        </w:numPr>
        <w:pStyle w:val="Compact"/>
      </w:pPr>
      <w:r>
        <w:rPr>
          <w:bCs/>
          <w:b/>
        </w:rPr>
        <w:t xml:space="preserve">Current design.</w:t>
      </w:r>
      <w:r>
        <w:t xml:space="preserve"> </w:t>
      </w:r>
      <w:r>
        <w:rPr>
          <w:rStyle w:val="VerbatimChar"/>
        </w:rPr>
        <w:t xml:space="preserve">defra_conversion_factors</w:t>
      </w:r>
      <w:r>
        <w:t xml:space="preserve"> </w:t>
      </w:r>
      <w:r>
        <w:t xml:space="preserve">(to be</w:t>
      </w:r>
      <w:r>
        <w:t xml:space="preserve"> </w:t>
      </w:r>
      <w:r>
        <w:rPr>
          <w:rStyle w:val="VerbatimChar"/>
        </w:rPr>
        <w:t xml:space="preserve">emission_factors</w:t>
      </w:r>
      <w:r>
        <w:t xml:space="preserve">, R1) stores</w:t>
      </w:r>
      <w:r>
        <w:t xml:space="preserve"> </w:t>
      </w:r>
      <w:r>
        <w:rPr>
          <w:rStyle w:val="VerbatimChar"/>
        </w:rPr>
        <w:t xml:space="preserve">co2e_multiplier</w:t>
      </w:r>
      <w:r>
        <w:t xml:space="preserve"> </w:t>
      </w:r>
      <w:r>
        <w:t xml:space="preserve">with no statement of unit (kg CO2e per</w:t>
      </w:r>
      <w:r>
        <w:t xml:space="preserve"> </w:t>
      </w:r>
      <w:r>
        <w:rPr>
          <w:iCs/>
          <w:i/>
        </w:rPr>
        <w:t xml:space="preserve">what</w:t>
      </w:r>
      <w:r>
        <w:t xml:space="preserve">), scope, source authority, factor set or jurisdiction.</w:t>
      </w:r>
      <w:r>
        <w:t xml:space="preserve"> </w:t>
      </w:r>
      <w:r>
        <w:rPr>
          <w:rStyle w:val="VerbatimChar"/>
        </w:rPr>
        <w:t xml:space="preserve">system_settings.default_emission_factor_set</w:t>
      </w:r>
      <w:r>
        <w:t xml:space="preserve"> </w:t>
      </w:r>
      <w:r>
        <w:t xml:space="preserve">exists as a platform pointer to a set the factor table cannot currently identify.</w:t>
      </w:r>
    </w:p>
    <w:p>
      <w:pPr>
        <w:numPr>
          <w:ilvl w:val="0"/>
          <w:numId w:val="1007"/>
        </w:numPr>
        <w:pStyle w:val="Compact"/>
      </w:pPr>
      <w:r>
        <w:rPr>
          <w:bCs/>
          <w:b/>
        </w:rPr>
        <w:t xml:space="preserve">Proposed design.</w:t>
      </w:r>
      <w:r>
        <w:t xml:space="preserve"> </w:t>
      </w:r>
      <w:r>
        <w:t xml:space="preserve">Add five columns:</w:t>
      </w:r>
      <w:r>
        <w:t xml:space="preserve"> </w:t>
      </w:r>
      <w:r>
        <w:rPr>
          <w:rStyle w:val="VerbatimChar"/>
        </w:rPr>
        <w:t xml:space="preserve">unit</w:t>
      </w:r>
      <w:r>
        <w:t xml:space="preserve"> </w:t>
      </w:r>
      <w:r>
        <w:t xml:space="preserve">(text; e.g. </w:t>
      </w:r>
      <w:r>
        <w:t xml:space="preserve">‘</w:t>
      </w:r>
      <w:r>
        <w:t xml:space="preserve">kWh</w:t>
      </w:r>
      <w:r>
        <w:t xml:space="preserve">’</w:t>
      </w:r>
      <w:r>
        <w:t xml:space="preserve">,</w:t>
      </w:r>
      <w:r>
        <w:t xml:space="preserve"> </w:t>
      </w:r>
      <w:r>
        <w:t xml:space="preserve">‘</w:t>
      </w:r>
      <w:r>
        <w:t xml:space="preserve">kg</w:t>
      </w:r>
      <w:r>
        <w:t xml:space="preserve">’</w:t>
      </w:r>
      <w:r>
        <w:t xml:space="preserve">,</w:t>
      </w:r>
      <w:r>
        <w:t xml:space="preserve"> </w:t>
      </w:r>
      <w:r>
        <w:t xml:space="preserve">‘</w:t>
      </w:r>
      <w:r>
        <w:t xml:space="preserve">litre</w:t>
      </w:r>
      <w:r>
        <w:t xml:space="preserve">’</w:t>
      </w:r>
      <w:r>
        <w:t xml:space="preserve">,</w:t>
      </w:r>
      <w:r>
        <w:t xml:space="preserve"> </w:t>
      </w:r>
      <w:r>
        <w:t xml:space="preserve">‘</w:t>
      </w:r>
      <w:r>
        <w:t xml:space="preserve">passenger.km</w:t>
      </w:r>
      <w:r>
        <w:t xml:space="preserve">’</w:t>
      </w:r>
      <w:r>
        <w:t xml:space="preserve">),</w:t>
      </w:r>
      <w:r>
        <w:t xml:space="preserve"> </w:t>
      </w:r>
      <w:r>
        <w:rPr>
          <w:rStyle w:val="VerbatimChar"/>
        </w:rPr>
        <w:t xml:space="preserve">scope</w:t>
      </w:r>
      <w:r>
        <w:t xml:space="preserve"> </w:t>
      </w:r>
      <w:r>
        <w:t xml:space="preserve">(text; 1/2/3-category label),</w:t>
      </w:r>
      <w:r>
        <w:t xml:space="preserve"> </w:t>
      </w:r>
      <w:r>
        <w:rPr>
          <w:rStyle w:val="VerbatimChar"/>
        </w:rPr>
        <w:t xml:space="preserve">factor_source</w:t>
      </w:r>
      <w:r>
        <w:t xml:space="preserve"> </w:t>
      </w:r>
      <w:r>
        <w:t xml:space="preserve">(text;</w:t>
      </w:r>
      <w:r>
        <w:t xml:space="preserve"> </w:t>
      </w:r>
      <w:r>
        <w:t xml:space="preserve">‘</w:t>
      </w:r>
      <w:r>
        <w:t xml:space="preserve">DEFRA-DESNZ</w:t>
      </w:r>
      <w:r>
        <w:t xml:space="preserve">’</w:t>
      </w:r>
      <w:r>
        <w:t xml:space="preserve"> </w:t>
      </w:r>
      <w:r>
        <w:t xml:space="preserve">backfill for all existing rows,</w:t>
      </w:r>
      <w:r>
        <w:t xml:space="preserve"> </w:t>
      </w:r>
      <w:r>
        <w:t xml:space="preserve">‘</w:t>
      </w:r>
      <w:r>
        <w:t xml:space="preserve">SEAI</w:t>
      </w:r>
      <w:r>
        <w:t xml:space="preserve">’</w:t>
      </w:r>
      <w:r>
        <w:t xml:space="preserve">/</w:t>
      </w:r>
      <w:r>
        <w:t xml:space="preserve">‘</w:t>
      </w:r>
      <w:r>
        <w:t xml:space="preserve">EPA</w:t>
      </w:r>
      <w:r>
        <w:t xml:space="preserve">’</w:t>
      </w:r>
      <w:r>
        <w:t xml:space="preserve"> </w:t>
      </w:r>
      <w:r>
        <w:t xml:space="preserve">for v1.1 Irish rows),</w:t>
      </w:r>
      <w:r>
        <w:t xml:space="preserve"> </w:t>
      </w:r>
      <w:r>
        <w:rPr>
          <w:rStyle w:val="VerbatimChar"/>
        </w:rPr>
        <w:t xml:space="preserve">factor_set</w:t>
      </w:r>
      <w:r>
        <w:t xml:space="preserve"> </w:t>
      </w:r>
      <w:r>
        <w:t xml:space="preserve">(text; named vintage/set identifier aligning with</w:t>
      </w:r>
      <w:r>
        <w:t xml:space="preserve"> </w:t>
      </w:r>
      <w:r>
        <w:rPr>
          <w:rStyle w:val="VerbatimChar"/>
        </w:rPr>
        <w:t xml:space="preserve">system_settings.default_emission_factor_set</w:t>
      </w:r>
      <w:r>
        <w:t xml:space="preserve">), and</w:t>
      </w:r>
      <w:r>
        <w:t xml:space="preserve"> </w:t>
      </w:r>
      <w:r>
        <w:rPr>
          <w:rStyle w:val="VerbatimChar"/>
        </w:rPr>
        <w:t xml:space="preserve">country</w:t>
      </w:r>
      <w:r>
        <w:t xml:space="preserve"> </w:t>
      </w:r>
      <w:r>
        <w:t xml:space="preserve">(varchar, constrained to the (</w:t>
      </w:r>
      <w:r>
        <w:t xml:space="preserve">‘</w:t>
      </w:r>
      <w:r>
        <w:t xml:space="preserve">GB</w:t>
      </w:r>
      <w:r>
        <w:t xml:space="preserve">’</w:t>
      </w:r>
      <w:r>
        <w:t xml:space="preserve">,</w:t>
      </w:r>
      <w:r>
        <w:t xml:space="preserve">‘</w:t>
      </w:r>
      <w:r>
        <w:t xml:space="preserve">IE</w:t>
      </w:r>
      <w:r>
        <w:t xml:space="preserve">’</w:t>
      </w:r>
      <w:r>
        <w:t xml:space="preserve">) IN-list per K1’s mechanism, backfilled</w:t>
      </w:r>
      <w:r>
        <w:t xml:space="preserve"> </w:t>
      </w:r>
      <w:r>
        <w:t xml:space="preserve">‘</w:t>
      </w:r>
      <w:r>
        <w:t xml:space="preserve">GB</w:t>
      </w:r>
      <w:r>
        <w:t xml:space="preserve">’</w:t>
      </w:r>
      <w:r>
        <w:t xml:space="preserve">). The existing nullable</w:t>
      </w:r>
      <w:r>
        <w:t xml:space="preserve"> </w:t>
      </w:r>
      <w:r>
        <w:rPr>
          <w:rStyle w:val="VerbatimChar"/>
        </w:rPr>
        <w:t xml:space="preserve">region</w:t>
      </w:r>
      <w:r>
        <w:t xml:space="preserve"> </w:t>
      </w:r>
      <w:r>
        <w:t xml:space="preserve">column (R1) is folded into</w:t>
      </w:r>
      <w:r>
        <w:t xml:space="preserve"> </w:t>
      </w:r>
      <w:r>
        <w:rPr>
          <w:rStyle w:val="VerbatimChar"/>
        </w:rPr>
        <w:t xml:space="preserve">country</w:t>
      </w:r>
      <w:r>
        <w:t xml:space="preserve"> </w:t>
      </w:r>
      <w:r>
        <w:t xml:space="preserve">during this backfill — its values mapped/migrated — and then retired, so the table does not carry two jurisdiction-ish columns into v1.1, consistent with this review’s single-source-of-truth stance.</w:t>
      </w:r>
    </w:p>
    <w:p>
      <w:pPr>
        <w:numPr>
          <w:ilvl w:val="0"/>
          <w:numId w:val="1007"/>
        </w:numPr>
        <w:pStyle w:val="Compact"/>
      </w:pPr>
      <w:r>
        <w:rPr>
          <w:bCs/>
          <w:b/>
        </w:rPr>
        <w:t xml:space="preserve">Why the change is needed.</w:t>
      </w:r>
      <w:r>
        <w:t xml:space="preserve"> </w:t>
      </w:r>
      <w:r>
        <w:t xml:space="preserve">Two distinct defects: (a) correctness — a multiplier with no unit or scope makes every calculated number an inference, and unauditable numbers in a carbon product are the worst defect class; (b) the v1.1 enabler —</w:t>
      </w:r>
      <w:r>
        <w:t xml:space="preserve"> </w:t>
      </w:r>
      <w:r>
        <w:rPr>
          <w:rStyle w:val="VerbatimChar"/>
        </w:rPr>
        <w:t xml:space="preserve">country</w:t>
      </w:r>
      <w:r>
        <w:t xml:space="preserve"> </w:t>
      </w:r>
      <w:r>
        <w:t xml:space="preserve">is the minimal structural hook that lets Irish factor rows coexist and be selected by jurisdiction</w:t>
      </w:r>
      <w:r>
        <w:t xml:space="preserve"> </w:t>
      </w:r>
      <w:r>
        <w:rPr>
          <w:iCs/>
          <w:i/>
        </w:rPr>
        <w:t xml:space="preserve">without</w:t>
      </w:r>
      <w:r>
        <w:t xml:space="preserve"> </w:t>
      </w:r>
      <w:r>
        <w:t xml:space="preserve">a new table (T1 evaluated and rejected below) or any redesign.</w:t>
      </w:r>
    </w:p>
    <w:p>
      <w:pPr>
        <w:numPr>
          <w:ilvl w:val="0"/>
          <w:numId w:val="1007"/>
        </w:numPr>
        <w:pStyle w:val="Compact"/>
      </w:pPr>
      <w:r>
        <w:rPr>
          <w:bCs/>
          <w:b/>
        </w:rPr>
        <w:t xml:space="preserve">Benefits.</w:t>
      </w:r>
      <w:r>
        <w:t xml:space="preserve"> </w:t>
      </w:r>
      <w:r>
        <w:t xml:space="preserve">Self-describing factors; jurisdiction selection becomes a</w:t>
      </w:r>
      <w:r>
        <w:t xml:space="preserve"> </w:t>
      </w:r>
      <w:r>
        <w:rPr>
          <w:rStyle w:val="VerbatimChar"/>
        </w:rPr>
        <w:t xml:space="preserve">WHERE country = …</w:t>
      </w:r>
      <w:r>
        <w:t xml:space="preserve"> </w:t>
      </w:r>
      <w:r>
        <w:t xml:space="preserve">on the same table; K5’s factor UNIQUE gains its natural key; honest audit trail for reported figures in both markets.</w:t>
      </w:r>
    </w:p>
    <w:p>
      <w:pPr>
        <w:numPr>
          <w:ilvl w:val="0"/>
          <w:numId w:val="1007"/>
        </w:numPr>
        <w:pStyle w:val="Compact"/>
      </w:pPr>
      <w:r>
        <w:rPr>
          <w:bCs/>
          <w:b/>
        </w:rPr>
        <w:t xml:space="preserve">Risks.</w:t>
      </w:r>
      <w:r>
        <w:t xml:space="preserve"> </w:t>
      </w:r>
      <w:r>
        <w:t xml:space="preserve">Five nullable adds plus a backfill — low risk; the only subtlety is choosing unit strings consistently (free text, not a lookup — a units FK is over-modelling at two jurisdictions).</w:t>
      </w:r>
    </w:p>
    <w:p>
      <w:pPr>
        <w:numPr>
          <w:ilvl w:val="0"/>
          <w:numId w:val="1007"/>
        </w:numPr>
        <w:pStyle w:val="Compact"/>
      </w:pPr>
      <w:r>
        <w:rPr>
          <w:bCs/>
          <w:b/>
        </w:rPr>
        <w:t xml:space="preserve">Migration impact.</w:t>
      </w:r>
      <w:r>
        <w:t xml:space="preserve"> </w:t>
      </w:r>
      <w:r>
        <w:t xml:space="preserve">Small: additive columns plus a one-statement backfill of existing DEFRA rows. Data load of Irish factors rides the same phase but is not structural and is excluded from this register.</w:t>
      </w:r>
    </w:p>
    <w:p>
      <w:pPr>
        <w:numPr>
          <w:ilvl w:val="0"/>
          <w:numId w:val="1007"/>
        </w:numPr>
        <w:pStyle w:val="Compact"/>
      </w:pPr>
      <w:r>
        <w:rPr>
          <w:bCs/>
          <w:b/>
        </w:rPr>
        <w:t xml:space="preserve">Application impact.</w:t>
      </w:r>
      <w:r>
        <w:t xml:space="preserve"> </w:t>
      </w:r>
      <w:r>
        <w:t xml:space="preserve">Factor selection UI shows unit/source/jurisdiction; calculation logging records</w:t>
      </w:r>
      <w:r>
        <w:t xml:space="preserve"> </w:t>
      </w:r>
      <w:r>
        <w:rPr>
          <w:rStyle w:val="VerbatimChar"/>
        </w:rPr>
        <w:t xml:space="preserve">factor_source</w:t>
      </w:r>
      <w:r>
        <w:t xml:space="preserve"> </w:t>
      </w:r>
      <w:r>
        <w:t xml:space="preserve">against each computed line — Small.</w:t>
      </w:r>
    </w:p>
    <w:p>
      <w:pPr>
        <w:numPr>
          <w:ilvl w:val="0"/>
          <w:numId w:val="1007"/>
        </w:numPr>
        <w:pStyle w:val="Compact"/>
      </w:pPr>
      <w:r>
        <w:rPr>
          <w:bCs/>
          <w:b/>
        </w:rPr>
        <w:t xml:space="preserve">Backward compatibility.</w:t>
      </w:r>
      <w:r>
        <w:t xml:space="preserve"> </w:t>
      </w:r>
      <w:r>
        <w:t xml:space="preserve">Additive; existing rows remain valid with backfilled values.</w:t>
      </w:r>
    </w:p>
    <w:p>
      <w:pPr>
        <w:numPr>
          <w:ilvl w:val="0"/>
          <w:numId w:val="1007"/>
        </w:numPr>
        <w:pStyle w:val="Compact"/>
      </w:pPr>
      <w:r>
        <w:rPr>
          <w:bCs/>
          <w:b/>
        </w:rPr>
        <w:t xml:space="preserve">Recommendation: APPROVE.</w:t>
      </w:r>
      <w:r>
        <w:t xml:space="preserve"> </w:t>
      </w:r>
      <w:r>
        <w:t xml:space="preserve">The third and most substantive v1.1-Ireland enabler; combined with R1/R2 it converts</w:t>
      </w:r>
      <w:r>
        <w:t xml:space="preserve"> </w:t>
      </w:r>
      <w:r>
        <w:t xml:space="preserve">“</w:t>
      </w:r>
      <w:r>
        <w:t xml:space="preserve">full Ireland in v1.1</w:t>
      </w:r>
      <w:r>
        <w:t xml:space="preserve">”</w:t>
      </w:r>
      <w:r>
        <w:t xml:space="preserve"> </w:t>
      </w:r>
      <w:r>
        <w:t xml:space="preserve">from a migration project into a data load.</w:t>
      </w:r>
    </w:p>
    <w:bookmarkEnd w:id="29"/>
    <w:bookmarkStart w:id="30" w:name="X00adf1b090dff5599493a236de486145e6c0cbf"/>
    <w:p>
      <w:pPr>
        <w:pStyle w:val="Heading3"/>
      </w:pPr>
      <w:r>
        <w:t xml:space="preserve">C5 —</w:t>
      </w:r>
      <w:r>
        <w:t xml:space="preserve"> </w:t>
      </w:r>
      <w:r>
        <w:rPr>
          <w:rStyle w:val="VerbatimChar"/>
        </w:rPr>
        <w:t xml:space="preserve">emissions_logs.unit</w:t>
      </w:r>
      <w:r>
        <w:t xml:space="preserve"> </w:t>
      </w:r>
      <w:r>
        <w:t xml:space="preserve">+</w:t>
      </w:r>
      <w:r>
        <w:t xml:space="preserve"> </w:t>
      </w:r>
      <w:r>
        <w:rPr>
          <w:rStyle w:val="VerbatimChar"/>
        </w:rPr>
        <w:t xml:space="preserve">emissions_logs.scope</w:t>
      </w:r>
    </w:p>
    <w:p>
      <w:pPr>
        <w:numPr>
          <w:ilvl w:val="0"/>
          <w:numId w:val="1008"/>
        </w:numPr>
        <w:pStyle w:val="Compact"/>
      </w:pPr>
      <w:r>
        <w:rPr>
          <w:bCs/>
          <w:b/>
        </w:rPr>
        <w:t xml:space="preserve">Current design.</w:t>
      </w:r>
      <w:r>
        <w:t xml:space="preserve"> </w:t>
      </w:r>
      <w:r>
        <w:rPr>
          <w:rStyle w:val="VerbatimChar"/>
        </w:rPr>
        <w:t xml:space="preserve">emissions_logs</w:t>
      </w:r>
      <w:r>
        <w:t xml:space="preserve"> </w:t>
      </w:r>
      <w:r>
        <w:t xml:space="preserve">stores</w:t>
      </w:r>
      <w:r>
        <w:t xml:space="preserve"> </w:t>
      </w:r>
      <w:r>
        <w:rPr>
          <w:rStyle w:val="VerbatimChar"/>
        </w:rPr>
        <w:t xml:space="preserve">raw_quantity</w:t>
      </w:r>
      <w:r>
        <w:t xml:space="preserve"> </w:t>
      </w:r>
      <w:r>
        <w:t xml:space="preserve">(numeric, NOT NULL) with no unit column — the unit is only inferable through</w:t>
      </w:r>
      <w:r>
        <w:t xml:space="preserve"> </w:t>
      </w:r>
      <w:r>
        <w:rPr>
          <w:rStyle w:val="VerbatimChar"/>
        </w:rPr>
        <w:t xml:space="preserve">defra_factor_id</w:t>
      </w:r>
      <w:r>
        <w:t xml:space="preserve"> </w:t>
      </w:r>
      <w:r>
        <w:t xml:space="preserve">→ factor table, and no scope column exists despite</w:t>
      </w:r>
      <w:r>
        <w:t xml:space="preserve"> </w:t>
      </w:r>
      <w:r>
        <w:rPr>
          <w:rStyle w:val="VerbatimChar"/>
        </w:rPr>
        <w:t xml:space="preserve">activity_categories.ghg_protocol_scope</w:t>
      </w:r>
      <w:r>
        <w:t xml:space="preserve"> </w:t>
      </w:r>
      <w:r>
        <w:t xml:space="preserve">and suppliers’ per-scope columns.</w:t>
      </w:r>
    </w:p>
    <w:p>
      <w:pPr>
        <w:numPr>
          <w:ilvl w:val="0"/>
          <w:numId w:val="1008"/>
        </w:numPr>
        <w:pStyle w:val="Compact"/>
      </w:pPr>
      <w:r>
        <w:rPr>
          <w:bCs/>
          <w:b/>
        </w:rPr>
        <w:t xml:space="preserve">Proposed design.</w:t>
      </w:r>
      <w:r>
        <w:t xml:space="preserve"> </w:t>
      </w:r>
      <w:r>
        <w:t xml:space="preserve">Add</w:t>
      </w:r>
      <w:r>
        <w:t xml:space="preserve"> </w:t>
      </w:r>
      <w:r>
        <w:rPr>
          <w:rStyle w:val="VerbatimChar"/>
        </w:rPr>
        <w:t xml:space="preserve">emissions_logs.unit</w:t>
      </w:r>
      <w:r>
        <w:t xml:space="preserve"> </w:t>
      </w:r>
      <w:r>
        <w:t xml:space="preserve">(text, FK to</w:t>
      </w:r>
      <w:r>
        <w:t xml:space="preserve"> </w:t>
      </w:r>
      <w:r>
        <w:rPr>
          <w:rStyle w:val="VerbatimChar"/>
        </w:rPr>
        <w:t xml:space="preserve">units.code</w:t>
      </w:r>
      <w:r>
        <w:t xml:space="preserve"> </w:t>
      </w:r>
      <w:r>
        <w:t xml:space="preserve">— the existing</w:t>
      </w:r>
      <w:r>
        <w:t xml:space="preserve"> </w:t>
      </w:r>
      <w:r>
        <w:rPr>
          <w:rStyle w:val="VerbatimChar"/>
        </w:rPr>
        <w:t xml:space="preserve">units</w:t>
      </w:r>
      <w:r>
        <w:t xml:space="preserve"> </w:t>
      </w:r>
      <w:r>
        <w:t xml:space="preserve">reference table) and</w:t>
      </w:r>
      <w:r>
        <w:t xml:space="preserve"> </w:t>
      </w:r>
      <w:r>
        <w:rPr>
          <w:rStyle w:val="VerbatimChar"/>
        </w:rPr>
        <w:t xml:space="preserve">emissions_logs.scope</w:t>
      </w:r>
      <w:r>
        <w:t xml:space="preserve"> </w:t>
      </w:r>
      <w:r>
        <w:t xml:space="preserve">(varchar, nullable with backfill, value list per K4’s mechanism once populated).</w:t>
      </w:r>
    </w:p>
    <w:p>
      <w:pPr>
        <w:numPr>
          <w:ilvl w:val="0"/>
          <w:numId w:val="1008"/>
        </w:numPr>
        <w:pStyle w:val="Compact"/>
      </w:pPr>
      <w:r>
        <w:rPr>
          <w:bCs/>
          <w:b/>
        </w:rPr>
        <w:t xml:space="preserve">Why the change is needed.</w:t>
      </w:r>
      <w:r>
        <w:t xml:space="preserve"> </w:t>
      </w:r>
      <w:r>
        <w:t xml:space="preserve">SECR kWh totals and scope rollups currently require the factor join to interpret every quantity; a quantity whose unit is an inference is unauditable. UK reporting (SECR) is the primary-market reporting obligation, so this is a UK-primary fix as much as anything.</w:t>
      </w:r>
    </w:p>
    <w:p>
      <w:pPr>
        <w:numPr>
          <w:ilvl w:val="0"/>
          <w:numId w:val="1008"/>
        </w:numPr>
        <w:pStyle w:val="Compact"/>
      </w:pPr>
      <w:r>
        <w:rPr>
          <w:bCs/>
          <w:b/>
        </w:rPr>
        <w:t xml:space="preserve">Benefits.</w:t>
      </w:r>
      <w:r>
        <w:t xml:space="preserve"> </w:t>
      </w:r>
      <w:r>
        <w:t xml:space="preserve">Self-describing emission entries; SECR totals computable without joins; scope rollups become direct aggregations for UK reporting and, later, Irish CSRD-adjacent reporting.</w:t>
      </w:r>
    </w:p>
    <w:p>
      <w:pPr>
        <w:numPr>
          <w:ilvl w:val="0"/>
          <w:numId w:val="1008"/>
        </w:numPr>
        <w:pStyle w:val="Compact"/>
      </w:pPr>
      <w:r>
        <w:rPr>
          <w:bCs/>
          <w:b/>
        </w:rPr>
        <w:t xml:space="preserve">Risks.</w:t>
      </w:r>
      <w:r>
        <w:t xml:space="preserve"> </w:t>
      </w:r>
      <w:r>
        <w:t xml:space="preserve">Backfill requires deriving unit/scope for existing rows via the factor join — feasible pre-launch because volumes are seed-scale; mis-backfilled rows would mislabel history, so the staging data audit gates it.</w:t>
      </w:r>
    </w:p>
    <w:p>
      <w:pPr>
        <w:numPr>
          <w:ilvl w:val="0"/>
          <w:numId w:val="1008"/>
        </w:numPr>
        <w:pStyle w:val="Compact"/>
      </w:pPr>
      <w:r>
        <w:rPr>
          <w:bCs/>
          <w:b/>
        </w:rPr>
        <w:t xml:space="preserve">Migration impact.</w:t>
      </w:r>
      <w:r>
        <w:t xml:space="preserve"> </w:t>
      </w:r>
      <w:r>
        <w:t xml:space="preserve">Small-to-Medium: two adds, a derived backfill, one FK. Verify</w:t>
      </w:r>
      <w:r>
        <w:t xml:space="preserve"> </w:t>
      </w:r>
      <w:r>
        <w:rPr>
          <w:rStyle w:val="VerbatimChar"/>
        </w:rPr>
        <w:t xml:space="preserve">units.code</w:t>
      </w:r>
      <w:r>
        <w:t xml:space="preserve"> </w:t>
      </w:r>
      <w:r>
        <w:t xml:space="preserve">values cover the factor units introduced by C4.</w:t>
      </w:r>
    </w:p>
    <w:p>
      <w:pPr>
        <w:numPr>
          <w:ilvl w:val="0"/>
          <w:numId w:val="1008"/>
        </w:numPr>
        <w:pStyle w:val="Compact"/>
      </w:pPr>
      <w:r>
        <w:rPr>
          <w:bCs/>
          <w:b/>
        </w:rPr>
        <w:t xml:space="preserve">Application impact.</w:t>
      </w:r>
      <w:r>
        <w:t xml:space="preserve"> </w:t>
      </w:r>
      <w:r>
        <w:t xml:space="preserve">Entry and mapping forms capture unit explicitly; workers write scope at calculation time — Small.</w:t>
      </w:r>
    </w:p>
    <w:p>
      <w:pPr>
        <w:numPr>
          <w:ilvl w:val="0"/>
          <w:numId w:val="1008"/>
        </w:numPr>
        <w:pStyle w:val="Compact"/>
      </w:pPr>
      <w:r>
        <w:rPr>
          <w:bCs/>
          <w:b/>
        </w:rPr>
        <w:t xml:space="preserve">Backward compatibility.</w:t>
      </w:r>
      <w:r>
        <w:t xml:space="preserve"> </w:t>
      </w:r>
      <w:r>
        <w:t xml:space="preserve">Additive after backfill; readers ignoring the columns behave as today.</w:t>
      </w:r>
    </w:p>
    <w:p>
      <w:pPr>
        <w:numPr>
          <w:ilvl w:val="0"/>
          <w:numId w:val="1008"/>
        </w:numPr>
        <w:pStyle w:val="Compact"/>
      </w:pPr>
      <w:r>
        <w:rPr>
          <w:bCs/>
          <w:b/>
        </w:rPr>
        <w:t xml:space="preserve">Recommendation: APPROVE.</w:t>
      </w:r>
    </w:p>
    <w:bookmarkEnd w:id="30"/>
    <w:bookmarkStart w:id="31" w:name="c6-customer_documents.file_checksum"/>
    <w:p>
      <w:pPr>
        <w:pStyle w:val="Heading3"/>
      </w:pPr>
      <w:r>
        <w:t xml:space="preserve">C6 —</w:t>
      </w:r>
      <w:r>
        <w:t xml:space="preserve"> </w:t>
      </w:r>
      <w:r>
        <w:rPr>
          <w:rStyle w:val="VerbatimChar"/>
        </w:rPr>
        <w:t xml:space="preserve">customer_documents.file_checksum</w:t>
      </w:r>
    </w:p>
    <w:p>
      <w:pPr>
        <w:numPr>
          <w:ilvl w:val="0"/>
          <w:numId w:val="1009"/>
        </w:numPr>
        <w:pStyle w:val="Compact"/>
      </w:pPr>
      <w:r>
        <w:rPr>
          <w:bCs/>
          <w:b/>
        </w:rPr>
        <w:t xml:space="preserve">Current design.</w:t>
      </w:r>
      <w:r>
        <w:t xml:space="preserve"> </w:t>
      </w:r>
      <w:r>
        <w:rPr>
          <w:rStyle w:val="VerbatimChar"/>
        </w:rPr>
        <w:t xml:space="preserve">customer_documents</w:t>
      </w:r>
      <w:r>
        <w:t xml:space="preserve"> </w:t>
      </w:r>
      <w:r>
        <w:t xml:space="preserve">— the primary pipeline entity — has no content hash; duplicate-upload detection is impossible except by name, and</w:t>
      </w:r>
      <w:r>
        <w:t xml:space="preserve"> </w:t>
      </w:r>
      <w:r>
        <w:rPr>
          <w:rStyle w:val="VerbatimChar"/>
        </w:rPr>
        <w:t xml:space="preserve">document_processing_queue.file_size_bytes</w:t>
      </w:r>
      <w:r>
        <w:t xml:space="preserve"> </w:t>
      </w:r>
      <w:r>
        <w:t xml:space="preserve">(int8) is the only file fingerprint anywhere in the pipeline.</w:t>
      </w:r>
    </w:p>
    <w:p>
      <w:pPr>
        <w:numPr>
          <w:ilvl w:val="0"/>
          <w:numId w:val="1009"/>
        </w:numPr>
        <w:pStyle w:val="Compact"/>
      </w:pPr>
      <w:r>
        <w:rPr>
          <w:bCs/>
          <w:b/>
        </w:rPr>
        <w:t xml:space="preserve">Proposed design.</w:t>
      </w:r>
      <w:r>
        <w:t xml:space="preserve"> </w:t>
      </w:r>
      <w:r>
        <w:t xml:space="preserve">Add nullable</w:t>
      </w:r>
      <w:r>
        <w:t xml:space="preserve"> </w:t>
      </w:r>
      <w:r>
        <w:rPr>
          <w:rStyle w:val="VerbatimChar"/>
        </w:rPr>
        <w:t xml:space="preserve">customer_documents.file_checksum</w:t>
      </w:r>
      <w:r>
        <w:t xml:space="preserve"> </w:t>
      </w:r>
      <w:r>
        <w:t xml:space="preserve">(text, SHA-256 hex), populated at upload. No UNIQUE in v1.0 (hard uniqueness defers with duplicate-resolution UX).</w:t>
      </w:r>
    </w:p>
    <w:p>
      <w:pPr>
        <w:numPr>
          <w:ilvl w:val="0"/>
          <w:numId w:val="1009"/>
        </w:numPr>
        <w:pStyle w:val="Compact"/>
      </w:pPr>
      <w:r>
        <w:rPr>
          <w:bCs/>
          <w:b/>
        </w:rPr>
        <w:t xml:space="preserve">Why the change is needed.</w:t>
      </w:r>
      <w:r>
        <w:t xml:space="preserve"> </w:t>
      </w:r>
      <w:r>
        <w:t xml:space="preserve">Deterministic duplicate detection on the entity that drives AI extraction spend; re-uploads currently re-process silently, costing money and doubling draft emissions.</w:t>
      </w:r>
    </w:p>
    <w:p>
      <w:pPr>
        <w:numPr>
          <w:ilvl w:val="0"/>
          <w:numId w:val="1009"/>
        </w:numPr>
        <w:pStyle w:val="Compact"/>
      </w:pPr>
      <w:r>
        <w:rPr>
          <w:bCs/>
          <w:b/>
        </w:rPr>
        <w:t xml:space="preserve">Benefits.</w:t>
      </w:r>
      <w:r>
        <w:t xml:space="preserve"> </w:t>
      </w:r>
      <w:r>
        <w:t xml:space="preserve">Cheap, deterministic dedup signal; enables</w:t>
      </w:r>
      <w:r>
        <w:t xml:space="preserve"> </w:t>
      </w:r>
      <w:r>
        <w:t xml:space="preserve">“</w:t>
      </w:r>
      <w:r>
        <w:t xml:space="preserve">this file was already uploaded</w:t>
      </w:r>
      <w:r>
        <w:t xml:space="preserve">”</w:t>
      </w:r>
      <w:r>
        <w:t xml:space="preserve"> </w:t>
      </w:r>
      <w:r>
        <w:t xml:space="preserve">UX; near-free on a young table.</w:t>
      </w:r>
    </w:p>
    <w:p>
      <w:pPr>
        <w:numPr>
          <w:ilvl w:val="0"/>
          <w:numId w:val="1009"/>
        </w:numPr>
        <w:pStyle w:val="Compact"/>
      </w:pPr>
      <w:r>
        <w:rPr>
          <w:bCs/>
          <w:b/>
        </w:rPr>
        <w:t xml:space="preserve">Risks.</w:t>
      </w:r>
      <w:r>
        <w:t xml:space="preserve"> </w:t>
      </w:r>
      <w:r>
        <w:t xml:space="preserve">None structural; application must hash before/at upload.</w:t>
      </w:r>
    </w:p>
    <w:p>
      <w:pPr>
        <w:numPr>
          <w:ilvl w:val="0"/>
          <w:numId w:val="1009"/>
        </w:numPr>
        <w:pStyle w:val="Compact"/>
      </w:pPr>
      <w:r>
        <w:rPr>
          <w:bCs/>
          <w:b/>
        </w:rPr>
        <w:t xml:space="preserve">Migration impact.</w:t>
      </w:r>
      <w:r>
        <w:t xml:space="preserve"> </w:t>
      </w:r>
      <w:r>
        <w:t xml:space="preserve">Small: one nullable add; existing rows stay NULL (undetectable duplicates among pre-launch seeds are inconsequential).</w:t>
      </w:r>
    </w:p>
    <w:p>
      <w:pPr>
        <w:numPr>
          <w:ilvl w:val="0"/>
          <w:numId w:val="1009"/>
        </w:numPr>
        <w:pStyle w:val="Compact"/>
      </w:pPr>
      <w:r>
        <w:rPr>
          <w:bCs/>
          <w:b/>
        </w:rPr>
        <w:t xml:space="preserve">Application impact.</w:t>
      </w:r>
      <w:r>
        <w:t xml:space="preserve"> </w:t>
      </w:r>
      <w:r>
        <w:t xml:space="preserve">Upload path computes SHA-256; dedup prompt UX — Small.</w:t>
      </w:r>
    </w:p>
    <w:p>
      <w:pPr>
        <w:numPr>
          <w:ilvl w:val="0"/>
          <w:numId w:val="1009"/>
        </w:numPr>
        <w:pStyle w:val="Compact"/>
      </w:pPr>
      <w:r>
        <w:rPr>
          <w:bCs/>
          <w:b/>
        </w:rPr>
        <w:t xml:space="preserve">Backward compatibility.</w:t>
      </w:r>
      <w:r>
        <w:t xml:space="preserve"> </w:t>
      </w:r>
      <w:r>
        <w:t xml:space="preserve">Fully additive.</w:t>
      </w:r>
    </w:p>
    <w:p>
      <w:pPr>
        <w:numPr>
          <w:ilvl w:val="0"/>
          <w:numId w:val="1009"/>
        </w:numPr>
        <w:pStyle w:val="Compact"/>
      </w:pPr>
      <w:r>
        <w:rPr>
          <w:bCs/>
          <w:b/>
        </w:rPr>
        <w:t xml:space="preserve">Recommendation: APPROVE.</w:t>
      </w:r>
    </w:p>
    <w:bookmarkEnd w:id="31"/>
    <w:bookmarkStart w:id="32" w:name="c7-file_attachments.file_size-int4-int8"/>
    <w:p>
      <w:pPr>
        <w:pStyle w:val="Heading3"/>
      </w:pPr>
      <w:r>
        <w:t xml:space="preserve">C7 —</w:t>
      </w:r>
      <w:r>
        <w:t xml:space="preserve"> </w:t>
      </w:r>
      <w:r>
        <w:rPr>
          <w:rStyle w:val="VerbatimChar"/>
        </w:rPr>
        <w:t xml:space="preserve">file_attachments.file_size</w:t>
      </w:r>
      <w:r>
        <w:t xml:space="preserve"> </w:t>
      </w:r>
      <w:r>
        <w:t xml:space="preserve">int4 → int8</w:t>
      </w:r>
    </w:p>
    <w:p>
      <w:pPr>
        <w:numPr>
          <w:ilvl w:val="0"/>
          <w:numId w:val="1010"/>
        </w:numPr>
        <w:pStyle w:val="Compact"/>
      </w:pPr>
      <w:r>
        <w:rPr>
          <w:bCs/>
          <w:b/>
        </w:rPr>
        <w:t xml:space="preserve">Current design.</w:t>
      </w:r>
      <w:r>
        <w:t xml:space="preserve"> </w:t>
      </w:r>
      <w:r>
        <w:rPr>
          <w:rStyle w:val="VerbatimChar"/>
        </w:rPr>
        <w:t xml:space="preserve">file_attachments.file_size</w:t>
      </w:r>
      <w:r>
        <w:t xml:space="preserve"> </w:t>
      </w:r>
      <w:r>
        <w:t xml:space="preserve">is int4 (2 GB ceiling), while its pipeline peers</w:t>
      </w:r>
      <w:r>
        <w:t xml:space="preserve"> </w:t>
      </w:r>
      <w:r>
        <w:rPr>
          <w:rStyle w:val="VerbatimChar"/>
        </w:rPr>
        <w:t xml:space="preserve">document_processing_queue.file_size_bytes</w:t>
      </w:r>
      <w:r>
        <w:t xml:space="preserve"> </w:t>
      </w:r>
      <w:r>
        <w:t xml:space="preserve">and</w:t>
      </w:r>
      <w:r>
        <w:t xml:space="preserve"> </w:t>
      </w:r>
      <w:r>
        <w:rPr>
          <w:rStyle w:val="VerbatimChar"/>
        </w:rPr>
        <w:t xml:space="preserve">processing_queue.file_size_bytes</w:t>
      </w:r>
      <w:r>
        <w:t xml:space="preserve"> </w:t>
      </w:r>
      <w:r>
        <w:t xml:space="preserve">are already int8 — an inconsistent widening that leaves one table able to overflow.</w:t>
      </w:r>
    </w:p>
    <w:p>
      <w:pPr>
        <w:numPr>
          <w:ilvl w:val="0"/>
          <w:numId w:val="1010"/>
        </w:numPr>
        <w:pStyle w:val="Compact"/>
      </w:pPr>
      <w:r>
        <w:rPr>
          <w:bCs/>
          <w:b/>
        </w:rPr>
        <w:t xml:space="preserve">Proposed design.</w:t>
      </w:r>
      <w:r>
        <w:t xml:space="preserve"> </w:t>
      </w:r>
      <w:r>
        <w:t xml:space="preserve">Widen</w:t>
      </w:r>
      <w:r>
        <w:t xml:space="preserve"> </w:t>
      </w:r>
      <w:r>
        <w:rPr>
          <w:rStyle w:val="VerbatimChar"/>
        </w:rPr>
        <w:t xml:space="preserve">file_attachments.file_size</w:t>
      </w:r>
      <w:r>
        <w:t xml:space="preserve"> </w:t>
      </w:r>
      <w:r>
        <w:t xml:space="preserve">to int8, matching the peer columns; add a non-negative size CHECK per K3’s mechanism.</w:t>
      </w:r>
    </w:p>
    <w:p>
      <w:pPr>
        <w:numPr>
          <w:ilvl w:val="0"/>
          <w:numId w:val="1010"/>
        </w:numPr>
        <w:pStyle w:val="Compact"/>
      </w:pPr>
      <w:r>
        <w:rPr>
          <w:bCs/>
          <w:b/>
        </w:rPr>
        <w:t xml:space="preserve">Why the change is needed.</w:t>
      </w:r>
      <w:r>
        <w:t xml:space="preserve"> </w:t>
      </w:r>
      <w:r>
        <w:t xml:space="preserve">int4 overflows at ~2.1 GB, reachable by invoice bundles; the failure mode is an upload error at the customer’s highest-value moment. Widening is near-free pre-launch and a full table rewrite on a large table later.</w:t>
      </w:r>
    </w:p>
    <w:p>
      <w:pPr>
        <w:numPr>
          <w:ilvl w:val="0"/>
          <w:numId w:val="1010"/>
        </w:numPr>
        <w:pStyle w:val="Compact"/>
      </w:pPr>
      <w:r>
        <w:rPr>
          <w:bCs/>
          <w:b/>
        </w:rPr>
        <w:t xml:space="preserve">Benefits.</w:t>
      </w:r>
      <w:r>
        <w:t xml:space="preserve"> </w:t>
      </w:r>
      <w:r>
        <w:t xml:space="preserve">Consistent int8 across the pipeline; overflow eliminated; ceiling raised beyond any plausible upload.</w:t>
      </w:r>
    </w:p>
    <w:p>
      <w:pPr>
        <w:numPr>
          <w:ilvl w:val="0"/>
          <w:numId w:val="1010"/>
        </w:numPr>
        <w:pStyle w:val="Compact"/>
      </w:pPr>
      <w:r>
        <w:rPr>
          <w:bCs/>
          <w:b/>
        </w:rPr>
        <w:t xml:space="preserve">Risks.</w:t>
      </w:r>
      <w:r>
        <w:t xml:space="preserve"> </w:t>
      </w:r>
      <w:r>
        <w:t xml:space="preserve">Type widening rewrites the table — trivial at pre-launch row counts; the only reason to do it</w:t>
      </w:r>
      <w:r>
        <w:t xml:space="preserve"> </w:t>
      </w:r>
      <w:r>
        <w:rPr>
          <w:iCs/>
          <w:i/>
        </w:rPr>
        <w:t xml:space="preserve">now</w:t>
      </w:r>
      <w:r>
        <w:t xml:space="preserve"> </w:t>
      </w:r>
      <w:r>
        <w:t xml:space="preserve">rather than defer.</w:t>
      </w:r>
    </w:p>
    <w:p>
      <w:pPr>
        <w:numPr>
          <w:ilvl w:val="0"/>
          <w:numId w:val="1010"/>
        </w:numPr>
        <w:pStyle w:val="Compact"/>
      </w:pPr>
      <w:r>
        <w:rPr>
          <w:bCs/>
          <w:b/>
        </w:rPr>
        <w:t xml:space="preserve">Migration impact.</w:t>
      </w:r>
      <w:r>
        <w:t xml:space="preserve"> </w:t>
      </w:r>
      <w:r>
        <w:t xml:space="preserve">Small now (table rewrite over seed-scale rows); Large if deferred a year.</w:t>
      </w:r>
    </w:p>
    <w:p>
      <w:pPr>
        <w:numPr>
          <w:ilvl w:val="0"/>
          <w:numId w:val="1010"/>
        </w:numPr>
        <w:pStyle w:val="Compact"/>
      </w:pPr>
      <w:r>
        <w:rPr>
          <w:bCs/>
          <w:b/>
        </w:rPr>
        <w:t xml:space="preserve">Application impact.</w:t>
      </w:r>
      <w:r>
        <w:t xml:space="preserve"> </w:t>
      </w:r>
      <w:r>
        <w:t xml:space="preserve">None — int8 is returned where int4 was; clients using 32-bit parsing should already handle the peer int8 columns.</w:t>
      </w:r>
    </w:p>
    <w:p>
      <w:pPr>
        <w:numPr>
          <w:ilvl w:val="0"/>
          <w:numId w:val="1010"/>
        </w:numPr>
        <w:pStyle w:val="Compact"/>
      </w:pPr>
      <w:r>
        <w:rPr>
          <w:bCs/>
          <w:b/>
        </w:rPr>
        <w:t xml:space="preserve">Backward compatibility.</w:t>
      </w:r>
      <w:r>
        <w:t xml:space="preserve"> </w:t>
      </w:r>
      <w:r>
        <w:t xml:space="preserve">Widening is value-compatible; no data change.</w:t>
      </w:r>
    </w:p>
    <w:p>
      <w:pPr>
        <w:numPr>
          <w:ilvl w:val="0"/>
          <w:numId w:val="1010"/>
        </w:numPr>
        <w:pStyle w:val="Compact"/>
      </w:pPr>
      <w:r>
        <w:rPr>
          <w:bCs/>
          <w:b/>
        </w:rPr>
        <w:t xml:space="preserve">Recommendation: APPROVE.</w:t>
      </w:r>
    </w:p>
    <w:bookmarkEnd w:id="32"/>
    <w:bookmarkStart w:id="33" w:name="c8-suppliers.sort_code"/>
    <w:p>
      <w:pPr>
        <w:pStyle w:val="Heading3"/>
      </w:pPr>
      <w:r>
        <w:t xml:space="preserve">C8 —</w:t>
      </w:r>
      <w:r>
        <w:t xml:space="preserve"> </w:t>
      </w:r>
      <w:r>
        <w:rPr>
          <w:rStyle w:val="VerbatimChar"/>
        </w:rPr>
        <w:t xml:space="preserve">suppliers.sort_code</w:t>
      </w:r>
    </w:p>
    <w:p>
      <w:pPr>
        <w:numPr>
          <w:ilvl w:val="0"/>
          <w:numId w:val="1011"/>
        </w:numPr>
        <w:pStyle w:val="Compact"/>
      </w:pPr>
      <w:r>
        <w:rPr>
          <w:bCs/>
          <w:b/>
        </w:rPr>
        <w:t xml:space="preserve">Current design.</w:t>
      </w:r>
      <w:r>
        <w:t xml:space="preserve"> </w:t>
      </w:r>
      <w:r>
        <w:rPr>
          <w:rStyle w:val="VerbatimChar"/>
        </w:rPr>
        <w:t xml:space="preserve">suppliers</w:t>
      </w:r>
      <w:r>
        <w:t xml:space="preserve"> </w:t>
      </w:r>
      <w:r>
        <w:t xml:space="preserve">holds</w:t>
      </w:r>
      <w:r>
        <w:t xml:space="preserve"> </w:t>
      </w:r>
      <w:r>
        <w:rPr>
          <w:rStyle w:val="VerbatimChar"/>
        </w:rPr>
        <w:t xml:space="preserve">bank_name</w:t>
      </w:r>
      <w:r>
        <w:t xml:space="preserve">,</w:t>
      </w:r>
      <w:r>
        <w:t xml:space="preserve"> </w:t>
      </w:r>
      <w:r>
        <w:rPr>
          <w:rStyle w:val="VerbatimChar"/>
        </w:rPr>
        <w:t xml:space="preserve">bank_account</w:t>
      </w:r>
      <w:r>
        <w:t xml:space="preserve">,</w:t>
      </w:r>
      <w:r>
        <w:t xml:space="preserve"> </w:t>
      </w:r>
      <w:r>
        <w:rPr>
          <w:rStyle w:val="VerbatimChar"/>
        </w:rPr>
        <w:t xml:space="preserve">iban</w:t>
      </w:r>
      <w:r>
        <w:t xml:space="preserve">,</w:t>
      </w:r>
      <w:r>
        <w:t xml:space="preserve"> </w:t>
      </w:r>
      <w:r>
        <w:rPr>
          <w:rStyle w:val="VerbatimChar"/>
        </w:rPr>
        <w:t xml:space="preserve">swift_code</w:t>
      </w:r>
      <w:r>
        <w:t xml:space="preserve"> </w:t>
      </w:r>
      <w:r>
        <w:t xml:space="preserve">(all varchar, nullable) but no</w:t>
      </w:r>
      <w:r>
        <w:t xml:space="preserve"> </w:t>
      </w:r>
      <w:r>
        <w:rPr>
          <w:rStyle w:val="VerbatimChar"/>
        </w:rPr>
        <w:t xml:space="preserve">sort_code</w:t>
      </w:r>
      <w:r>
        <w:t xml:space="preserve"> </w:t>
      </w:r>
      <w:r>
        <w:t xml:space="preserve">— the standard UK domestic account-routing identifier, absent from the banking set of a UK-primary product.</w:t>
      </w:r>
    </w:p>
    <w:p>
      <w:pPr>
        <w:numPr>
          <w:ilvl w:val="0"/>
          <w:numId w:val="1011"/>
        </w:numPr>
        <w:pStyle w:val="Compact"/>
      </w:pPr>
      <w:r>
        <w:rPr>
          <w:bCs/>
          <w:b/>
        </w:rPr>
        <w:t xml:space="preserve">Proposed design.</w:t>
      </w:r>
      <w:r>
        <w:t xml:space="preserve"> </w:t>
      </w:r>
      <w:r>
        <w:t xml:space="preserve">Add nullable</w:t>
      </w:r>
      <w:r>
        <w:t xml:space="preserve"> </w:t>
      </w:r>
      <w:r>
        <w:rPr>
          <w:rStyle w:val="VerbatimChar"/>
        </w:rPr>
        <w:t xml:space="preserve">suppliers.sort_code</w:t>
      </w:r>
      <w:r>
        <w:t xml:space="preserve"> </w:t>
      </w:r>
      <w:r>
        <w:t xml:space="preserve">(varchar), stored normalised (digits only); masking (last-4 display) is an API concern and not structural.</w:t>
      </w:r>
    </w:p>
    <w:p>
      <w:pPr>
        <w:numPr>
          <w:ilvl w:val="0"/>
          <w:numId w:val="1011"/>
        </w:numPr>
        <w:pStyle w:val="Compact"/>
      </w:pPr>
      <w:r>
        <w:rPr>
          <w:bCs/>
          <w:b/>
        </w:rPr>
        <w:t xml:space="preserve">Why the change is needed.</w:t>
      </w:r>
      <w:r>
        <w:t xml:space="preserve"> </w:t>
      </w:r>
      <w:r>
        <w:t xml:space="preserve">UK supplier banking is keyed by sort code + account number; without the column, UK supplier payment data is incomplete while the IE path (IBAN) is already covered by the existing</w:t>
      </w:r>
      <w:r>
        <w:t xml:space="preserve"> </w:t>
      </w:r>
      <w:r>
        <w:rPr>
          <w:rStyle w:val="VerbatimChar"/>
        </w:rPr>
        <w:t xml:space="preserve">iban</w:t>
      </w:r>
      <w:r>
        <w:t xml:space="preserve"> </w:t>
      </w:r>
      <w:r>
        <w:t xml:space="preserve">column. Beta-necessity cuts both ways: IE is served, UK is not.</w:t>
      </w:r>
    </w:p>
    <w:p>
      <w:pPr>
        <w:numPr>
          <w:ilvl w:val="0"/>
          <w:numId w:val="1011"/>
        </w:numPr>
        <w:pStyle w:val="Compact"/>
      </w:pPr>
      <w:r>
        <w:rPr>
          <w:bCs/>
          <w:b/>
        </w:rPr>
        <w:t xml:space="preserve">Benefits.</w:t>
      </w:r>
      <w:r>
        <w:t xml:space="preserve"> </w:t>
      </w:r>
      <w:r>
        <w:t xml:space="preserve">Complete UK domestic banking capture; no IE impact; pairs with the existing</w:t>
      </w:r>
      <w:r>
        <w:t xml:space="preserve"> </w:t>
      </w:r>
      <w:r>
        <w:rPr>
          <w:rStyle w:val="VerbatimChar"/>
        </w:rPr>
        <w:t xml:space="preserve">iban</w:t>
      </w:r>
      <w:r>
        <w:t xml:space="preserve"> </w:t>
      </w:r>
      <w:r>
        <w:t xml:space="preserve">for full GB/IE coverage.</w:t>
      </w:r>
    </w:p>
    <w:p>
      <w:pPr>
        <w:numPr>
          <w:ilvl w:val="0"/>
          <w:numId w:val="1011"/>
        </w:numPr>
        <w:pStyle w:val="Compact"/>
      </w:pPr>
      <w:r>
        <w:rPr>
          <w:bCs/>
          <w:b/>
        </w:rPr>
        <w:t xml:space="preserve">Risks.</w:t>
      </w:r>
      <w:r>
        <w:t xml:space="preserve"> </w:t>
      </w:r>
      <w:r>
        <w:t xml:space="preserve">Another banking PII column to inventory (joins the PII register with its peers); masking/envelope-encryption questions are app/vault work, not structural.</w:t>
      </w:r>
    </w:p>
    <w:p>
      <w:pPr>
        <w:numPr>
          <w:ilvl w:val="0"/>
          <w:numId w:val="1011"/>
        </w:numPr>
        <w:pStyle w:val="Compact"/>
      </w:pPr>
      <w:r>
        <w:rPr>
          <w:bCs/>
          <w:b/>
        </w:rPr>
        <w:t xml:space="preserve">Migration impact.</w:t>
      </w:r>
      <w:r>
        <w:t xml:space="preserve"> </w:t>
      </w:r>
      <w:r>
        <w:t xml:space="preserve">Small: one nullable add.</w:t>
      </w:r>
    </w:p>
    <w:p>
      <w:pPr>
        <w:numPr>
          <w:ilvl w:val="0"/>
          <w:numId w:val="1011"/>
        </w:numPr>
        <w:pStyle w:val="Compact"/>
      </w:pPr>
      <w:r>
        <w:rPr>
          <w:bCs/>
          <w:b/>
        </w:rPr>
        <w:t xml:space="preserve">Application impact.</w:t>
      </w:r>
      <w:r>
        <w:t xml:space="preserve"> </w:t>
      </w:r>
      <w:r>
        <w:t xml:space="preserve">Supplier banking form gains the field; API masks in responses — Small.</w:t>
      </w:r>
    </w:p>
    <w:p>
      <w:pPr>
        <w:numPr>
          <w:ilvl w:val="0"/>
          <w:numId w:val="1011"/>
        </w:numPr>
        <w:pStyle w:val="Compact"/>
      </w:pPr>
      <w:r>
        <w:rPr>
          <w:bCs/>
          <w:b/>
        </w:rPr>
        <w:t xml:space="preserve">Backward compatibility.</w:t>
      </w:r>
      <w:r>
        <w:t xml:space="preserve"> </w:t>
      </w:r>
      <w:r>
        <w:t xml:space="preserve">Fully additive.</w:t>
      </w:r>
    </w:p>
    <w:p>
      <w:pPr>
        <w:numPr>
          <w:ilvl w:val="0"/>
          <w:numId w:val="1011"/>
        </w:numPr>
        <w:pStyle w:val="Compact"/>
      </w:pPr>
      <w:r>
        <w:rPr>
          <w:bCs/>
          <w:b/>
        </w:rPr>
        <w:t xml:space="preserve">Recommendation: APPROVE.</w:t>
      </w:r>
    </w:p>
    <w:bookmarkEnd w:id="33"/>
    <w:bookmarkStart w:id="34" w:name="c9-facilities.meter_mpan_mprn"/>
    <w:p>
      <w:pPr>
        <w:pStyle w:val="Heading3"/>
      </w:pPr>
      <w:r>
        <w:t xml:space="preserve">C9 —</w:t>
      </w:r>
      <w:r>
        <w:t xml:space="preserve"> </w:t>
      </w:r>
      <w:r>
        <w:rPr>
          <w:rStyle w:val="VerbatimChar"/>
        </w:rPr>
        <w:t xml:space="preserve">facilities.meter_mpan_mprn</w:t>
      </w:r>
    </w:p>
    <w:p>
      <w:pPr>
        <w:numPr>
          <w:ilvl w:val="0"/>
          <w:numId w:val="1012"/>
        </w:numPr>
        <w:pStyle w:val="Compact"/>
      </w:pPr>
      <w:r>
        <w:rPr>
          <w:bCs/>
          <w:b/>
        </w:rPr>
        <w:t xml:space="preserve">Current design.</w:t>
      </w:r>
      <w:r>
        <w:t xml:space="preserve"> </w:t>
      </w:r>
      <w:r>
        <w:rPr>
          <w:rStyle w:val="VerbatimChar"/>
        </w:rPr>
        <w:t xml:space="preserve">facilities</w:t>
      </w:r>
      <w:r>
        <w:t xml:space="preserve"> </w:t>
      </w:r>
      <w:r>
        <w:t xml:space="preserve">has no meter identifier, yet the product’s core UK flow is matching electricity/gas bills (which carry MPAN for electricity, MPRN for gas — Ireland also uses MPRN) to sites.</w:t>
      </w:r>
    </w:p>
    <w:p>
      <w:pPr>
        <w:numPr>
          <w:ilvl w:val="0"/>
          <w:numId w:val="1012"/>
        </w:numPr>
        <w:pStyle w:val="Compact"/>
      </w:pPr>
      <w:r>
        <w:rPr>
          <w:bCs/>
          <w:b/>
        </w:rPr>
        <w:t xml:space="preserve">Proposed design.</w:t>
      </w:r>
      <w:r>
        <w:t xml:space="preserve"> </w:t>
      </w:r>
      <w:r>
        <w:t xml:space="preserve">Add nullable</w:t>
      </w:r>
      <w:r>
        <w:t xml:space="preserve"> </w:t>
      </w:r>
      <w:r>
        <w:rPr>
          <w:rStyle w:val="VerbatimChar"/>
        </w:rPr>
        <w:t xml:space="preserve">facilities.meter_mpan_mprn</w:t>
      </w:r>
      <w:r>
        <w:t xml:space="preserve"> </w:t>
      </w:r>
      <w:r>
        <w:t xml:space="preserve">(varchar) as a single free-format identifier column. Bill-to-facility matching logic is application work and explicitly out of scope.</w:t>
      </w:r>
    </w:p>
    <w:p>
      <w:pPr>
        <w:numPr>
          <w:ilvl w:val="0"/>
          <w:numId w:val="1012"/>
        </w:numPr>
        <w:pStyle w:val="Compact"/>
      </w:pPr>
      <w:r>
        <w:rPr>
          <w:bCs/>
          <w:b/>
        </w:rPr>
        <w:t xml:space="preserve">Why the change is needed.</w:t>
      </w:r>
      <w:r>
        <w:t xml:space="preserve"> </w:t>
      </w:r>
      <w:r>
        <w:t xml:space="preserve">The column is cheap now and serves both markets (MPAN is GB, MPRN is GB-gas and IE-gas); retrofitting it after facilities accumulate means a backfill against paper records.</w:t>
      </w:r>
    </w:p>
    <w:p>
      <w:pPr>
        <w:numPr>
          <w:ilvl w:val="0"/>
          <w:numId w:val="1012"/>
        </w:numPr>
        <w:pStyle w:val="Compact"/>
      </w:pPr>
      <w:r>
        <w:rPr>
          <w:bCs/>
          <w:b/>
        </w:rPr>
        <w:t xml:space="preserve">Benefits.</w:t>
      </w:r>
      <w:r>
        <w:t xml:space="preserve"> </w:t>
      </w:r>
      <w:r>
        <w:t xml:space="preserve">Enables the future matching feature with no schema change; immediate value as a display/reference field.</w:t>
      </w:r>
    </w:p>
    <w:p>
      <w:pPr>
        <w:numPr>
          <w:ilvl w:val="0"/>
          <w:numId w:val="1012"/>
        </w:numPr>
        <w:pStyle w:val="Compact"/>
      </w:pPr>
      <w:r>
        <w:rPr>
          <w:bCs/>
          <w:b/>
        </w:rPr>
        <w:t xml:space="preserve">Risks.</w:t>
      </w:r>
      <w:r>
        <w:t xml:space="preserve"> </w:t>
      </w:r>
      <w:r>
        <w:t xml:space="preserve">Free-format identifier invites inconsistent entry — mitigated by API normalisation, not a CHECK (K9 layering rule).</w:t>
      </w:r>
    </w:p>
    <w:p>
      <w:pPr>
        <w:numPr>
          <w:ilvl w:val="0"/>
          <w:numId w:val="1012"/>
        </w:numPr>
        <w:pStyle w:val="Compact"/>
      </w:pPr>
      <w:r>
        <w:rPr>
          <w:bCs/>
          <w:b/>
        </w:rPr>
        <w:t xml:space="preserve">Migration impact.</w:t>
      </w:r>
      <w:r>
        <w:t xml:space="preserve"> </w:t>
      </w:r>
      <w:r>
        <w:t xml:space="preserve">Small: one nullable add.</w:t>
      </w:r>
    </w:p>
    <w:p>
      <w:pPr>
        <w:numPr>
          <w:ilvl w:val="0"/>
          <w:numId w:val="1012"/>
        </w:numPr>
        <w:pStyle w:val="Compact"/>
      </w:pPr>
      <w:r>
        <w:rPr>
          <w:bCs/>
          <w:b/>
        </w:rPr>
        <w:t xml:space="preserve">Application impact.</w:t>
      </w:r>
      <w:r>
        <w:t xml:space="preserve"> </w:t>
      </w:r>
      <w:r>
        <w:t xml:space="preserve">Facility form gains the field; matching logic is v1.1 app work.</w:t>
      </w:r>
    </w:p>
    <w:p>
      <w:pPr>
        <w:numPr>
          <w:ilvl w:val="0"/>
          <w:numId w:val="1012"/>
        </w:numPr>
        <w:pStyle w:val="Compact"/>
      </w:pPr>
      <w:r>
        <w:rPr>
          <w:bCs/>
          <w:b/>
        </w:rPr>
        <w:t xml:space="preserve">Backward compatibility.</w:t>
      </w:r>
      <w:r>
        <w:t xml:space="preserve"> </w:t>
      </w:r>
      <w:r>
        <w:t xml:space="preserve">Fully additive.</w:t>
      </w:r>
    </w:p>
    <w:p>
      <w:pPr>
        <w:numPr>
          <w:ilvl w:val="0"/>
          <w:numId w:val="1012"/>
        </w:numPr>
        <w:pStyle w:val="Compact"/>
      </w:pPr>
      <w:r>
        <w:rPr>
          <w:bCs/>
          <w:b/>
        </w:rPr>
        <w:t xml:space="preserve">Recommendation: APPROVE.</w:t>
      </w:r>
    </w:p>
    <w:bookmarkEnd w:id="34"/>
    <w:bookmarkStart w:id="35" w:name="Xd9c26c7251f91cf55d3b57e225e73b556d7eb99"/>
    <w:p>
      <w:pPr>
        <w:pStyle w:val="Heading3"/>
      </w:pPr>
      <w:r>
        <w:t xml:space="preserve">C10 —</w:t>
      </w:r>
      <w:r>
        <w:t xml:space="preserve"> </w:t>
      </w:r>
      <w:r>
        <w:rPr>
          <w:rStyle w:val="VerbatimChar"/>
        </w:rPr>
        <w:t xml:space="preserve">organization_metadata.total_floor_area_sqm</w:t>
      </w:r>
      <w:r>
        <w:t xml:space="preserve"> </w:t>
      </w:r>
      <w:r>
        <w:t xml:space="preserve">/</w:t>
      </w:r>
      <w:r>
        <w:t xml:space="preserve"> </w:t>
      </w:r>
      <w:r>
        <w:rPr>
          <w:rStyle w:val="VerbatimChar"/>
        </w:rPr>
        <w:t xml:space="preserve">.occupied_floor_area_sqm</w:t>
      </w:r>
    </w:p>
    <w:p>
      <w:pPr>
        <w:numPr>
          <w:ilvl w:val="0"/>
          <w:numId w:val="1013"/>
        </w:numPr>
        <w:pStyle w:val="Compact"/>
      </w:pPr>
      <w:r>
        <w:rPr>
          <w:bCs/>
          <w:b/>
        </w:rPr>
        <w:t xml:space="preserve">Current design.</w:t>
      </w:r>
      <w:r>
        <w:t xml:space="preserve"> </w:t>
      </w:r>
      <w:r>
        <w:rPr>
          <w:rStyle w:val="VerbatimChar"/>
        </w:rPr>
        <w:t xml:space="preserve">organization_metadata</w:t>
      </w:r>
      <w:r>
        <w:t xml:space="preserve"> </w:t>
      </w:r>
      <w:r>
        <w:t xml:space="preserve">carries</w:t>
      </w:r>
      <w:r>
        <w:t xml:space="preserve"> </w:t>
      </w:r>
      <w:r>
        <w:rPr>
          <w:rStyle w:val="VerbatimChar"/>
        </w:rPr>
        <w:t xml:space="preserve">total_floor_area_sqft</w:t>
      </w:r>
      <w:r>
        <w:t xml:space="preserve"> </w:t>
      </w:r>
      <w:r>
        <w:t xml:space="preserve">and</w:t>
      </w:r>
      <w:r>
        <w:t xml:space="preserve"> </w:t>
      </w:r>
      <w:r>
        <w:rPr>
          <w:rStyle w:val="VerbatimChar"/>
        </w:rPr>
        <w:t xml:space="preserve">occupied_floor_area_sqft</w:t>
      </w:r>
      <w:r>
        <w:t xml:space="preserve"> </w:t>
      </w:r>
      <w:r>
        <w:t xml:space="preserve">only — square-foot labelled columns for a product whose intensity ratios (kg CO2e/m²) are conventionally reported in square metres, and whose beta market (Ireland) is metric.</w:t>
      </w:r>
    </w:p>
    <w:p>
      <w:pPr>
        <w:numPr>
          <w:ilvl w:val="0"/>
          <w:numId w:val="1013"/>
        </w:numPr>
        <w:pStyle w:val="Compact"/>
      </w:pPr>
      <w:r>
        <w:rPr>
          <w:bCs/>
          <w:b/>
        </w:rPr>
        <w:t xml:space="preserve">Proposed design.</w:t>
      </w:r>
      <w:r>
        <w:t xml:space="preserve"> </w:t>
      </w:r>
      <w:r>
        <w:t xml:space="preserve">Add two nullable numeric columns</w:t>
      </w:r>
      <w:r>
        <w:t xml:space="preserve"> </w:t>
      </w:r>
      <w:r>
        <w:rPr>
          <w:rStyle w:val="VerbatimChar"/>
        </w:rPr>
        <w:t xml:space="preserve">total_floor_area_sqm</w:t>
      </w:r>
      <w:r>
        <w:t xml:space="preserve"> </w:t>
      </w:r>
      <w:r>
        <w:t xml:space="preserve">and</w:t>
      </w:r>
      <w:r>
        <w:t xml:space="preserve"> </w:t>
      </w:r>
      <w:r>
        <w:rPr>
          <w:rStyle w:val="VerbatimChar"/>
        </w:rPr>
        <w:t xml:space="preserve">occupied_floor_area_sqm</w:t>
      </w:r>
      <w:r>
        <w:t xml:space="preserve">, explicitly labelled, alongside the existing sqft columns. Conversion tooling and sqft deprecation are deferred (v1.1).</w:t>
      </w:r>
    </w:p>
    <w:p>
      <w:pPr>
        <w:numPr>
          <w:ilvl w:val="0"/>
          <w:numId w:val="1013"/>
        </w:numPr>
        <w:pStyle w:val="Compact"/>
      </w:pPr>
      <w:r>
        <w:rPr>
          <w:bCs/>
          <w:b/>
        </w:rPr>
        <w:t xml:space="preserve">Why the change is needed.</w:t>
      </w:r>
      <w:r>
        <w:t xml:space="preserve"> </w:t>
      </w:r>
      <w:r>
        <w:t xml:space="preserve">Irish beta users will otherwise enter m² values into sqft-labelled columns, silently corrupting SECR-style intensity ratios by a factor of ~10.8. Two labelled columns prevent the mislabelling with no conversion machinery.</w:t>
      </w:r>
    </w:p>
    <w:p>
      <w:pPr>
        <w:numPr>
          <w:ilvl w:val="0"/>
          <w:numId w:val="1013"/>
        </w:numPr>
        <w:pStyle w:val="Compact"/>
      </w:pPr>
      <w:r>
        <w:rPr>
          <w:bCs/>
          <w:b/>
        </w:rPr>
        <w:t xml:space="preserve">Benefits.</w:t>
      </w:r>
      <w:r>
        <w:t xml:space="preserve"> </w:t>
      </w:r>
      <w:r>
        <w:t xml:space="preserve">Correct intensity denominators in both markets; zero migration risk; honest dual-labelling during the transition period.</w:t>
      </w:r>
    </w:p>
    <w:p>
      <w:pPr>
        <w:numPr>
          <w:ilvl w:val="0"/>
          <w:numId w:val="1013"/>
        </w:numPr>
        <w:pStyle w:val="Compact"/>
      </w:pPr>
      <w:r>
        <w:rPr>
          <w:bCs/>
          <w:b/>
        </w:rPr>
        <w:t xml:space="preserve">Risks.</w:t>
      </w:r>
      <w:r>
        <w:t xml:space="preserve"> </w:t>
      </w:r>
      <w:r>
        <w:t xml:space="preserve">Two parallel unit-labelled columns invite drift — bounded by the API write rule (populate the column matching the org’s country default); deprecation path already planned.</w:t>
      </w:r>
    </w:p>
    <w:p>
      <w:pPr>
        <w:numPr>
          <w:ilvl w:val="0"/>
          <w:numId w:val="1013"/>
        </w:numPr>
        <w:pStyle w:val="Compact"/>
      </w:pPr>
      <w:r>
        <w:rPr>
          <w:bCs/>
          <w:b/>
        </w:rPr>
        <w:t xml:space="preserve">Migration impact.</w:t>
      </w:r>
      <w:r>
        <w:t xml:space="preserve"> </w:t>
      </w:r>
      <w:r>
        <w:t xml:space="preserve">Small: two nullable adds.</w:t>
      </w:r>
    </w:p>
    <w:p>
      <w:pPr>
        <w:numPr>
          <w:ilvl w:val="0"/>
          <w:numId w:val="1013"/>
        </w:numPr>
        <w:pStyle w:val="Compact"/>
      </w:pPr>
      <w:r>
        <w:rPr>
          <w:bCs/>
          <w:b/>
        </w:rPr>
        <w:t xml:space="preserve">Application impact.</w:t>
      </w:r>
      <w:r>
        <w:t xml:space="preserve"> </w:t>
      </w:r>
      <w:r>
        <w:t xml:space="preserve">Form renders the unit-appropriate field by country; reporting reads m² preferentially — Small.</w:t>
      </w:r>
    </w:p>
    <w:p>
      <w:pPr>
        <w:numPr>
          <w:ilvl w:val="0"/>
          <w:numId w:val="1013"/>
        </w:numPr>
        <w:pStyle w:val="Compact"/>
      </w:pPr>
      <w:r>
        <w:rPr>
          <w:bCs/>
          <w:b/>
        </w:rPr>
        <w:t xml:space="preserve">Backward compatibility.</w:t>
      </w:r>
      <w:r>
        <w:t xml:space="preserve"> </w:t>
      </w:r>
      <w:r>
        <w:t xml:space="preserve">Fully additive.</w:t>
      </w:r>
    </w:p>
    <w:p>
      <w:pPr>
        <w:numPr>
          <w:ilvl w:val="0"/>
          <w:numId w:val="1013"/>
        </w:numPr>
        <w:pStyle w:val="Compact"/>
      </w:pPr>
      <w:r>
        <w:rPr>
          <w:bCs/>
          <w:b/>
        </w:rPr>
        <w:t xml:space="preserve">Recommendation: APPROVE.</w:t>
      </w:r>
    </w:p>
    <w:bookmarkEnd w:id="35"/>
    <w:bookmarkStart w:id="36" w:name="X415119e019965537f20939ff174deda5262f9c4"/>
    <w:p>
      <w:pPr>
        <w:pStyle w:val="Heading3"/>
      </w:pPr>
      <w:r>
        <w:t xml:space="preserve">C11 — Typed invoice columns on</w:t>
      </w:r>
      <w:r>
        <w:t xml:space="preserve"> </w:t>
      </w:r>
      <w:r>
        <w:rPr>
          <w:rStyle w:val="VerbatimChar"/>
        </w:rPr>
        <w:t xml:space="preserve">customer_documents</w:t>
      </w:r>
    </w:p>
    <w:p>
      <w:pPr>
        <w:numPr>
          <w:ilvl w:val="0"/>
          <w:numId w:val="1014"/>
        </w:numPr>
        <w:pStyle w:val="Compact"/>
      </w:pPr>
      <w:r>
        <w:rPr>
          <w:bCs/>
          <w:b/>
        </w:rPr>
        <w:t xml:space="preserve">Current design.</w:t>
      </w:r>
      <w:r>
        <w:t xml:space="preserve"> </w:t>
      </w:r>
      <w:r>
        <w:t xml:space="preserve">Extracted invoice fields (</w:t>
      </w:r>
      <w:r>
        <w:rPr>
          <w:rStyle w:val="VerbatimChar"/>
        </w:rPr>
        <w:t xml:space="preserve">document_number</w:t>
      </w:r>
      <w:r>
        <w:t xml:space="preserve">, dates, amounts, currency) live in the ADR-protected</w:t>
      </w:r>
      <w:r>
        <w:t xml:space="preserve"> </w:t>
      </w:r>
      <w:r>
        <w:rPr>
          <w:rStyle w:val="VerbatimChar"/>
        </w:rPr>
        <w:t xml:space="preserve">extracted_data</w:t>
      </w:r>
      <w:r>
        <w:t xml:space="preserve"> </w:t>
      </w:r>
      <w:r>
        <w:t xml:space="preserve">jsonb on</w:t>
      </w:r>
      <w:r>
        <w:t xml:space="preserve"> </w:t>
      </w:r>
      <w:r>
        <w:rPr>
          <w:rStyle w:val="VerbatimChar"/>
        </w:rPr>
        <w:t xml:space="preserve">customer_documents</w:t>
      </w:r>
      <w:r>
        <w:t xml:space="preserve">; no typed columns exist.</w:t>
      </w:r>
    </w:p>
    <w:p>
      <w:pPr>
        <w:numPr>
          <w:ilvl w:val="0"/>
          <w:numId w:val="1014"/>
        </w:numPr>
        <w:pStyle w:val="Compact"/>
      </w:pPr>
      <w:r>
        <w:rPr>
          <w:bCs/>
          <w:b/>
        </w:rPr>
        <w:t xml:space="preserve">Proposed design.</w:t>
      </w:r>
      <w:r>
        <w:t xml:space="preserve"> </w:t>
      </w:r>
      <w:r>
        <w:t xml:space="preserve">Would promote six keys to typed columns.</w:t>
      </w:r>
    </w:p>
    <w:p>
      <w:pPr>
        <w:numPr>
          <w:ilvl w:val="0"/>
          <w:numId w:val="1014"/>
        </w:numPr>
        <w:pStyle w:val="Compact"/>
      </w:pPr>
      <w:r>
        <w:rPr>
          <w:bCs/>
          <w:b/>
        </w:rPr>
        <w:t xml:space="preserve">Why the change is needed.</w:t>
      </w:r>
      <w:r>
        <w:t xml:space="preserve"> </w:t>
      </w:r>
      <w:r>
        <w:t xml:space="preserve">The audit rated it Critical for query performance and typed filtering.</w:t>
      </w:r>
    </w:p>
    <w:p>
      <w:pPr>
        <w:numPr>
          <w:ilvl w:val="0"/>
          <w:numId w:val="1014"/>
        </w:numPr>
        <w:pStyle w:val="Compact"/>
      </w:pPr>
      <w:r>
        <w:rPr>
          <w:bCs/>
          <w:b/>
        </w:rPr>
        <w:t xml:space="preserve">Benefits.</w:t>
      </w:r>
      <w:r>
        <w:t xml:space="preserve"> </w:t>
      </w:r>
      <w:r>
        <w:t xml:space="preserve">Typed filtering and B-tree lookups on hot invoice keys.</w:t>
      </w:r>
    </w:p>
    <w:p>
      <w:pPr>
        <w:numPr>
          <w:ilvl w:val="0"/>
          <w:numId w:val="1014"/>
        </w:numPr>
        <w:pStyle w:val="Compact"/>
      </w:pPr>
      <w:r>
        <w:rPr>
          <w:bCs/>
          <w:b/>
        </w:rPr>
        <w:t xml:space="preserve">Risks.</w:t>
      </w:r>
      <w:r>
        <w:t xml:space="preserve"> </w:t>
      </w:r>
      <w:r>
        <w:t xml:space="preserve">Duplicates the jsonb payload into maintained-parallel columns with sync logic; contradicts the frozen jsonb ADR’s own promotion criterion (promote keys when query logs prove the need); freezes guessed hot keys before any production traffic exists.</w:t>
      </w:r>
    </w:p>
    <w:p>
      <w:pPr>
        <w:numPr>
          <w:ilvl w:val="0"/>
          <w:numId w:val="1014"/>
        </w:numPr>
        <w:pStyle w:val="Compact"/>
      </w:pPr>
      <w:r>
        <w:rPr>
          <w:bCs/>
          <w:b/>
        </w:rPr>
        <w:t xml:space="preserve">Migration impact.</w:t>
      </w:r>
      <w:r>
        <w:t xml:space="preserve"> </w:t>
      </w:r>
      <w:r>
        <w:t xml:space="preserve">Medium: six adds, a backfill from jsonb, and permanent write-path dual-maintenance.</w:t>
      </w:r>
    </w:p>
    <w:p>
      <w:pPr>
        <w:numPr>
          <w:ilvl w:val="0"/>
          <w:numId w:val="1014"/>
        </w:numPr>
        <w:pStyle w:val="Compact"/>
      </w:pPr>
      <w:r>
        <w:rPr>
          <w:bCs/>
          <w:b/>
        </w:rPr>
        <w:t xml:space="preserve">Application impact.</w:t>
      </w:r>
      <w:r>
        <w:t xml:space="preserve"> </w:t>
      </w:r>
      <w:r>
        <w:t xml:space="preserve">Extraction pipeline dual-writes; sync-failure modes forever.</w:t>
      </w:r>
    </w:p>
    <w:p>
      <w:pPr>
        <w:numPr>
          <w:ilvl w:val="0"/>
          <w:numId w:val="1014"/>
        </w:numPr>
        <w:pStyle w:val="Compact"/>
      </w:pPr>
      <w:r>
        <w:rPr>
          <w:bCs/>
          <w:b/>
        </w:rPr>
        <w:t xml:space="preserve">Backward compatibility.</w:t>
      </w:r>
      <w:r>
        <w:t xml:space="preserve"> </w:t>
      </w:r>
      <w:r>
        <w:t xml:space="preserve">Additive, but creates the two-sources-of-truth problem the rejected</w:t>
      </w:r>
      <w:r>
        <w:t xml:space="preserve"> </w:t>
      </w:r>
      <w:r>
        <w:rPr>
          <w:rStyle w:val="VerbatimChar"/>
        </w:rPr>
        <w:t xml:space="preserve">country_code</w:t>
      </w:r>
      <w:r>
        <w:t xml:space="preserve"> </w:t>
      </w:r>
      <w:r>
        <w:t xml:space="preserve">column (§5) exemplifies.</w:t>
      </w:r>
    </w:p>
    <w:p>
      <w:pPr>
        <w:numPr>
          <w:ilvl w:val="0"/>
          <w:numId w:val="1014"/>
        </w:numPr>
        <w:pStyle w:val="Compact"/>
      </w:pPr>
      <w:r>
        <w:rPr>
          <w:bCs/>
          <w:b/>
        </w:rPr>
        <w:t xml:space="preserve">Recommendation: DEFER</w:t>
      </w:r>
      <w:r>
        <w:t xml:space="preserve"> </w:t>
      </w:r>
      <w:r>
        <w:t xml:space="preserve">to v1.1, against query logs — the hardening plan’s C1 stands. v1.0 duplicate detection is served by C6’s checksum.</w:t>
      </w:r>
    </w:p>
    <w:bookmarkEnd w:id="36"/>
    <w:bookmarkStart w:id="37" w:name="c12-emissions_logs.facility_id"/>
    <w:p>
      <w:pPr>
        <w:pStyle w:val="Heading3"/>
      </w:pPr>
      <w:r>
        <w:t xml:space="preserve">C12 —</w:t>
      </w:r>
      <w:r>
        <w:t xml:space="preserve"> </w:t>
      </w:r>
      <w:r>
        <w:rPr>
          <w:rStyle w:val="VerbatimChar"/>
        </w:rPr>
        <w:t xml:space="preserve">emissions_logs.facility_id</w:t>
      </w:r>
    </w:p>
    <w:p>
      <w:pPr>
        <w:numPr>
          <w:ilvl w:val="0"/>
          <w:numId w:val="1015"/>
        </w:numPr>
        <w:pStyle w:val="Compact"/>
      </w:pPr>
      <w:r>
        <w:rPr>
          <w:bCs/>
          <w:b/>
        </w:rPr>
        <w:t xml:space="preserve">Current design.</w:t>
      </w:r>
      <w:r>
        <w:t xml:space="preserve"> </w:t>
      </w:r>
      <w:r>
        <w:rPr>
          <w:rStyle w:val="VerbatimChar"/>
        </w:rPr>
        <w:t xml:space="preserve">emissions_logs</w:t>
      </w:r>
      <w:r>
        <w:t xml:space="preserve"> </w:t>
      </w:r>
      <w:r>
        <w:t xml:space="preserve">attributes to</w:t>
      </w:r>
      <w:r>
        <w:t xml:space="preserve"> </w:t>
      </w:r>
      <w:r>
        <w:rPr>
          <w:rStyle w:val="VerbatimChar"/>
        </w:rPr>
        <w:t xml:space="preserve">asset_id</w:t>
      </w:r>
      <w:r>
        <w:t xml:space="preserve"> </w:t>
      </w:r>
      <w:r>
        <w:t xml:space="preserve">(nullable); facility rollups derive via</w:t>
      </w:r>
      <w:r>
        <w:t xml:space="preserve"> </w:t>
      </w:r>
      <w:r>
        <w:rPr>
          <w:rStyle w:val="VerbatimChar"/>
        </w:rPr>
        <w:t xml:space="preserve">assets.facility_id</w:t>
      </w:r>
      <w:r>
        <w:t xml:space="preserve">.</w:t>
      </w:r>
    </w:p>
    <w:p>
      <w:pPr>
        <w:numPr>
          <w:ilvl w:val="0"/>
          <w:numId w:val="1015"/>
        </w:numPr>
        <w:pStyle w:val="Compact"/>
      </w:pPr>
      <w:r>
        <w:rPr>
          <w:bCs/>
          <w:b/>
        </w:rPr>
        <w:t xml:space="preserve">Proposed design.</w:t>
      </w:r>
      <w:r>
        <w:t xml:space="preserve"> </w:t>
      </w:r>
      <w:r>
        <w:t xml:space="preserve">Would add a denormalised direct</w:t>
      </w:r>
      <w:r>
        <w:t xml:space="preserve"> </w:t>
      </w:r>
      <w:r>
        <w:rPr>
          <w:rStyle w:val="VerbatimChar"/>
        </w:rPr>
        <w:t xml:space="preserve">facility_id</w:t>
      </w:r>
      <w:r>
        <w:t xml:space="preserve"> </w:t>
      </w:r>
      <w:r>
        <w:t xml:space="preserve">column plus backfill and dual-write.</w:t>
      </w:r>
    </w:p>
    <w:p>
      <w:pPr>
        <w:numPr>
          <w:ilvl w:val="0"/>
          <w:numId w:val="1015"/>
        </w:numPr>
        <w:pStyle w:val="Compact"/>
      </w:pPr>
      <w:r>
        <w:rPr>
          <w:bCs/>
          <w:b/>
        </w:rPr>
        <w:t xml:space="preserve">Why the change is needed.</w:t>
      </w:r>
      <w:r>
        <w:t xml:space="preserve"> </w:t>
      </w:r>
      <w:r>
        <w:t xml:space="preserve">Site-level rollup performance and simpler reporting queries.</w:t>
      </w:r>
    </w:p>
    <w:p>
      <w:pPr>
        <w:numPr>
          <w:ilvl w:val="0"/>
          <w:numId w:val="1015"/>
        </w:numPr>
        <w:pStyle w:val="Compact"/>
      </w:pPr>
      <w:r>
        <w:rPr>
          <w:bCs/>
          <w:b/>
        </w:rPr>
        <w:t xml:space="preserve">Benefits.</w:t>
      </w:r>
      <w:r>
        <w:t xml:space="preserve"> </w:t>
      </w:r>
      <w:r>
        <w:t xml:space="preserve">One join fewer on site rollups.</w:t>
      </w:r>
    </w:p>
    <w:p>
      <w:pPr>
        <w:numPr>
          <w:ilvl w:val="0"/>
          <w:numId w:val="1015"/>
        </w:numPr>
        <w:pStyle w:val="Compact"/>
      </w:pPr>
      <w:r>
        <w:rPr>
          <w:bCs/>
          <w:b/>
        </w:rPr>
        <w:t xml:space="preserve">Risks.</w:t>
      </w:r>
      <w:r>
        <w:t xml:space="preserve"> </w:t>
      </w:r>
      <w:r>
        <w:t xml:space="preserve">Denormalisation drift (asset reassignment desynchronises the copy); backfill cost; the genuine defect — unattributable emissions via nullable</w:t>
      </w:r>
      <w:r>
        <w:t xml:space="preserve"> </w:t>
      </w:r>
      <w:r>
        <w:rPr>
          <w:rStyle w:val="VerbatimChar"/>
        </w:rPr>
        <w:t xml:space="preserve">asset_id</w:t>
      </w:r>
      <w:r>
        <w:t xml:space="preserve"> </w:t>
      </w:r>
      <w:r>
        <w:t xml:space="preserve">— is a write-path rule, not a column.</w:t>
      </w:r>
    </w:p>
    <w:p>
      <w:pPr>
        <w:numPr>
          <w:ilvl w:val="0"/>
          <w:numId w:val="1015"/>
        </w:numPr>
        <w:pStyle w:val="Compact"/>
      </w:pPr>
      <w:r>
        <w:rPr>
          <w:bCs/>
          <w:b/>
        </w:rPr>
        <w:t xml:space="preserve">Migration impact.</w:t>
      </w:r>
      <w:r>
        <w:t xml:space="preserve"> </w:t>
      </w:r>
      <w:r>
        <w:t xml:space="preserve">Medium: add, derive-backfill, dual-write.</w:t>
      </w:r>
    </w:p>
    <w:p>
      <w:pPr>
        <w:numPr>
          <w:ilvl w:val="0"/>
          <w:numId w:val="1015"/>
        </w:numPr>
        <w:pStyle w:val="Compact"/>
      </w:pPr>
      <w:r>
        <w:rPr>
          <w:bCs/>
          <w:b/>
        </w:rPr>
        <w:t xml:space="preserve">Application impact.</w:t>
      </w:r>
      <w:r>
        <w:t xml:space="preserve"> </w:t>
      </w:r>
      <w:r>
        <w:t xml:space="preserve">Every emissions write path maintains the copy.</w:t>
      </w:r>
    </w:p>
    <w:p>
      <w:pPr>
        <w:numPr>
          <w:ilvl w:val="0"/>
          <w:numId w:val="1015"/>
        </w:numPr>
        <w:pStyle w:val="Compact"/>
      </w:pPr>
      <w:r>
        <w:rPr>
          <w:bCs/>
          <w:b/>
        </w:rPr>
        <w:t xml:space="preserve">Backward compatibility.</w:t>
      </w:r>
      <w:r>
        <w:t xml:space="preserve"> </w:t>
      </w:r>
      <w:r>
        <w:t xml:space="preserve">Additive.</w:t>
      </w:r>
    </w:p>
    <w:p>
      <w:pPr>
        <w:numPr>
          <w:ilvl w:val="0"/>
          <w:numId w:val="1015"/>
        </w:numPr>
        <w:pStyle w:val="Compact"/>
      </w:pPr>
      <w:r>
        <w:rPr>
          <w:bCs/>
          <w:b/>
        </w:rPr>
        <w:t xml:space="preserve">Recommendation: DEFER</w:t>
      </w:r>
      <w:r>
        <w:t xml:space="preserve"> </w:t>
      </w:r>
      <w:r>
        <w:t xml:space="preserve">to v1.1 with dual-write if trivial; the API write rule against nullable</w:t>
      </w:r>
      <w:r>
        <w:t xml:space="preserve"> </w:t>
      </w:r>
      <w:r>
        <w:rPr>
          <w:rStyle w:val="VerbatimChar"/>
        </w:rPr>
        <w:t xml:space="preserve">asset_id</w:t>
      </w:r>
      <w:r>
        <w:t xml:space="preserve"> </w:t>
      </w:r>
      <w:r>
        <w:t xml:space="preserve">ships regardless (application layer, out of scope here).</w:t>
      </w:r>
    </w:p>
    <w:bookmarkEnd w:id="37"/>
    <w:bookmarkStart w:id="38" w:name="X3ed1fe37698880cd14b8c417147757a022fb040"/>
    <w:p>
      <w:pPr>
        <w:pStyle w:val="Heading3"/>
      </w:pPr>
      <w:r>
        <w:t xml:space="preserve">C13 —</w:t>
      </w:r>
      <w:r>
        <w:t xml:space="preserve"> </w:t>
      </w:r>
      <w:r>
        <w:rPr>
          <w:rStyle w:val="VerbatimChar"/>
        </w:rPr>
        <w:t xml:space="preserve">customer_documents.deleted_at</w:t>
      </w:r>
      <w:r>
        <w:t xml:space="preserve"> </w:t>
      </w:r>
      <w:r>
        <w:t xml:space="preserve">soft-delete</w:t>
      </w:r>
    </w:p>
    <w:p>
      <w:pPr>
        <w:numPr>
          <w:ilvl w:val="0"/>
          <w:numId w:val="1016"/>
        </w:numPr>
        <w:pStyle w:val="Compact"/>
      </w:pPr>
      <w:r>
        <w:rPr>
          <w:bCs/>
          <w:b/>
        </w:rPr>
        <w:t xml:space="preserve">Current design.</w:t>
      </w:r>
      <w:r>
        <w:t xml:space="preserve"> </w:t>
      </w:r>
      <w:r>
        <w:t xml:space="preserve">No soft-delete on the primary document entity.</w:t>
      </w:r>
    </w:p>
    <w:p>
      <w:pPr>
        <w:numPr>
          <w:ilvl w:val="0"/>
          <w:numId w:val="1016"/>
        </w:numPr>
        <w:pStyle w:val="Compact"/>
      </w:pPr>
      <w:r>
        <w:rPr>
          <w:bCs/>
          <w:b/>
        </w:rPr>
        <w:t xml:space="preserve">Proposed design.</w:t>
      </w:r>
      <w:r>
        <w:t xml:space="preserve"> </w:t>
      </w:r>
      <w:r>
        <w:t xml:space="preserve">Nullable</w:t>
      </w:r>
      <w:r>
        <w:t xml:space="preserve"> </w:t>
      </w:r>
      <w:r>
        <w:rPr>
          <w:rStyle w:val="VerbatimChar"/>
        </w:rPr>
        <w:t xml:space="preserve">deleted_at</w:t>
      </w:r>
      <w:r>
        <w:t xml:space="preserve"> </w:t>
      </w:r>
      <w:r>
        <w:t xml:space="preserve">timestamp with query/RLS filtering.</w:t>
      </w:r>
    </w:p>
    <w:p>
      <w:pPr>
        <w:numPr>
          <w:ilvl w:val="0"/>
          <w:numId w:val="1016"/>
        </w:numPr>
        <w:pStyle w:val="Compact"/>
      </w:pPr>
      <w:r>
        <w:rPr>
          <w:bCs/>
          <w:b/>
        </w:rPr>
        <w:t xml:space="preserve">Why the change is needed.</w:t>
      </w:r>
      <w:r>
        <w:t xml:space="preserve"> </w:t>
      </w:r>
      <w:r>
        <w:t xml:space="preserve">Recoverability of customer-deleted documents.</w:t>
      </w:r>
    </w:p>
    <w:p>
      <w:pPr>
        <w:numPr>
          <w:ilvl w:val="0"/>
          <w:numId w:val="1016"/>
        </w:numPr>
        <w:pStyle w:val="Compact"/>
      </w:pPr>
      <w:r>
        <w:rPr>
          <w:bCs/>
          <w:b/>
        </w:rPr>
        <w:t xml:space="preserve">Benefits.</w:t>
      </w:r>
      <w:r>
        <w:t xml:space="preserve"> </w:t>
      </w:r>
      <w:r>
        <w:t xml:space="preserve">Undo path; support recovery without backup restores.</w:t>
      </w:r>
    </w:p>
    <w:p>
      <w:pPr>
        <w:numPr>
          <w:ilvl w:val="0"/>
          <w:numId w:val="1016"/>
        </w:numPr>
        <w:pStyle w:val="Compact"/>
      </w:pPr>
      <w:r>
        <w:rPr>
          <w:bCs/>
          <w:b/>
        </w:rPr>
        <w:t xml:space="preserve">Risks.</w:t>
      </w:r>
      <w:r>
        <w:t xml:space="preserve"> </w:t>
      </w:r>
      <w:r>
        <w:t xml:space="preserve">Every document read path changes (filter discipline); partial adoption leaks deleted rows into totals.</w:t>
      </w:r>
    </w:p>
    <w:p>
      <w:pPr>
        <w:numPr>
          <w:ilvl w:val="0"/>
          <w:numId w:val="1016"/>
        </w:numPr>
        <w:pStyle w:val="Compact"/>
      </w:pPr>
      <w:r>
        <w:rPr>
          <w:bCs/>
          <w:b/>
        </w:rPr>
        <w:t xml:space="preserve">Migration impact.</w:t>
      </w:r>
      <w:r>
        <w:t xml:space="preserve"> </w:t>
      </w:r>
      <w:r>
        <w:t xml:space="preserve">Small structurally; Medium application-wide.</w:t>
      </w:r>
    </w:p>
    <w:p>
      <w:pPr>
        <w:numPr>
          <w:ilvl w:val="0"/>
          <w:numId w:val="1016"/>
        </w:numPr>
        <w:pStyle w:val="Compact"/>
      </w:pPr>
      <w:r>
        <w:rPr>
          <w:bCs/>
          <w:b/>
        </w:rPr>
        <w:t xml:space="preserve">Application impact.</w:t>
      </w:r>
      <w:r>
        <w:t xml:space="preserve"> </w:t>
      </w:r>
      <w:r>
        <w:t xml:space="preserve">All document reads filter — the reason it is not launch-gating.</w:t>
      </w:r>
    </w:p>
    <w:p>
      <w:pPr>
        <w:numPr>
          <w:ilvl w:val="0"/>
          <w:numId w:val="1016"/>
        </w:numPr>
        <w:pStyle w:val="Compact"/>
      </w:pPr>
      <w:r>
        <w:rPr>
          <w:bCs/>
          <w:b/>
        </w:rPr>
        <w:t xml:space="preserve">Backward compatibility.</w:t>
      </w:r>
      <w:r>
        <w:t xml:space="preserve"> </w:t>
      </w:r>
      <w:r>
        <w:t xml:space="preserve">Additive.</w:t>
      </w:r>
    </w:p>
    <w:p>
      <w:pPr>
        <w:numPr>
          <w:ilvl w:val="0"/>
          <w:numId w:val="1016"/>
        </w:numPr>
        <w:pStyle w:val="Compact"/>
      </w:pPr>
      <w:r>
        <w:rPr>
          <w:bCs/>
          <w:b/>
        </w:rPr>
        <w:t xml:space="preserve">Recommendation: DEFER</w:t>
      </w:r>
      <w:r>
        <w:t xml:space="preserve"> </w:t>
      </w:r>
      <w:r>
        <w:t xml:space="preserve">to the v1.0.x hardening window (per the plan’s B-window), early while the table is young; not a launch gate at pre-revenue volumes with backups.</w:t>
      </w:r>
    </w:p>
    <w:bookmarkEnd w:id="38"/>
    <w:bookmarkStart w:id="39" w:name="c14-per-user-2falockout-columns-on-users"/>
    <w:p>
      <w:pPr>
        <w:pStyle w:val="Heading3"/>
      </w:pPr>
      <w:r>
        <w:t xml:space="preserve">C14 — Per-user 2FA/lockout columns on</w:t>
      </w:r>
      <w:r>
        <w:t xml:space="preserve"> </w:t>
      </w:r>
      <w:r>
        <w:rPr>
          <w:rStyle w:val="VerbatimChar"/>
        </w:rPr>
        <w:t xml:space="preserve">users</w:t>
      </w:r>
    </w:p>
    <w:p>
      <w:pPr>
        <w:numPr>
          <w:ilvl w:val="0"/>
          <w:numId w:val="1017"/>
        </w:numPr>
        <w:pStyle w:val="Compact"/>
      </w:pPr>
      <w:r>
        <w:rPr>
          <w:bCs/>
          <w:b/>
        </w:rPr>
        <w:t xml:space="preserve">Current design.</w:t>
      </w:r>
      <w:r>
        <w:t xml:space="preserve"> </w:t>
      </w:r>
      <w:r>
        <w:rPr>
          <w:rStyle w:val="VerbatimChar"/>
        </w:rPr>
        <w:t xml:space="preserve">users</w:t>
      </w:r>
      <w:r>
        <w:t xml:space="preserve"> </w:t>
      </w:r>
      <w:r>
        <w:t xml:space="preserve">holds</w:t>
      </w:r>
      <w:r>
        <w:t xml:space="preserve"> </w:t>
      </w:r>
      <w:r>
        <w:rPr>
          <w:rStyle w:val="VerbatimChar"/>
        </w:rPr>
        <w:t xml:space="preserve">password_hash</w:t>
      </w:r>
      <w:r>
        <w:t xml:space="preserve"> </w:t>
      </w:r>
      <w:r>
        <w:t xml:space="preserve">(nullable; seeds show NULL, consistent with Supabase Auth as IdP) and no TOTP/lockout columns;</w:t>
      </w:r>
      <w:r>
        <w:t xml:space="preserve"> </w:t>
      </w:r>
      <w:r>
        <w:rPr>
          <w:rStyle w:val="VerbatimChar"/>
        </w:rPr>
        <w:t xml:space="preserve">system_settings</w:t>
      </w:r>
      <w:r>
        <w:t xml:space="preserve"> </w:t>
      </w:r>
      <w:r>
        <w:t xml:space="preserve">advertises global</w:t>
      </w:r>
      <w:r>
        <w:t xml:space="preserve"> </w:t>
      </w:r>
      <w:r>
        <w:rPr>
          <w:rStyle w:val="VerbatimChar"/>
        </w:rPr>
        <w:t xml:space="preserve">two_factor_required</w:t>
      </w:r>
      <w:r>
        <w:t xml:space="preserve">/</w:t>
      </w:r>
      <w:r>
        <w:rPr>
          <w:rStyle w:val="VerbatimChar"/>
        </w:rPr>
        <w:t xml:space="preserve">login_attempts_*</w:t>
      </w:r>
      <w:r>
        <w:t xml:space="preserve"> </w:t>
      </w:r>
      <w:r>
        <w:t xml:space="preserve">flags.</w:t>
      </w:r>
    </w:p>
    <w:p>
      <w:pPr>
        <w:numPr>
          <w:ilvl w:val="0"/>
          <w:numId w:val="1017"/>
        </w:numPr>
        <w:pStyle w:val="Compact"/>
      </w:pPr>
      <w:r>
        <w:rPr>
          <w:bCs/>
          <w:b/>
        </w:rPr>
        <w:t xml:space="preserve">Proposed design.</w:t>
      </w:r>
      <w:r>
        <w:t xml:space="preserve"> </w:t>
      </w:r>
      <w:r>
        <w:t xml:space="preserve">Would add</w:t>
      </w:r>
      <w:r>
        <w:t xml:space="preserve"> </w:t>
      </w:r>
      <w:r>
        <w:rPr>
          <w:rStyle w:val="VerbatimChar"/>
        </w:rPr>
        <w:t xml:space="preserve">totp_secret</w:t>
      </w:r>
      <w:r>
        <w:t xml:space="preserve">,</w:t>
      </w:r>
      <w:r>
        <w:t xml:space="preserve"> </w:t>
      </w:r>
      <w:r>
        <w:rPr>
          <w:rStyle w:val="VerbatimChar"/>
        </w:rPr>
        <w:t xml:space="preserve">two_factor_enabled</w:t>
      </w:r>
      <w:r>
        <w:t xml:space="preserve">,</w:t>
      </w:r>
      <w:r>
        <w:t xml:space="preserve"> </w:t>
      </w:r>
      <w:r>
        <w:rPr>
          <w:rStyle w:val="VerbatimChar"/>
        </w:rPr>
        <w:t xml:space="preserve">backup_codes</w:t>
      </w:r>
      <w:r>
        <w:t xml:space="preserve">,</w:t>
      </w:r>
      <w:r>
        <w:t xml:space="preserve"> </w:t>
      </w:r>
      <w:r>
        <w:rPr>
          <w:rStyle w:val="VerbatimChar"/>
        </w:rPr>
        <w:t xml:space="preserve">failed_login_attempts</w:t>
      </w:r>
      <w:r>
        <w:t xml:space="preserve">,</w:t>
      </w:r>
      <w:r>
        <w:t xml:space="preserve"> </w:t>
      </w:r>
      <w:r>
        <w:rPr>
          <w:rStyle w:val="VerbatimChar"/>
        </w:rPr>
        <w:t xml:space="preserve">locked_until</w:t>
      </w:r>
      <w:r>
        <w:t xml:space="preserve">.</w:t>
      </w:r>
    </w:p>
    <w:p>
      <w:pPr>
        <w:numPr>
          <w:ilvl w:val="0"/>
          <w:numId w:val="1017"/>
        </w:numPr>
        <w:pStyle w:val="Compact"/>
      </w:pPr>
      <w:r>
        <w:rPr>
          <w:bCs/>
          <w:b/>
        </w:rPr>
        <w:t xml:space="preserve">Why the change is needed.</w:t>
      </w:r>
      <w:r>
        <w:t xml:space="preserve"> </w:t>
      </w:r>
      <w:r>
        <w:t xml:space="preserve">The audit proposed them for per-user MFA enforcement.</w:t>
      </w:r>
    </w:p>
    <w:p>
      <w:pPr>
        <w:numPr>
          <w:ilvl w:val="0"/>
          <w:numId w:val="1017"/>
        </w:numPr>
        <w:pStyle w:val="Compact"/>
      </w:pPr>
      <w:r>
        <w:rPr>
          <w:bCs/>
          <w:b/>
        </w:rPr>
        <w:t xml:space="preserve">Benefits.</w:t>
      </w:r>
      <w:r>
        <w:t xml:space="preserve"> </w:t>
      </w:r>
      <w:r>
        <w:t xml:space="preserve">None that the platform does not already provide.</w:t>
      </w:r>
    </w:p>
    <w:p>
      <w:pPr>
        <w:numPr>
          <w:ilvl w:val="0"/>
          <w:numId w:val="1017"/>
        </w:numPr>
        <w:pStyle w:val="Compact"/>
      </w:pPr>
      <w:r>
        <w:rPr>
          <w:bCs/>
          <w:b/>
        </w:rPr>
        <w:t xml:space="preserve">Risks.</w:t>
      </w:r>
      <w:r>
        <w:t xml:space="preserve"> </w:t>
      </w:r>
      <w:r>
        <w:t xml:space="preserve">Parallel auth state in</w:t>
      </w:r>
      <w:r>
        <w:t xml:space="preserve"> </w:t>
      </w:r>
      <w:r>
        <w:rPr>
          <w:rStyle w:val="VerbatimChar"/>
        </w:rPr>
        <w:t xml:space="preserve">users</w:t>
      </w:r>
      <w:r>
        <w:t xml:space="preserve"> </w:t>
      </w:r>
      <w:r>
        <w:t xml:space="preserve">duplicates Supabase Auth’s</w:t>
      </w:r>
      <w:r>
        <w:t xml:space="preserve"> </w:t>
      </w:r>
      <w:r>
        <w:rPr>
          <w:rStyle w:val="VerbatimChar"/>
        </w:rPr>
        <w:t xml:space="preserve">auth.mfa_*</w:t>
      </w:r>
      <w:r>
        <w:t xml:space="preserve"> </w:t>
      </w:r>
      <w:r>
        <w:t xml:space="preserve">platform responsibility — a frozen ADR; two drifting credential/lockout truths; secrets at rest in the application schema.</w:t>
      </w:r>
    </w:p>
    <w:p>
      <w:pPr>
        <w:numPr>
          <w:ilvl w:val="0"/>
          <w:numId w:val="1017"/>
        </w:numPr>
        <w:pStyle w:val="Compact"/>
      </w:pPr>
      <w:r>
        <w:rPr>
          <w:bCs/>
          <w:b/>
        </w:rPr>
        <w:t xml:space="preserve">Migration impact.</w:t>
      </w:r>
      <w:r>
        <w:t xml:space="preserve"> </w:t>
      </w:r>
      <w:r>
        <w:t xml:space="preserve">— (not adopted).</w:t>
      </w:r>
    </w:p>
    <w:p>
      <w:pPr>
        <w:numPr>
          <w:ilvl w:val="0"/>
          <w:numId w:val="1017"/>
        </w:numPr>
        <w:pStyle w:val="Compact"/>
      </w:pPr>
      <w:r>
        <w:rPr>
          <w:bCs/>
          <w:b/>
        </w:rPr>
        <w:t xml:space="preserve">Application impact.</w:t>
      </w:r>
      <w:r>
        <w:t xml:space="preserve"> </w:t>
      </w:r>
      <w:r>
        <w:t xml:space="preserve">Would force auth-flow rewrites away from the platform.</w:t>
      </w:r>
    </w:p>
    <w:p>
      <w:pPr>
        <w:numPr>
          <w:ilvl w:val="0"/>
          <w:numId w:val="1017"/>
        </w:numPr>
        <w:pStyle w:val="Compact"/>
      </w:pPr>
      <w:r>
        <w:rPr>
          <w:bCs/>
          <w:b/>
        </w:rPr>
        <w:t xml:space="preserve">Backward compatibility.</w:t>
      </w:r>
      <w:r>
        <w:t xml:space="preserve"> </w:t>
      </w:r>
      <w:r>
        <w:t xml:space="preserve">N/A.</w:t>
      </w:r>
    </w:p>
    <w:p>
      <w:pPr>
        <w:numPr>
          <w:ilvl w:val="0"/>
          <w:numId w:val="1017"/>
        </w:numPr>
        <w:pStyle w:val="Compact"/>
      </w:pPr>
      <w:r>
        <w:rPr>
          <w:bCs/>
          <w:b/>
        </w:rPr>
        <w:t xml:space="preserve">Recommendation: REJECT</w:t>
      </w:r>
      <w:r>
        <w:t xml:space="preserve"> </w:t>
      </w:r>
      <w:r>
        <w:t xml:space="preserve">(ADR conflict — platform ownership). The v1.0 obligations are the</w:t>
      </w:r>
      <w:r>
        <w:t xml:space="preserve"> </w:t>
      </w:r>
      <w:r>
        <w:rPr>
          <w:rStyle w:val="VerbatimChar"/>
        </w:rPr>
        <w:t xml:space="preserve">users.password_hash</w:t>
      </w:r>
      <w:r>
        <w:t xml:space="preserve"> </w:t>
      </w:r>
      <w:r>
        <w:t xml:space="preserve">ownership decision (never write the column) and honest marketing of the global flags until the platform feature ships; both are application/config work.</w:t>
      </w:r>
    </w:p>
    <w:bookmarkEnd w:id="39"/>
    <w:bookmarkStart w:id="40" w:name="X976452a22c4622b29dc8b11e859abb5424ddc4d"/>
    <w:p>
      <w:pPr>
        <w:pStyle w:val="Heading3"/>
      </w:pPr>
      <w:r>
        <w:t xml:space="preserve">C15 —</w:t>
      </w:r>
      <w:r>
        <w:t xml:space="preserve"> </w:t>
      </w:r>
      <w:r>
        <w:rPr>
          <w:rStyle w:val="VerbatimChar"/>
        </w:rPr>
        <w:t xml:space="preserve">external_id</w:t>
      </w:r>
      <w:r>
        <w:t xml:space="preserve">/</w:t>
      </w:r>
      <w:r>
        <w:rPr>
          <w:rStyle w:val="VerbatimChar"/>
        </w:rPr>
        <w:t xml:space="preserve">integration_source</w:t>
      </w:r>
      <w:r>
        <w:t xml:space="preserve">/</w:t>
      </w:r>
      <w:r>
        <w:rPr>
          <w:rStyle w:val="VerbatimChar"/>
        </w:rPr>
        <w:t xml:space="preserve">last_synced_at</w:t>
      </w:r>
      <w:r>
        <w:t xml:space="preserve"> </w:t>
      </w:r>
      <w:r>
        <w:t xml:space="preserve">integration columns</w:t>
      </w:r>
    </w:p>
    <w:p>
      <w:pPr>
        <w:numPr>
          <w:ilvl w:val="0"/>
          <w:numId w:val="1018"/>
        </w:numPr>
        <w:pStyle w:val="Compact"/>
      </w:pPr>
      <w:r>
        <w:rPr>
          <w:bCs/>
          <w:b/>
        </w:rPr>
        <w:t xml:space="preserve">Current design.</w:t>
      </w:r>
      <w:r>
        <w:t xml:space="preserve"> </w:t>
      </w:r>
      <w:r>
        <w:t xml:space="preserve">No integration-identity columns on</w:t>
      </w:r>
      <w:r>
        <w:t xml:space="preserve"> </w:t>
      </w:r>
      <w:r>
        <w:rPr>
          <w:rStyle w:val="VerbatimChar"/>
        </w:rPr>
        <w:t xml:space="preserve">suppliers</w:t>
      </w:r>
      <w:r>
        <w:t xml:space="preserve">,</w:t>
      </w:r>
      <w:r>
        <w:t xml:space="preserve"> </w:t>
      </w:r>
      <w:r>
        <w:rPr>
          <w:rStyle w:val="VerbatimChar"/>
        </w:rPr>
        <w:t xml:space="preserve">organizations</w:t>
      </w:r>
      <w:r>
        <w:t xml:space="preserve">,</w:t>
      </w:r>
      <w:r>
        <w:t xml:space="preserve"> </w:t>
      </w:r>
      <w:r>
        <w:rPr>
          <w:rStyle w:val="VerbatimChar"/>
        </w:rPr>
        <w:t xml:space="preserve">customer_documents</w:t>
      </w:r>
      <w:r>
        <w:t xml:space="preserve"> </w:t>
      </w:r>
      <w:r>
        <w:t xml:space="preserve">or peers.</w:t>
      </w:r>
    </w:p>
    <w:p>
      <w:pPr>
        <w:numPr>
          <w:ilvl w:val="0"/>
          <w:numId w:val="1018"/>
        </w:numPr>
        <w:pStyle w:val="Compact"/>
      </w:pPr>
      <w:r>
        <w:rPr>
          <w:bCs/>
          <w:b/>
        </w:rPr>
        <w:t xml:space="preserve">Proposed design.</w:t>
      </w:r>
      <w:r>
        <w:t xml:space="preserve"> </w:t>
      </w:r>
      <w:r>
        <w:t xml:space="preserve">Would add speculative Xero/QBO sync columns across ~five tables.</w:t>
      </w:r>
    </w:p>
    <w:p>
      <w:pPr>
        <w:numPr>
          <w:ilvl w:val="0"/>
          <w:numId w:val="1018"/>
        </w:numPr>
        <w:pStyle w:val="Compact"/>
      </w:pPr>
      <w:r>
        <w:rPr>
          <w:bCs/>
          <w:b/>
        </w:rPr>
        <w:t xml:space="preserve">Why the change is needed.</w:t>
      </w:r>
      <w:r>
        <w:t xml:space="preserve"> </w:t>
      </w:r>
      <w:r>
        <w:t xml:space="preserve">Anticipated accounting integrations.</w:t>
      </w:r>
    </w:p>
    <w:p>
      <w:pPr>
        <w:numPr>
          <w:ilvl w:val="0"/>
          <w:numId w:val="1018"/>
        </w:numPr>
        <w:pStyle w:val="Compact"/>
      </w:pPr>
      <w:r>
        <w:rPr>
          <w:bCs/>
          <w:b/>
        </w:rPr>
        <w:t xml:space="preserve">Benefits.</w:t>
      </w:r>
      <w:r>
        <w:t xml:space="preserve"> </w:t>
      </w:r>
      <w:r>
        <w:t xml:space="preserve">None until a sync contract exists.</w:t>
      </w:r>
    </w:p>
    <w:p>
      <w:pPr>
        <w:numPr>
          <w:ilvl w:val="0"/>
          <w:numId w:val="1018"/>
        </w:numPr>
        <w:pStyle w:val="Compact"/>
      </w:pPr>
      <w:r>
        <w:rPr>
          <w:bCs/>
          <w:b/>
        </w:rPr>
        <w:t xml:space="preserve">Risks.</w:t>
      </w:r>
      <w:r>
        <w:t xml:space="preserve"> </w:t>
      </w:r>
      <w:r>
        <w:t xml:space="preserve">Speculative identity columns acquire improvised meanings the real integration must unpick;</w:t>
      </w:r>
      <w:r>
        <w:t xml:space="preserve"> </w:t>
      </w:r>
      <w:r>
        <w:rPr>
          <w:rStyle w:val="VerbatimChar"/>
        </w:rPr>
        <w:t xml:space="preserve">external_id</w:t>
      </w:r>
      <w:r>
        <w:t xml:space="preserve"> </w:t>
      </w:r>
      <w:r>
        <w:t xml:space="preserve">has no semantics pre-contract (YAGNI).</w:t>
      </w:r>
    </w:p>
    <w:p>
      <w:pPr>
        <w:numPr>
          <w:ilvl w:val="0"/>
          <w:numId w:val="1018"/>
        </w:numPr>
        <w:pStyle w:val="Compact"/>
      </w:pPr>
      <w:r>
        <w:rPr>
          <w:bCs/>
          <w:b/>
        </w:rPr>
        <w:t xml:space="preserve">Migration impact.</w:t>
      </w:r>
      <w:r>
        <w:t xml:space="preserve"> </w:t>
      </w:r>
      <w:r>
        <w:t xml:space="preserve">— (not adopted).</w:t>
      </w:r>
    </w:p>
    <w:p>
      <w:pPr>
        <w:numPr>
          <w:ilvl w:val="0"/>
          <w:numId w:val="1018"/>
        </w:numPr>
        <w:pStyle w:val="Compact"/>
      </w:pPr>
      <w:r>
        <w:rPr>
          <w:bCs/>
          <w:b/>
        </w:rPr>
        <w:t xml:space="preserve">Application impact.</w:t>
      </w:r>
      <w:r>
        <w:t xml:space="preserve"> </w:t>
      </w:r>
      <w:r>
        <w:t xml:space="preserve">None.</w:t>
      </w:r>
    </w:p>
    <w:p>
      <w:pPr>
        <w:numPr>
          <w:ilvl w:val="0"/>
          <w:numId w:val="1018"/>
        </w:numPr>
        <w:pStyle w:val="Compact"/>
      </w:pPr>
      <w:r>
        <w:rPr>
          <w:bCs/>
          <w:b/>
        </w:rPr>
        <w:t xml:space="preserve">Backward compatibility.</w:t>
      </w:r>
      <w:r>
        <w:t xml:space="preserve"> </w:t>
      </w:r>
      <w:r>
        <w:t xml:space="preserve">N/A.</w:t>
      </w:r>
    </w:p>
    <w:p>
      <w:pPr>
        <w:numPr>
          <w:ilvl w:val="0"/>
          <w:numId w:val="1018"/>
        </w:numPr>
        <w:pStyle w:val="Compact"/>
      </w:pPr>
      <w:r>
        <w:rPr>
          <w:bCs/>
          <w:b/>
        </w:rPr>
        <w:t xml:space="preserve">Recommendation: REJECT</w:t>
      </w:r>
      <w:r>
        <w:t xml:space="preserve"> </w:t>
      </w:r>
      <w:r>
        <w:t xml:space="preserve">(premature). Revisit when the first integration is scoped — columns ship with the contract, not before it.</w:t>
      </w:r>
    </w:p>
    <w:p>
      <w:r>
        <w:pict>
          <v:rect style="width:0;height:1.5pt" o:hralign="center" o:hrstd="t" o:hr="t"/>
        </w:pict>
      </w:r>
    </w:p>
    <w:bookmarkEnd w:id="40"/>
    <w:bookmarkEnd w:id="41"/>
    <w:bookmarkStart w:id="45" w:name="new-tables"/>
    <w:p>
      <w:pPr>
        <w:pStyle w:val="Heading2"/>
      </w:pPr>
      <w:r>
        <w:t xml:space="preserve">3. New Tables</w:t>
      </w:r>
    </w:p>
    <w:bookmarkStart w:id="42" w:name="Xe733957cb58a4f54f311e6bb9f76cbbb0410a4c"/>
    <w:p>
      <w:pPr>
        <w:pStyle w:val="Heading3"/>
      </w:pPr>
      <w:r>
        <w:t xml:space="preserve">T1 —</w:t>
      </w:r>
      <w:r>
        <w:t xml:space="preserve"> </w:t>
      </w:r>
      <w:r>
        <w:rPr>
          <w:rStyle w:val="VerbatimChar"/>
        </w:rPr>
        <w:t xml:space="preserve">emission_factor_sets</w:t>
      </w:r>
      <w:r>
        <w:t xml:space="preserve"> </w:t>
      </w:r>
      <w:r>
        <w:t xml:space="preserve">/ factor-jurisdiction mapping table</w:t>
      </w:r>
    </w:p>
    <w:p>
      <w:pPr>
        <w:numPr>
          <w:ilvl w:val="0"/>
          <w:numId w:val="1019"/>
        </w:numPr>
        <w:pStyle w:val="Compact"/>
      </w:pPr>
      <w:r>
        <w:rPr>
          <w:bCs/>
          <w:b/>
        </w:rPr>
        <w:t xml:space="preserve">Current design.</w:t>
      </w:r>
      <w:r>
        <w:t xml:space="preserve"> </w:t>
      </w:r>
      <w:r>
        <w:t xml:space="preserve">Factors live in one table (</w:t>
      </w:r>
      <w:r>
        <w:rPr>
          <w:rStyle w:val="VerbatimChar"/>
        </w:rPr>
        <w:t xml:space="preserve">defra_conversion_factors</w:t>
      </w:r>
      <w:r>
        <w:t xml:space="preserve">, →</w:t>
      </w:r>
      <w:r>
        <w:t xml:space="preserve"> </w:t>
      </w:r>
      <w:r>
        <w:rPr>
          <w:rStyle w:val="VerbatimChar"/>
        </w:rPr>
        <w:t xml:space="preserve">emission_factors</w:t>
      </w:r>
      <w:r>
        <w:t xml:space="preserve">);</w:t>
      </w:r>
      <w:r>
        <w:t xml:space="preserve"> </w:t>
      </w:r>
      <w:r>
        <w:rPr>
          <w:rStyle w:val="VerbatimChar"/>
        </w:rPr>
        <w:t xml:space="preserve">system_settings.default_emission_factor_set</w:t>
      </w:r>
      <w:r>
        <w:t xml:space="preserve"> </w:t>
      </w:r>
      <w:r>
        <w:t xml:space="preserve">is a free-text varchar with nothing to reference.</w:t>
      </w:r>
    </w:p>
    <w:p>
      <w:pPr>
        <w:numPr>
          <w:ilvl w:val="0"/>
          <w:numId w:val="1019"/>
        </w:numPr>
        <w:pStyle w:val="Compact"/>
      </w:pPr>
      <w:r>
        <w:rPr>
          <w:bCs/>
          <w:b/>
        </w:rPr>
        <w:t xml:space="preserve">Proposed design.</w:t>
      </w:r>
      <w:r>
        <w:t xml:space="preserve"> </w:t>
      </w:r>
      <w:r>
        <w:t xml:space="preserve">Would add a</w:t>
      </w:r>
      <w:r>
        <w:t xml:space="preserve"> </w:t>
      </w:r>
      <w:r>
        <w:rPr>
          <w:rStyle w:val="VerbatimChar"/>
        </w:rPr>
        <w:t xml:space="preserve">factor_sets</w:t>
      </w:r>
      <w:r>
        <w:t xml:space="preserve"> </w:t>
      </w:r>
      <w:r>
        <w:t xml:space="preserve">parent table (id, jurisdiction, source authority, vintage year) with factors FK’d to it.</w:t>
      </w:r>
    </w:p>
    <w:p>
      <w:pPr>
        <w:numPr>
          <w:ilvl w:val="0"/>
          <w:numId w:val="1019"/>
        </w:numPr>
        <w:pStyle w:val="Compact"/>
      </w:pPr>
      <w:r>
        <w:rPr>
          <w:bCs/>
          <w:b/>
        </w:rPr>
        <w:t xml:space="preserve">Why the change is needed.</w:t>
      </w:r>
      <w:r>
        <w:t xml:space="preserve"> </w:t>
      </w:r>
      <w:r>
        <w:t xml:space="preserve">Argued as the</w:t>
      </w:r>
      <w:r>
        <w:t xml:space="preserve"> </w:t>
      </w:r>
      <w:r>
        <w:t xml:space="preserve">“</w:t>
      </w:r>
      <w:r>
        <w:t xml:space="preserve">clean</w:t>
      </w:r>
      <w:r>
        <w:t xml:space="preserve">”</w:t>
      </w:r>
      <w:r>
        <w:t xml:space="preserve"> </w:t>
      </w:r>
      <w:r>
        <w:t xml:space="preserve">normal form for multi-jurisdiction factors.</w:t>
      </w:r>
    </w:p>
    <w:p>
      <w:pPr>
        <w:numPr>
          <w:ilvl w:val="0"/>
          <w:numId w:val="1019"/>
        </w:numPr>
        <w:pStyle w:val="Compact"/>
      </w:pPr>
      <w:r>
        <w:rPr>
          <w:bCs/>
          <w:b/>
        </w:rPr>
        <w:t xml:space="preserve">Benefits.</w:t>
      </w:r>
      <w:r>
        <w:t xml:space="preserve"> </w:t>
      </w:r>
      <w:r>
        <w:t xml:space="preserve">Referential integrity on the set pointer; a place for set-level metadata.</w:t>
      </w:r>
    </w:p>
    <w:p>
      <w:pPr>
        <w:numPr>
          <w:ilvl w:val="0"/>
          <w:numId w:val="1019"/>
        </w:numPr>
        <w:pStyle w:val="Compact"/>
      </w:pPr>
      <w:r>
        <w:rPr>
          <w:bCs/>
          <w:b/>
        </w:rPr>
        <w:t xml:space="preserve">Risks.</w:t>
      </w:r>
      <w:r>
        <w:t xml:space="preserve"> </w:t>
      </w:r>
      <w:r>
        <w:t xml:space="preserve">Over-modelling at two jurisdictions: the same semantics are carried by C4’s</w:t>
      </w:r>
      <w:r>
        <w:t xml:space="preserve"> </w:t>
      </w:r>
      <w:r>
        <w:rPr>
          <w:rStyle w:val="VerbatimChar"/>
        </w:rPr>
        <w:t xml:space="preserve">country</w:t>
      </w:r>
      <w:r>
        <w:t xml:space="preserve"> </w:t>
      </w:r>
      <w:r>
        <w:t xml:space="preserve">+</w:t>
      </w:r>
      <w:r>
        <w:t xml:space="preserve"> </w:t>
      </w:r>
      <w:r>
        <w:rPr>
          <w:rStyle w:val="VerbatimChar"/>
        </w:rPr>
        <w:t xml:space="preserve">factor_set</w:t>
      </w:r>
      <w:r>
        <w:t xml:space="preserve"> </w:t>
      </w:r>
      <w:r>
        <w:t xml:space="preserve">+</w:t>
      </w:r>
      <w:r>
        <w:t xml:space="preserve"> </w:t>
      </w:r>
      <w:r>
        <w:rPr>
          <w:rStyle w:val="VerbatimChar"/>
        </w:rPr>
        <w:t xml:space="preserve">factor_source</w:t>
      </w:r>
      <w:r>
        <w:t xml:space="preserve"> </w:t>
      </w:r>
      <w:r>
        <w:t xml:space="preserve">columns at one-tenth the cost; a new table forces join changes across the calculation path; at two rows (</w:t>
      </w:r>
      <w:r>
        <w:t xml:space="preserve">‘</w:t>
      </w:r>
      <w:r>
        <w:t xml:space="preserve">GB set</w:t>
      </w:r>
      <w:r>
        <w:t xml:space="preserve">’</w:t>
      </w:r>
      <w:r>
        <w:t xml:space="preserve">,</w:t>
      </w:r>
      <w:r>
        <w:t xml:space="preserve"> </w:t>
      </w:r>
      <w:r>
        <w:t xml:space="preserve">‘</w:t>
      </w:r>
      <w:r>
        <w:t xml:space="preserve">IE set</w:t>
      </w:r>
      <w:r>
        <w:t xml:space="preserve">’</w:t>
      </w:r>
      <w:r>
        <w:t xml:space="preserve">) the table is ceremony. The explicit instruction for this review is to prefer the simpler option — the columns win.</w:t>
      </w:r>
    </w:p>
    <w:p>
      <w:pPr>
        <w:numPr>
          <w:ilvl w:val="0"/>
          <w:numId w:val="1019"/>
        </w:numPr>
        <w:pStyle w:val="Compact"/>
      </w:pPr>
      <w:r>
        <w:rPr>
          <w:bCs/>
          <w:b/>
        </w:rPr>
        <w:t xml:space="preserve">Migration impact.</w:t>
      </w:r>
      <w:r>
        <w:t xml:space="preserve"> </w:t>
      </w:r>
      <w:r>
        <w:t xml:space="preserve">Medium: new table, back-population, FK migration on the factor table, join rewrites.</w:t>
      </w:r>
    </w:p>
    <w:p>
      <w:pPr>
        <w:numPr>
          <w:ilvl w:val="0"/>
          <w:numId w:val="1019"/>
        </w:numPr>
        <w:pStyle w:val="Compact"/>
      </w:pPr>
      <w:r>
        <w:rPr>
          <w:bCs/>
          <w:b/>
        </w:rPr>
        <w:t xml:space="preserve">Application impact.</w:t>
      </w:r>
      <w:r>
        <w:t xml:space="preserve"> </w:t>
      </w:r>
      <w:r>
        <w:t xml:space="preserve">Factor resolution rewritten to traverse the set.</w:t>
      </w:r>
    </w:p>
    <w:p>
      <w:pPr>
        <w:numPr>
          <w:ilvl w:val="0"/>
          <w:numId w:val="1019"/>
        </w:numPr>
        <w:pStyle w:val="Compact"/>
      </w:pPr>
      <w:r>
        <w:rPr>
          <w:bCs/>
          <w:b/>
        </w:rPr>
        <w:t xml:space="preserve">Backward compatibility.</w:t>
      </w:r>
      <w:r>
        <w:t xml:space="preserve"> </w:t>
      </w:r>
      <w:r>
        <w:t xml:space="preserve">N/A.</w:t>
      </w:r>
    </w:p>
    <w:p>
      <w:pPr>
        <w:numPr>
          <w:ilvl w:val="0"/>
          <w:numId w:val="1019"/>
        </w:numPr>
        <w:pStyle w:val="Compact"/>
      </w:pPr>
      <w:r>
        <w:rPr>
          <w:bCs/>
          <w:b/>
        </w:rPr>
        <w:t xml:space="preserve">Recommendation: REJECT.</w:t>
      </w:r>
      <w:r>
        <w:t xml:space="preserve"> </w:t>
      </w:r>
      <w:r>
        <w:t xml:space="preserve">C4’s columns are the minimal sufficient v1.1 enabler; if a third jurisdiction or per-set metadata ever materialises, promotion to a table remains possible later from clean column data.</w:t>
      </w:r>
    </w:p>
    <w:bookmarkEnd w:id="42"/>
    <w:bookmarkStart w:id="43" w:name="t2-audit-archive-table"/>
    <w:p>
      <w:pPr>
        <w:pStyle w:val="Heading3"/>
      </w:pPr>
      <w:r>
        <w:t xml:space="preserve">T2 — Audit-archive table</w:t>
      </w:r>
    </w:p>
    <w:p>
      <w:pPr>
        <w:numPr>
          <w:ilvl w:val="0"/>
          <w:numId w:val="1020"/>
        </w:numPr>
        <w:pStyle w:val="Compact"/>
      </w:pPr>
      <w:r>
        <w:rPr>
          <w:bCs/>
          <w:b/>
        </w:rPr>
        <w:t xml:space="preserve">Current design.</w:t>
      </w:r>
      <w:r>
        <w:t xml:space="preserve"> </w:t>
      </w:r>
      <w:r>
        <w:t xml:space="preserve">Nine-plus per-domain audit/activity log tables (</w:t>
      </w:r>
      <w:r>
        <w:rPr>
          <w:rStyle w:val="VerbatimChar"/>
        </w:rPr>
        <w:t xml:space="preserve">audit_logs</w:t>
      </w:r>
      <w:r>
        <w:t xml:space="preserve">,</w:t>
      </w:r>
      <w:r>
        <w:t xml:space="preserve"> </w:t>
      </w:r>
      <w:r>
        <w:rPr>
          <w:rStyle w:val="VerbatimChar"/>
        </w:rPr>
        <w:t xml:space="preserve">audit_trail</w:t>
      </w:r>
      <w:r>
        <w:t xml:space="preserve">,</w:t>
      </w:r>
      <w:r>
        <w:t xml:space="preserve"> </w:t>
      </w:r>
      <w:r>
        <w:rPr>
          <w:rStyle w:val="VerbatimChar"/>
        </w:rPr>
        <w:t xml:space="preserve">activity_logs</w:t>
      </w:r>
      <w:r>
        <w:t xml:space="preserve">,</w:t>
      </w:r>
      <w:r>
        <w:t xml:space="preserve"> </w:t>
      </w:r>
      <w:r>
        <w:rPr>
          <w:rStyle w:val="VerbatimChar"/>
        </w:rPr>
        <w:t xml:space="preserve">processing_audit_trail</w:t>
      </w:r>
      <w:r>
        <w:t xml:space="preserve">,</w:t>
      </w:r>
      <w:r>
        <w:t xml:space="preserve"> </w:t>
      </w:r>
      <w:r>
        <w:rPr>
          <w:rStyle w:val="VerbatimChar"/>
        </w:rPr>
        <w:t xml:space="preserve">review_audit_trail</w:t>
      </w:r>
      <w:r>
        <w:t xml:space="preserve">, etc.) hold live history; no archive tier exists.</w:t>
      </w:r>
    </w:p>
    <w:p>
      <w:pPr>
        <w:numPr>
          <w:ilvl w:val="0"/>
          <w:numId w:val="1020"/>
        </w:numPr>
        <w:pStyle w:val="Compact"/>
      </w:pPr>
      <w:r>
        <w:rPr>
          <w:bCs/>
          <w:b/>
        </w:rPr>
        <w:t xml:space="preserve">Proposed design.</w:t>
      </w:r>
      <w:r>
        <w:t xml:space="preserve"> </w:t>
      </w:r>
      <w:r>
        <w:t xml:space="preserve">A cold-storage archive table/partition family with retention-driven moves.</w:t>
      </w:r>
    </w:p>
    <w:p>
      <w:pPr>
        <w:numPr>
          <w:ilvl w:val="0"/>
          <w:numId w:val="1020"/>
        </w:numPr>
        <w:pStyle w:val="Compact"/>
      </w:pPr>
      <w:r>
        <w:rPr>
          <w:bCs/>
          <w:b/>
        </w:rPr>
        <w:t xml:space="preserve">Why the change is needed.</w:t>
      </w:r>
      <w:r>
        <w:t xml:space="preserve"> </w:t>
      </w:r>
      <w:r>
        <w:t xml:space="preserve">Anticipated log growth and retention posture.</w:t>
      </w:r>
    </w:p>
    <w:p>
      <w:pPr>
        <w:numPr>
          <w:ilvl w:val="0"/>
          <w:numId w:val="1020"/>
        </w:numPr>
        <w:pStyle w:val="Compact"/>
      </w:pPr>
      <w:r>
        <w:rPr>
          <w:bCs/>
          <w:b/>
        </w:rPr>
        <w:t xml:space="preserve">Benefits.</w:t>
      </w:r>
      <w:r>
        <w:t xml:space="preserve"> </w:t>
      </w:r>
      <w:r>
        <w:t xml:space="preserve">Bounds hot-table growth; cheaper cold storage.</w:t>
      </w:r>
    </w:p>
    <w:p>
      <w:pPr>
        <w:numPr>
          <w:ilvl w:val="0"/>
          <w:numId w:val="1020"/>
        </w:numPr>
        <w:pStyle w:val="Compact"/>
      </w:pPr>
      <w:r>
        <w:rPr>
          <w:bCs/>
          <w:b/>
        </w:rPr>
        <w:t xml:space="preserve">Risks.</w:t>
      </w:r>
      <w:r>
        <w:t xml:space="preserve"> </w:t>
      </w:r>
      <w:r>
        <w:t xml:space="preserve">Premature at projected volumes (low seven figures after year one); retention DELETEs plus pg_cron jobs (v1.0.x window) deliver the same bound without new structure; an archive tier is operational surface a 50-customer SaaS does not need.</w:t>
      </w:r>
    </w:p>
    <w:p>
      <w:pPr>
        <w:numPr>
          <w:ilvl w:val="0"/>
          <w:numId w:val="1020"/>
        </w:numPr>
        <w:pStyle w:val="Compact"/>
      </w:pPr>
      <w:r>
        <w:rPr>
          <w:bCs/>
          <w:b/>
        </w:rPr>
        <w:t xml:space="preserve">Migration impact.</w:t>
      </w:r>
      <w:r>
        <w:t xml:space="preserve"> </w:t>
      </w:r>
      <w:r>
        <w:t xml:space="preserve">Medium when eventually built.</w:t>
      </w:r>
    </w:p>
    <w:p>
      <w:pPr>
        <w:numPr>
          <w:ilvl w:val="0"/>
          <w:numId w:val="1020"/>
        </w:numPr>
        <w:pStyle w:val="Compact"/>
      </w:pPr>
      <w:r>
        <w:rPr>
          <w:bCs/>
          <w:b/>
        </w:rPr>
        <w:t xml:space="preserve">Application impact.</w:t>
      </w:r>
      <w:r>
        <w:t xml:space="preserve"> </w:t>
      </w:r>
      <w:r>
        <w:t xml:space="preserve">Audit readers gain a second source.</w:t>
      </w:r>
    </w:p>
    <w:p>
      <w:pPr>
        <w:numPr>
          <w:ilvl w:val="0"/>
          <w:numId w:val="1020"/>
        </w:numPr>
        <w:pStyle w:val="Compact"/>
      </w:pPr>
      <w:r>
        <w:rPr>
          <w:bCs/>
          <w:b/>
        </w:rPr>
        <w:t xml:space="preserve">Backward compatibility.</w:t>
      </w:r>
      <w:r>
        <w:t xml:space="preserve"> </w:t>
      </w:r>
      <w:r>
        <w:t xml:space="preserve">N/A.</w:t>
      </w:r>
    </w:p>
    <w:p>
      <w:pPr>
        <w:numPr>
          <w:ilvl w:val="0"/>
          <w:numId w:val="1020"/>
        </w:numPr>
        <w:pStyle w:val="Compact"/>
      </w:pPr>
      <w:r>
        <w:rPr>
          <w:bCs/>
          <w:b/>
        </w:rPr>
        <w:t xml:space="preserve">Recommendation: DEFER</w:t>
      </w:r>
      <w:r>
        <w:t xml:space="preserve"> </w:t>
      </w:r>
      <w:r>
        <w:t xml:space="preserve">to v1.1+, triggered by measured log growth or vacuum pressure — the same revisit trigger documented for partitioning.</w:t>
      </w:r>
    </w:p>
    <w:bookmarkEnd w:id="43"/>
    <w:bookmarkStart w:id="44" w:name="t3-county-lookup-table"/>
    <w:p>
      <w:pPr>
        <w:pStyle w:val="Heading3"/>
      </w:pPr>
      <w:r>
        <w:t xml:space="preserve">T3 — County lookup table</w:t>
      </w:r>
    </w:p>
    <w:p>
      <w:pPr>
        <w:numPr>
          <w:ilvl w:val="0"/>
          <w:numId w:val="1021"/>
        </w:numPr>
        <w:pStyle w:val="Compact"/>
      </w:pPr>
      <w:r>
        <w:rPr>
          <w:bCs/>
          <w:b/>
        </w:rPr>
        <w:t xml:space="preserve">Current design.</w:t>
      </w:r>
      <w:r>
        <w:t xml:space="preserve"> </w:t>
      </w:r>
      <w:r>
        <w:rPr>
          <w:rStyle w:val="VerbatimChar"/>
        </w:rPr>
        <w:t xml:space="preserve">county</w:t>
      </w:r>
      <w:r>
        <w:t xml:space="preserve"> </w:t>
      </w:r>
      <w:r>
        <w:t xml:space="preserve">is free text on</w:t>
      </w:r>
      <w:r>
        <w:t xml:space="preserve"> </w:t>
      </w:r>
      <w:r>
        <w:rPr>
          <w:rStyle w:val="VerbatimChar"/>
        </w:rPr>
        <w:t xml:space="preserve">organizations</w:t>
      </w:r>
      <w:r>
        <w:t xml:space="preserve">,</w:t>
      </w:r>
      <w:r>
        <w:t xml:space="preserve"> </w:t>
      </w:r>
      <w:r>
        <w:rPr>
          <w:rStyle w:val="VerbatimChar"/>
        </w:rPr>
        <w:t xml:space="preserve">facilities</w:t>
      </w:r>
      <w:r>
        <w:t xml:space="preserve">,</w:t>
      </w:r>
      <w:r>
        <w:t xml:space="preserve"> </w:t>
      </w:r>
      <w:r>
        <w:rPr>
          <w:rStyle w:val="VerbatimChar"/>
        </w:rPr>
        <w:t xml:space="preserve">suppliers</w:t>
      </w:r>
      <w:r>
        <w:t xml:space="preserve">,</w:t>
      </w:r>
      <w:r>
        <w:t xml:space="preserve"> </w:t>
      </w:r>
      <w:r>
        <w:rPr>
          <w:rStyle w:val="VerbatimChar"/>
        </w:rPr>
        <w:t xml:space="preserve">consultant_profiles</w:t>
      </w:r>
      <w:r>
        <w:t xml:space="preserve">.</w:t>
      </w:r>
    </w:p>
    <w:p>
      <w:pPr>
        <w:numPr>
          <w:ilvl w:val="0"/>
          <w:numId w:val="1021"/>
        </w:numPr>
        <w:pStyle w:val="Compact"/>
      </w:pPr>
      <w:r>
        <w:rPr>
          <w:bCs/>
          <w:b/>
        </w:rPr>
        <w:t xml:space="preserve">Proposed design.</w:t>
      </w:r>
      <w:r>
        <w:t xml:space="preserve"> </w:t>
      </w:r>
      <w:r>
        <w:t xml:space="preserve">A lookup of 26 ROI + 6 NI + UK ceremonial counties with FKs.</w:t>
      </w:r>
    </w:p>
    <w:p>
      <w:pPr>
        <w:numPr>
          <w:ilvl w:val="0"/>
          <w:numId w:val="1021"/>
        </w:numPr>
        <w:pStyle w:val="Compact"/>
      </w:pPr>
      <w:r>
        <w:rPr>
          <w:bCs/>
          <w:b/>
        </w:rPr>
        <w:t xml:space="preserve">Why the change is needed.</w:t>
      </w:r>
      <w:r>
        <w:t xml:space="preserve"> </w:t>
      </w:r>
      <w:r>
        <w:t xml:space="preserve">Normalisation instinct from the audit.</w:t>
      </w:r>
    </w:p>
    <w:p>
      <w:pPr>
        <w:numPr>
          <w:ilvl w:val="0"/>
          <w:numId w:val="1021"/>
        </w:numPr>
        <w:pStyle w:val="Compact"/>
      </w:pPr>
      <w:r>
        <w:rPr>
          <w:bCs/>
          <w:b/>
        </w:rPr>
        <w:t xml:space="preserve">Benefits.</w:t>
      </w:r>
      <w:r>
        <w:t xml:space="preserve"> </w:t>
      </w:r>
      <w:r>
        <w:t xml:space="preserve">Clean faceting, if anything ever faceted on county.</w:t>
      </w:r>
    </w:p>
    <w:p>
      <w:pPr>
        <w:numPr>
          <w:ilvl w:val="0"/>
          <w:numId w:val="1021"/>
        </w:numPr>
        <w:pStyle w:val="Compact"/>
      </w:pPr>
      <w:r>
        <w:rPr>
          <w:bCs/>
          <w:b/>
        </w:rPr>
        <w:t xml:space="preserve">Risks.</w:t>
      </w:r>
      <w:r>
        <w:t xml:space="preserve"> </w:t>
      </w:r>
      <w:r>
        <w:t xml:space="preserve">Nothing in v1.0 or v1.1 computes from</w:t>
      </w:r>
      <w:r>
        <w:t xml:space="preserve"> </w:t>
      </w:r>
      <w:r>
        <w:rPr>
          <w:rStyle w:val="VerbatimChar"/>
        </w:rPr>
        <w:t xml:space="preserve">county</w:t>
      </w:r>
      <w:r>
        <w:t xml:space="preserve"> </w:t>
      </w:r>
      <w:r>
        <w:t xml:space="preserve">— it is display data in both markets; neither Royal Mail nor Eircode routing requires it; imports Dublin city/county and Derry/Londonderry edge-case debt for zero consumers; a maintenance artefact in search of a requirement.</w:t>
      </w:r>
    </w:p>
    <w:p>
      <w:pPr>
        <w:numPr>
          <w:ilvl w:val="0"/>
          <w:numId w:val="1021"/>
        </w:numPr>
        <w:pStyle w:val="Compact"/>
      </w:pPr>
      <w:r>
        <w:rPr>
          <w:bCs/>
          <w:b/>
        </w:rPr>
        <w:t xml:space="preserve">Migration impact.</w:t>
      </w:r>
      <w:r>
        <w:t xml:space="preserve"> </w:t>
      </w:r>
      <w:r>
        <w:t xml:space="preserve">— (not adopted).</w:t>
      </w:r>
    </w:p>
    <w:p>
      <w:pPr>
        <w:numPr>
          <w:ilvl w:val="0"/>
          <w:numId w:val="1021"/>
        </w:numPr>
        <w:pStyle w:val="Compact"/>
      </w:pPr>
      <w:r>
        <w:rPr>
          <w:bCs/>
          <w:b/>
        </w:rPr>
        <w:t xml:space="preserve">Application impact.</w:t>
      </w:r>
      <w:r>
        <w:t xml:space="preserve"> </w:t>
      </w:r>
      <w:r>
        <w:t xml:space="preserve">Would force dropdown UX on four forms.</w:t>
      </w:r>
    </w:p>
    <w:p>
      <w:pPr>
        <w:numPr>
          <w:ilvl w:val="0"/>
          <w:numId w:val="1021"/>
        </w:numPr>
        <w:pStyle w:val="Compact"/>
      </w:pPr>
      <w:r>
        <w:rPr>
          <w:bCs/>
          <w:b/>
        </w:rPr>
        <w:t xml:space="preserve">Backward compatibility.</w:t>
      </w:r>
      <w:r>
        <w:t xml:space="preserve"> </w:t>
      </w:r>
      <w:r>
        <w:t xml:space="preserve">N/A.</w:t>
      </w:r>
    </w:p>
    <w:p>
      <w:pPr>
        <w:numPr>
          <w:ilvl w:val="0"/>
          <w:numId w:val="1021"/>
        </w:numPr>
        <w:pStyle w:val="Compact"/>
      </w:pPr>
      <w:r>
        <w:rPr>
          <w:bCs/>
          <w:b/>
        </w:rPr>
        <w:t xml:space="preserve">Recommendation: REJECT</w:t>
      </w:r>
      <w:r>
        <w:t xml:space="preserve"> </w:t>
      </w:r>
      <w:r>
        <w:t xml:space="preserve">(low value, maintenance burden). County normalisation arrives free with the v1.1 address-verification loop;</w:t>
      </w:r>
      <w:r>
        <w:t xml:space="preserve"> </w:t>
      </w:r>
      <w:r>
        <w:rPr>
          <w:rStyle w:val="VerbatimChar"/>
        </w:rPr>
        <w:t xml:space="preserve">county</w:t>
      </w:r>
      <w:r>
        <w:t xml:space="preserve"> </w:t>
      </w:r>
      <w:r>
        <w:t xml:space="preserve">stays free text.</w:t>
      </w:r>
    </w:p>
    <w:p>
      <w:r>
        <w:pict>
          <v:rect style="width:0;height:1.5pt" o:hralign="center" o:hrstd="t" o:hr="t"/>
        </w:pict>
      </w:r>
    </w:p>
    <w:bookmarkEnd w:id="44"/>
    <w:bookmarkEnd w:id="45"/>
    <w:bookmarkStart w:id="52" w:name="indexes"/>
    <w:p>
      <w:pPr>
        <w:pStyle w:val="Heading2"/>
      </w:pPr>
      <w:r>
        <w:t xml:space="preserve">4. Indexes</w:t>
      </w:r>
    </w:p>
    <w:p>
      <w:pPr>
        <w:pStyle w:val="FirstParagraph"/>
      </w:pPr>
      <w:r>
        <w:rPr>
          <w:iCs/>
          <w:i/>
        </w:rPr>
        <w:t xml:space="preserve">The dump shows no indexes at all. Per the hardening plan’s</w:t>
      </w:r>
      <w:r>
        <w:rPr>
          <w:iCs/>
          <w:i/>
        </w:rPr>
        <w:t xml:space="preserve"> </w:t>
      </w:r>
      <w:r>
        <w:rPr>
          <w:iCs/>
          <w:i/>
        </w:rPr>
        <w:t xml:space="preserve">“</w:t>
      </w:r>
      <w:r>
        <w:rPr>
          <w:iCs/>
          <w:i/>
        </w:rPr>
        <w:t xml:space="preserve">action zero</w:t>
      </w:r>
      <w:r>
        <w:rPr>
          <w:iCs/>
          <w:i/>
        </w:rPr>
        <w:t xml:space="preserve">”</w:t>
      </w:r>
      <w:r>
        <w:rPr>
          <w:iCs/>
          <w:i/>
        </w:rPr>
        <w:t xml:space="preserve">, the Supabase migration files must be inspected first: if an index layer already exists, each family below collapses from</w:t>
      </w:r>
      <w:r>
        <w:rPr>
          <w:iCs/>
          <w:i/>
        </w:rPr>
        <w:t xml:space="preserve"> </w:t>
      </w:r>
      <w:r>
        <w:rPr>
          <w:iCs/>
          <w:i/>
        </w:rPr>
        <w:t xml:space="preserve">“</w:t>
      </w:r>
      <w:r>
        <w:rPr>
          <w:iCs/>
          <w:i/>
        </w:rPr>
        <w:t xml:space="preserve">build</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verify against this list</w:t>
      </w:r>
      <w:r>
        <w:rPr>
          <w:iCs/>
          <w:i/>
        </w:rPr>
        <w:t xml:space="preserve">”</w:t>
      </w:r>
      <w:r>
        <w:rPr>
          <w:iCs/>
          <w:i/>
        </w:rPr>
        <w:t xml:space="preserve">. All builds are CONCURRENT, each in its own transaction. Attributes 3–9 are shared across each family where identical and are stated once.</w:t>
      </w:r>
    </w:p>
    <w:bookmarkStart w:id="46" w:name="Xa8a593709ace8f9a7a2be27abad8da325313f49"/>
    <w:p>
      <w:pPr>
        <w:pStyle w:val="Heading3"/>
      </w:pPr>
      <w:r>
        <w:t xml:space="preserve">I1 — Tenant composite family:</w:t>
      </w:r>
      <w:r>
        <w:t xml:space="preserve"> </w:t>
      </w:r>
      <w:r>
        <w:rPr>
          <w:rStyle w:val="VerbatimChar"/>
        </w:rPr>
        <w:t xml:space="preserve">customer_documents(organization_id, created_at DESC)</w:t>
      </w:r>
      <w:r>
        <w:t xml:space="preserve">,</w:t>
      </w:r>
      <w:r>
        <w:t xml:space="preserve"> </w:t>
      </w:r>
      <w:r>
        <w:rPr>
          <w:rStyle w:val="VerbatimChar"/>
        </w:rPr>
        <w:t xml:space="preserve">emissions_logs(organization_id, start_date)</w:t>
      </w:r>
      <w:r>
        <w:t xml:space="preserve">,</w:t>
      </w:r>
      <w:r>
        <w:t xml:space="preserve"> </w:t>
      </w:r>
      <w:r>
        <w:rPr>
          <w:rStyle w:val="VerbatimChar"/>
        </w:rPr>
        <w:t xml:space="preserve">suppliers(organization_id)</w:t>
      </w:r>
      <w:r>
        <w:t xml:space="preserve">,</w:t>
      </w:r>
      <w:r>
        <w:t xml:space="preserve"> </w:t>
      </w:r>
      <w:r>
        <w:rPr>
          <w:rStyle w:val="VerbatimChar"/>
        </w:rPr>
        <w:t xml:space="preserve">facilities(organization_id)</w:t>
      </w:r>
    </w:p>
    <w:p>
      <w:pPr>
        <w:numPr>
          <w:ilvl w:val="0"/>
          <w:numId w:val="1022"/>
        </w:numPr>
        <w:pStyle w:val="Compact"/>
      </w:pPr>
      <w:r>
        <w:rPr>
          <w:bCs/>
          <w:b/>
        </w:rPr>
        <w:t xml:space="preserve">Current design.</w:t>
      </w:r>
      <w:r>
        <w:t xml:space="preserve"> </w:t>
      </w:r>
      <w:r>
        <w:t xml:space="preserve">No indexes visible in the dump on the four hot tenant tables’ RLS-join paths.</w:t>
      </w:r>
    </w:p>
    <w:p>
      <w:pPr>
        <w:numPr>
          <w:ilvl w:val="0"/>
          <w:numId w:val="1022"/>
        </w:numPr>
        <w:pStyle w:val="Compact"/>
      </w:pPr>
      <w:r>
        <w:rPr>
          <w:bCs/>
          <w:b/>
        </w:rPr>
        <w:t xml:space="preserve">Proposed design.</w:t>
      </w:r>
      <w:r>
        <w:t xml:space="preserve"> </w:t>
      </w:r>
      <w:r>
        <w:t xml:space="preserve">Four B-tree indexes keyed on the tenant column, with the ordering column matching the dominant list/rollup query on the two pipeline tables.</w:t>
      </w:r>
    </w:p>
    <w:p>
      <w:pPr>
        <w:numPr>
          <w:ilvl w:val="0"/>
          <w:numId w:val="1022"/>
        </w:numPr>
        <w:pStyle w:val="Compact"/>
      </w:pPr>
      <w:r>
        <w:rPr>
          <w:bCs/>
          <w:b/>
        </w:rPr>
        <w:t xml:space="preserve">Why the change is needed.</w:t>
      </w:r>
      <w:r>
        <w:t xml:space="preserve"> </w:t>
      </w:r>
      <w:r>
        <w:t xml:space="preserve">Every customer screen and every RLS policy joins on</w:t>
      </w:r>
      <w:r>
        <w:t xml:space="preserve"> </w:t>
      </w:r>
      <w:r>
        <w:rPr>
          <w:rStyle w:val="VerbatimChar"/>
        </w:rPr>
        <w:t xml:space="preserve">organization_id</w:t>
      </w:r>
      <w:r>
        <w:t xml:space="preserve">; without these, document lists, emissions aggregations and supplier/facility pickers seq-scan growing tables, and RLS join evaluation degrades with them.</w:t>
      </w:r>
    </w:p>
    <w:p>
      <w:pPr>
        <w:numPr>
          <w:ilvl w:val="0"/>
          <w:numId w:val="1022"/>
        </w:numPr>
        <w:pStyle w:val="Compact"/>
      </w:pPr>
      <w:r>
        <w:rPr>
          <w:bCs/>
          <w:b/>
        </w:rPr>
        <w:t xml:space="preserve">Benefits.</w:t>
      </w:r>
      <w:r>
        <w:t xml:space="preserve"> </w:t>
      </w:r>
      <w:r>
        <w:t xml:space="preserve">Predictable p95 on the launch screens; efficient RLS-join evaluation; the emissions aggregation the UK reporting flow depends on becomes index-served.</w:t>
      </w:r>
    </w:p>
    <w:p>
      <w:pPr>
        <w:numPr>
          <w:ilvl w:val="0"/>
          <w:numId w:val="1022"/>
        </w:numPr>
        <w:pStyle w:val="Compact"/>
      </w:pPr>
      <w:r>
        <w:rPr>
          <w:bCs/>
          <w:b/>
        </w:rPr>
        <w:t xml:space="preserve">Risks.</w:t>
      </w:r>
      <w:r>
        <w:t xml:space="preserve"> </w:t>
      </w:r>
      <w:r>
        <w:t xml:space="preserve">Write amplification on the pipeline’s hot path — four indexes is the disciplined minimum, not the blanket programme (I6); risk accepted.</w:t>
      </w:r>
    </w:p>
    <w:p>
      <w:pPr>
        <w:numPr>
          <w:ilvl w:val="0"/>
          <w:numId w:val="1022"/>
        </w:numPr>
        <w:pStyle w:val="Compact"/>
      </w:pPr>
      <w:r>
        <w:rPr>
          <w:bCs/>
          <w:b/>
        </w:rPr>
        <w:t xml:space="preserve">Migration impact.</w:t>
      </w:r>
      <w:r>
        <w:t xml:space="preserve"> </w:t>
      </w:r>
      <w:r>
        <w:t xml:space="preserve">Medium effort, Low risk: CONCURRENT builds; caveat — verify the migration files do not already contain them.</w:t>
      </w:r>
    </w:p>
    <w:p>
      <w:pPr>
        <w:numPr>
          <w:ilvl w:val="0"/>
          <w:numId w:val="1022"/>
        </w:numPr>
        <w:pStyle w:val="Compact"/>
      </w:pPr>
      <w:r>
        <w:rPr>
          <w:bCs/>
          <w:b/>
        </w:rPr>
        <w:t xml:space="preserve">Application impact.</w:t>
      </w:r>
      <w:r>
        <w:t xml:space="preserve"> </w:t>
      </w:r>
      <w:r>
        <w:t xml:space="preserve">None.</w:t>
      </w:r>
    </w:p>
    <w:p>
      <w:pPr>
        <w:numPr>
          <w:ilvl w:val="0"/>
          <w:numId w:val="1022"/>
        </w:numPr>
        <w:pStyle w:val="Compact"/>
      </w:pPr>
      <w:r>
        <w:rPr>
          <w:bCs/>
          <w:b/>
        </w:rPr>
        <w:t xml:space="preserve">Backward compatibility.</w:t>
      </w:r>
      <w:r>
        <w:t xml:space="preserve"> </w:t>
      </w:r>
      <w:r>
        <w:t xml:space="preserve">Fully compatible; indexes are transparent.</w:t>
      </w:r>
    </w:p>
    <w:p>
      <w:pPr>
        <w:numPr>
          <w:ilvl w:val="0"/>
          <w:numId w:val="1022"/>
        </w:numPr>
        <w:pStyle w:val="Compact"/>
      </w:pPr>
      <w:r>
        <w:rPr>
          <w:bCs/>
          <w:b/>
        </w:rPr>
        <w:t xml:space="preserve">Recommendation: APPROVE.</w:t>
      </w:r>
    </w:p>
    <w:bookmarkEnd w:id="46"/>
    <w:bookmarkStart w:id="47" w:name="X035b8cd8a6e5b563bef1e505c9bcd7097f56451"/>
    <w:p>
      <w:pPr>
        <w:pStyle w:val="Heading3"/>
      </w:pPr>
      <w:r>
        <w:t xml:space="preserve">I2 — Queue-claim partial family:</w:t>
      </w:r>
      <w:r>
        <w:t xml:space="preserve"> </w:t>
      </w:r>
      <w:r>
        <w:rPr>
          <w:rStyle w:val="VerbatimChar"/>
        </w:rPr>
        <w:t xml:space="preserve">document_processing_queue(status, created_at)</w:t>
      </w:r>
      <w:r>
        <w:t xml:space="preserve">,</w:t>
      </w:r>
      <w:r>
        <w:t xml:space="preserve"> </w:t>
      </w:r>
      <w:r>
        <w:rPr>
          <w:rStyle w:val="VerbatimChar"/>
        </w:rPr>
        <w:t xml:space="preserve">processing_queue(queue_status, …)</w:t>
      </w:r>
      <w:r>
        <w:t xml:space="preserve">,</w:t>
      </w:r>
      <w:r>
        <w:t xml:space="preserve"> </w:t>
      </w:r>
      <w:r>
        <w:rPr>
          <w:rStyle w:val="VerbatimChar"/>
        </w:rPr>
        <w:t xml:space="preserve">report_generation_queue</w:t>
      </w:r>
      <w:r>
        <w:t xml:space="preserve"> </w:t>
      </w:r>
      <w:r>
        <w:t xml:space="preserve">status path</w:t>
      </w:r>
    </w:p>
    <w:p>
      <w:pPr>
        <w:numPr>
          <w:ilvl w:val="0"/>
          <w:numId w:val="1023"/>
        </w:numPr>
        <w:pStyle w:val="Compact"/>
      </w:pPr>
      <w:r>
        <w:rPr>
          <w:bCs/>
          <w:b/>
        </w:rPr>
        <w:t xml:space="preserve">Current design.</w:t>
      </w:r>
      <w:r>
        <w:t xml:space="preserve"> </w:t>
      </w:r>
      <w:r>
        <w:t xml:space="preserve">No indexes visible on the worker-facing status columns (</w:t>
      </w:r>
      <w:r>
        <w:rPr>
          <w:rStyle w:val="VerbatimChar"/>
        </w:rPr>
        <w:t xml:space="preserve">document_processing_queue.status</w:t>
      </w:r>
      <w:r>
        <w:t xml:space="preserve">,</w:t>
      </w:r>
      <w:r>
        <w:t xml:space="preserve"> </w:t>
      </w:r>
      <w:r>
        <w:rPr>
          <w:rStyle w:val="VerbatimChar"/>
        </w:rPr>
        <w:t xml:space="preserve">processing_queue.queue_status</w:t>
      </w:r>
      <w:r>
        <w:t xml:space="preserve">, both varchar nullable).</w:t>
      </w:r>
    </w:p>
    <w:p>
      <w:pPr>
        <w:numPr>
          <w:ilvl w:val="0"/>
          <w:numId w:val="1023"/>
        </w:numPr>
        <w:pStyle w:val="Compact"/>
      </w:pPr>
      <w:r>
        <w:rPr>
          <w:bCs/>
          <w:b/>
        </w:rPr>
        <w:t xml:space="preserve">Proposed design.</w:t>
      </w:r>
      <w:r>
        <w:t xml:space="preserve"> </w:t>
      </w:r>
      <w:r>
        <w:t xml:space="preserve">Partial B-trees on the claim predicate (status plus FIFO ordering), restricted to unclaimed/active statuses so the index stays small and hot.</w:t>
      </w:r>
    </w:p>
    <w:p>
      <w:pPr>
        <w:numPr>
          <w:ilvl w:val="0"/>
          <w:numId w:val="1023"/>
        </w:numPr>
        <w:pStyle w:val="Compact"/>
      </w:pPr>
      <w:r>
        <w:rPr>
          <w:bCs/>
          <w:b/>
        </w:rPr>
        <w:t xml:space="preserve">Why the change is needed.</w:t>
      </w:r>
      <w:r>
        <w:t xml:space="preserve"> </w:t>
      </w:r>
      <w:r>
        <w:t xml:space="preserve">Workers poll these queues continuously; an unindexed claim query is the single hottest read pattern in the system and seq-scans the whole history of completed work on every poll.</w:t>
      </w:r>
    </w:p>
    <w:p>
      <w:pPr>
        <w:numPr>
          <w:ilvl w:val="0"/>
          <w:numId w:val="1023"/>
        </w:numPr>
        <w:pStyle w:val="Compact"/>
      </w:pPr>
      <w:r>
        <w:rPr>
          <w:bCs/>
          <w:b/>
        </w:rPr>
        <w:t xml:space="preserve">Benefits.</w:t>
      </w:r>
      <w:r>
        <w:t xml:space="preserve"> </w:t>
      </w:r>
      <w:r>
        <w:t xml:space="preserve">Constant-time claim polling regardless of completed-row accumulation; worker throughput decoupled from table age.</w:t>
      </w:r>
    </w:p>
    <w:p>
      <w:pPr>
        <w:numPr>
          <w:ilvl w:val="0"/>
          <w:numId w:val="1023"/>
        </w:numPr>
        <w:pStyle w:val="Compact"/>
      </w:pPr>
      <w:r>
        <w:rPr>
          <w:bCs/>
          <w:b/>
        </w:rPr>
        <w:t xml:space="preserve">Risks.</w:t>
      </w:r>
      <w:r>
        <w:t xml:space="preserve"> </w:t>
      </w:r>
      <w:r>
        <w:t xml:space="preserve">Partial indexes must match the claim predicate exactly or are silently unused — a query-plan check (the plan’s Gate 7) is the mitigation.</w:t>
      </w:r>
    </w:p>
    <w:p>
      <w:pPr>
        <w:numPr>
          <w:ilvl w:val="0"/>
          <w:numId w:val="1023"/>
        </w:numPr>
        <w:pStyle w:val="Compact"/>
      </w:pPr>
      <w:r>
        <w:rPr>
          <w:bCs/>
          <w:b/>
        </w:rPr>
        <w:t xml:space="preserve">Migration impact.</w:t>
      </w:r>
      <w:r>
        <w:t xml:space="preserve"> </w:t>
      </w:r>
      <w:r>
        <w:t xml:space="preserve">Medium/Low: CONCURRENT builds; migration-file verification caveat applies.</w:t>
      </w:r>
    </w:p>
    <w:p>
      <w:pPr>
        <w:numPr>
          <w:ilvl w:val="0"/>
          <w:numId w:val="1023"/>
        </w:numPr>
        <w:pStyle w:val="Compact"/>
      </w:pPr>
      <w:r>
        <w:rPr>
          <w:bCs/>
          <w:b/>
        </w:rPr>
        <w:t xml:space="preserve">Application impact.</w:t>
      </w:r>
      <w:r>
        <w:t xml:space="preserve"> </w:t>
      </w:r>
      <w:r>
        <w:t xml:space="preserve">None (the claim query already exists; the index serves it).</w:t>
      </w:r>
    </w:p>
    <w:p>
      <w:pPr>
        <w:numPr>
          <w:ilvl w:val="0"/>
          <w:numId w:val="1023"/>
        </w:numPr>
        <w:pStyle w:val="Compact"/>
      </w:pPr>
      <w:r>
        <w:rPr>
          <w:bCs/>
          <w:b/>
        </w:rPr>
        <w:t xml:space="preserve">Backward compatibility.</w:t>
      </w:r>
      <w:r>
        <w:t xml:space="preserve"> </w:t>
      </w:r>
      <w:r>
        <w:t xml:space="preserve">Fully compatible.</w:t>
      </w:r>
    </w:p>
    <w:p>
      <w:pPr>
        <w:numPr>
          <w:ilvl w:val="0"/>
          <w:numId w:val="1023"/>
        </w:numPr>
        <w:pStyle w:val="Compact"/>
      </w:pPr>
      <w:r>
        <w:rPr>
          <w:bCs/>
          <w:b/>
        </w:rPr>
        <w:t xml:space="preserve">Recommendation: APPROVE.</w:t>
      </w:r>
    </w:p>
    <w:bookmarkEnd w:id="47"/>
    <w:bookmarkStart w:id="48" w:name="X8059002c1fb0eafafd1b9abd264f08b21e64ebc"/>
    <w:p>
      <w:pPr>
        <w:pStyle w:val="Heading3"/>
      </w:pPr>
      <w:r>
        <w:t xml:space="preserve">I3 — Messaging/notifications family:</w:t>
      </w:r>
      <w:r>
        <w:t xml:space="preserve"> </w:t>
      </w:r>
      <w:r>
        <w:rPr>
          <w:rStyle w:val="VerbatimChar"/>
        </w:rPr>
        <w:t xml:space="preserve">messages(conversation_id, created_at)</w:t>
      </w:r>
      <w:r>
        <w:t xml:space="preserve">,</w:t>
      </w:r>
      <w:r>
        <w:t xml:space="preserve"> </w:t>
      </w:r>
      <w:r>
        <w:rPr>
          <w:rStyle w:val="VerbatimChar"/>
        </w:rPr>
        <w:t xml:space="preserve">conversation_participants(conversation_id, user_id)</w:t>
      </w:r>
      <w:r>
        <w:t xml:space="preserve">, unread-notifications partial</w:t>
      </w:r>
    </w:p>
    <w:p>
      <w:pPr>
        <w:numPr>
          <w:ilvl w:val="0"/>
          <w:numId w:val="1024"/>
        </w:numPr>
        <w:pStyle w:val="Compact"/>
      </w:pPr>
      <w:r>
        <w:rPr>
          <w:bCs/>
          <w:b/>
        </w:rPr>
        <w:t xml:space="preserve">Current design.</w:t>
      </w:r>
      <w:r>
        <w:t xml:space="preserve"> </w:t>
      </w:r>
      <w:r>
        <w:t xml:space="preserve">No indexes visible on</w:t>
      </w:r>
      <w:r>
        <w:t xml:space="preserve"> </w:t>
      </w:r>
      <w:r>
        <w:rPr>
          <w:rStyle w:val="VerbatimChar"/>
        </w:rPr>
        <w:t xml:space="preserve">messages.conversation_id</w:t>
      </w:r>
      <w:r>
        <w:t xml:space="preserve"> </w:t>
      </w:r>
      <w:r>
        <w:t xml:space="preserve">(nullable),</w:t>
      </w:r>
      <w:r>
        <w:t xml:space="preserve"> </w:t>
      </w:r>
      <w:r>
        <w:rPr>
          <w:rStyle w:val="VerbatimChar"/>
        </w:rPr>
        <w:t xml:space="preserve">conversation_participants</w:t>
      </w:r>
      <w:r>
        <w:t xml:space="preserve">, or</w:t>
      </w:r>
      <w:r>
        <w:t xml:space="preserve"> </w:t>
      </w:r>
      <w:r>
        <w:rPr>
          <w:rStyle w:val="VerbatimChar"/>
        </w:rPr>
        <w:t xml:space="preserve">notifications</w:t>
      </w:r>
      <w:r>
        <w:t xml:space="preserve"> </w:t>
      </w:r>
      <w:r>
        <w:t xml:space="preserve">(</w:t>
      </w:r>
      <w:r>
        <w:rPr>
          <w:rStyle w:val="VerbatimChar"/>
        </w:rPr>
        <w:t xml:space="preserve">is_read</w:t>
      </w:r>
      <w:r>
        <w:t xml:space="preserve">/</w:t>
      </w:r>
      <w:r>
        <w:rPr>
          <w:rStyle w:val="VerbatimChar"/>
        </w:rPr>
        <w:t xml:space="preserve">recipient_id</w:t>
      </w:r>
      <w:r>
        <w:t xml:space="preserve"> </w:t>
      </w:r>
      <w:r>
        <w:t xml:space="preserve">drive the badge count).</w:t>
      </w:r>
    </w:p>
    <w:p>
      <w:pPr>
        <w:numPr>
          <w:ilvl w:val="0"/>
          <w:numId w:val="1024"/>
        </w:numPr>
        <w:pStyle w:val="Compact"/>
      </w:pPr>
      <w:r>
        <w:rPr>
          <w:bCs/>
          <w:b/>
        </w:rPr>
        <w:t xml:space="preserve">Proposed design.</w:t>
      </w:r>
      <w:r>
        <w:t xml:space="preserve"> </w:t>
      </w:r>
      <w:r>
        <w:t xml:space="preserve">Three indexes: the conversation-timeline composite, the participant-lookup composite, and a partial on unread notifications by recipient.</w:t>
      </w:r>
    </w:p>
    <w:p>
      <w:pPr>
        <w:numPr>
          <w:ilvl w:val="0"/>
          <w:numId w:val="1024"/>
        </w:numPr>
        <w:pStyle w:val="Compact"/>
      </w:pPr>
      <w:r>
        <w:rPr>
          <w:bCs/>
          <w:b/>
        </w:rPr>
        <w:t xml:space="preserve">Why the change is needed.</w:t>
      </w:r>
      <w:r>
        <w:t xml:space="preserve"> </w:t>
      </w:r>
      <w:r>
        <w:t xml:space="preserve">The support-chat thread view, participant resolution and notification badge are per-page-load queries in the committed v1.0 screens.</w:t>
      </w:r>
    </w:p>
    <w:p>
      <w:pPr>
        <w:numPr>
          <w:ilvl w:val="0"/>
          <w:numId w:val="1024"/>
        </w:numPr>
        <w:pStyle w:val="Compact"/>
      </w:pPr>
      <w:r>
        <w:rPr>
          <w:bCs/>
          <w:b/>
        </w:rPr>
        <w:t xml:space="preserve">Benefits.</w:t>
      </w:r>
      <w:r>
        <w:t xml:space="preserve"> </w:t>
      </w:r>
      <w:r>
        <w:t xml:space="preserve">Thread rendering and badge counts index-served; participant joins stop seq-scanning.</w:t>
      </w:r>
    </w:p>
    <w:p>
      <w:pPr>
        <w:numPr>
          <w:ilvl w:val="0"/>
          <w:numId w:val="1024"/>
        </w:numPr>
        <w:pStyle w:val="Compact"/>
      </w:pPr>
      <w:r>
        <w:rPr>
          <w:bCs/>
          <w:b/>
        </w:rPr>
        <w:t xml:space="preserve">Risks.</w:t>
      </w:r>
      <w:r>
        <w:t xml:space="preserve"> </w:t>
      </w:r>
      <w:r>
        <w:t xml:space="preserve">Minimal write cost on moderate-volume tables.</w:t>
      </w:r>
    </w:p>
    <w:p>
      <w:pPr>
        <w:numPr>
          <w:ilvl w:val="0"/>
          <w:numId w:val="1024"/>
        </w:numPr>
        <w:pStyle w:val="Compact"/>
      </w:pPr>
      <w:r>
        <w:rPr>
          <w:bCs/>
          <w:b/>
        </w:rPr>
        <w:t xml:space="preserve">Migration impact.</w:t>
      </w:r>
      <w:r>
        <w:t xml:space="preserve"> </w:t>
      </w:r>
      <w:r>
        <w:t xml:space="preserve">Medium/Low: CONCURRENT builds; verification caveat applies.</w:t>
      </w:r>
    </w:p>
    <w:p>
      <w:pPr>
        <w:numPr>
          <w:ilvl w:val="0"/>
          <w:numId w:val="1024"/>
        </w:numPr>
        <w:pStyle w:val="Compact"/>
      </w:pPr>
      <w:r>
        <w:rPr>
          <w:bCs/>
          <w:b/>
        </w:rPr>
        <w:t xml:space="preserve">Application impact.</w:t>
      </w:r>
      <w:r>
        <w:t xml:space="preserve"> </w:t>
      </w:r>
      <w:r>
        <w:t xml:space="preserve">None.</w:t>
      </w:r>
    </w:p>
    <w:p>
      <w:pPr>
        <w:numPr>
          <w:ilvl w:val="0"/>
          <w:numId w:val="1024"/>
        </w:numPr>
        <w:pStyle w:val="Compact"/>
      </w:pPr>
      <w:r>
        <w:rPr>
          <w:bCs/>
          <w:b/>
        </w:rPr>
        <w:t xml:space="preserve">Backward compatibility.</w:t>
      </w:r>
      <w:r>
        <w:t xml:space="preserve"> </w:t>
      </w:r>
      <w:r>
        <w:t xml:space="preserve">Fully compatible.</w:t>
      </w:r>
    </w:p>
    <w:p>
      <w:pPr>
        <w:numPr>
          <w:ilvl w:val="0"/>
          <w:numId w:val="1024"/>
        </w:numPr>
        <w:pStyle w:val="Compact"/>
      </w:pPr>
      <w:r>
        <w:rPr>
          <w:bCs/>
          <w:b/>
        </w:rPr>
        <w:t xml:space="preserve">Recommendation: APPROVE.</w:t>
      </w:r>
    </w:p>
    <w:bookmarkEnd w:id="48"/>
    <w:bookmarkStart w:id="49" w:name="X6fa344c33b2850494b296879bc206a778bb0583"/>
    <w:p>
      <w:pPr>
        <w:pStyle w:val="Heading3"/>
      </w:pPr>
      <w:r>
        <w:t xml:space="preserve">I4 —</w:t>
      </w:r>
      <w:r>
        <w:t xml:space="preserve"> </w:t>
      </w:r>
      <w:r>
        <w:rPr>
          <w:rStyle w:val="VerbatimChar"/>
        </w:rPr>
        <w:t xml:space="preserve">consultant_firm_members.client_access</w:t>
      </w:r>
      <w:r>
        <w:t xml:space="preserve"> </w:t>
      </w:r>
      <w:r>
        <w:t xml:space="preserve">array GIN</w:t>
      </w:r>
    </w:p>
    <w:p>
      <w:pPr>
        <w:numPr>
          <w:ilvl w:val="0"/>
          <w:numId w:val="1025"/>
        </w:numPr>
        <w:pStyle w:val="Compact"/>
      </w:pPr>
      <w:r>
        <w:rPr>
          <w:bCs/>
          <w:b/>
        </w:rPr>
        <w:t xml:space="preserve">Current design.</w:t>
      </w:r>
      <w:r>
        <w:t xml:space="preserve"> </w:t>
      </w:r>
      <w:r>
        <w:rPr>
          <w:rStyle w:val="VerbatimChar"/>
        </w:rPr>
        <w:t xml:space="preserve">consultant_firm_members.client_access</w:t>
      </w:r>
      <w:r>
        <w:t xml:space="preserve"> </w:t>
      </w:r>
      <w:r>
        <w:t xml:space="preserve">is a uuid array (ADR-locked; junction-table replacement is rejected on ADR grounds) carrying client-access grants evaluated in RLS.</w:t>
      </w:r>
    </w:p>
    <w:p>
      <w:pPr>
        <w:numPr>
          <w:ilvl w:val="0"/>
          <w:numId w:val="1025"/>
        </w:numPr>
        <w:pStyle w:val="Compact"/>
      </w:pPr>
      <w:r>
        <w:rPr>
          <w:bCs/>
          <w:b/>
        </w:rPr>
        <w:t xml:space="preserve">Proposed design.</w:t>
      </w:r>
      <w:r>
        <w:t xml:space="preserve"> </w:t>
      </w:r>
      <w:r>
        <w:t xml:space="preserve">A GIN index on the array column.</w:t>
      </w:r>
    </w:p>
    <w:p>
      <w:pPr>
        <w:numPr>
          <w:ilvl w:val="0"/>
          <w:numId w:val="1025"/>
        </w:numPr>
        <w:pStyle w:val="Compact"/>
      </w:pPr>
      <w:r>
        <w:rPr>
          <w:bCs/>
          <w:b/>
        </w:rPr>
        <w:t xml:space="preserve">Why the change is needed.</w:t>
      </w:r>
      <w:r>
        <w:t xml:space="preserve"> </w:t>
      </w:r>
      <w:r>
        <w:t xml:space="preserve">A security predicate forced into an array by the ADR cannot B-tree; without GIN, every consultant RLS check seq-scans membership rows.</w:t>
      </w:r>
    </w:p>
    <w:p>
      <w:pPr>
        <w:numPr>
          <w:ilvl w:val="0"/>
          <w:numId w:val="1025"/>
        </w:numPr>
        <w:pStyle w:val="Compact"/>
      </w:pPr>
      <w:r>
        <w:rPr>
          <w:bCs/>
          <w:b/>
        </w:rPr>
        <w:t xml:space="preserve">Benefits.</w:t>
      </w:r>
      <w:r>
        <w:t xml:space="preserve"> </w:t>
      </w:r>
      <w:r>
        <w:t xml:space="preserve">The sole justified GIN in v1.0 (blanket-jsonb GIN stays rejected); consultant portal queries index-served.</w:t>
      </w:r>
    </w:p>
    <w:p>
      <w:pPr>
        <w:numPr>
          <w:ilvl w:val="0"/>
          <w:numId w:val="1025"/>
        </w:numPr>
        <w:pStyle w:val="Compact"/>
      </w:pPr>
      <w:r>
        <w:rPr>
          <w:bCs/>
          <w:b/>
        </w:rPr>
        <w:t xml:space="preserve">Risks.</w:t>
      </w:r>
      <w:r>
        <w:t xml:space="preserve"> </w:t>
      </w:r>
      <w:r>
        <w:t xml:space="preserve">GIN write amplification on updates — acceptable on a low-churn membership table.</w:t>
      </w:r>
    </w:p>
    <w:p>
      <w:pPr>
        <w:numPr>
          <w:ilvl w:val="0"/>
          <w:numId w:val="1025"/>
        </w:numPr>
        <w:pStyle w:val="Compact"/>
      </w:pPr>
      <w:r>
        <w:rPr>
          <w:bCs/>
          <w:b/>
        </w:rPr>
        <w:t xml:space="preserve">Migration impact.</w:t>
      </w:r>
      <w:r>
        <w:t xml:space="preserve"> </w:t>
      </w:r>
      <w:r>
        <w:t xml:space="preserve">Small; verification caveat applies.</w:t>
      </w:r>
    </w:p>
    <w:p>
      <w:pPr>
        <w:numPr>
          <w:ilvl w:val="0"/>
          <w:numId w:val="1025"/>
        </w:numPr>
        <w:pStyle w:val="Compact"/>
      </w:pPr>
      <w:r>
        <w:rPr>
          <w:bCs/>
          <w:b/>
        </w:rPr>
        <w:t xml:space="preserve">Application impact.</w:t>
      </w:r>
      <w:r>
        <w:t xml:space="preserve"> </w:t>
      </w:r>
      <w:r>
        <w:t xml:space="preserve">None.</w:t>
      </w:r>
    </w:p>
    <w:p>
      <w:pPr>
        <w:numPr>
          <w:ilvl w:val="0"/>
          <w:numId w:val="1025"/>
        </w:numPr>
        <w:pStyle w:val="Compact"/>
      </w:pPr>
      <w:r>
        <w:rPr>
          <w:bCs/>
          <w:b/>
        </w:rPr>
        <w:t xml:space="preserve">Backward compatibility.</w:t>
      </w:r>
      <w:r>
        <w:t xml:space="preserve"> </w:t>
      </w:r>
      <w:r>
        <w:t xml:space="preserve">Fully compatible.</w:t>
      </w:r>
    </w:p>
    <w:p>
      <w:pPr>
        <w:numPr>
          <w:ilvl w:val="0"/>
          <w:numId w:val="1025"/>
        </w:numPr>
        <w:pStyle w:val="Compact"/>
      </w:pPr>
      <w:r>
        <w:rPr>
          <w:bCs/>
          <w:b/>
        </w:rPr>
        <w:t xml:space="preserve">Recommendation: APPROVE.</w:t>
      </w:r>
    </w:p>
    <w:bookmarkEnd w:id="49"/>
    <w:bookmarkStart w:id="50" w:name="X14cb96db4ec8db4211152a76588812007f49ab4"/>
    <w:p>
      <w:pPr>
        <w:pStyle w:val="Heading3"/>
      </w:pPr>
      <w:r>
        <w:t xml:space="preserve">I5 —</w:t>
      </w:r>
      <w:r>
        <w:t xml:space="preserve"> </w:t>
      </w:r>
      <w:r>
        <w:rPr>
          <w:rStyle w:val="VerbatimChar"/>
        </w:rPr>
        <w:t xml:space="preserve">pg_trgm</w:t>
      </w:r>
      <w:r>
        <w:t xml:space="preserve"> </w:t>
      </w:r>
      <w:r>
        <w:t xml:space="preserve">family:</w:t>
      </w:r>
      <w:r>
        <w:t xml:space="preserve"> </w:t>
      </w:r>
      <w:r>
        <w:rPr>
          <w:rStyle w:val="VerbatimChar"/>
        </w:rPr>
        <w:t xml:space="preserve">suppliers.name</w:t>
      </w:r>
      <w:r>
        <w:t xml:space="preserve">/</w:t>
      </w:r>
      <w:r>
        <w:rPr>
          <w:rStyle w:val="VerbatimChar"/>
        </w:rPr>
        <w:t xml:space="preserve">.vat_number</w:t>
      </w:r>
      <w:r>
        <w:t xml:space="preserve">,</w:t>
      </w:r>
      <w:r>
        <w:t xml:space="preserve"> </w:t>
      </w:r>
      <w:r>
        <w:rPr>
          <w:rStyle w:val="VerbatimChar"/>
        </w:rPr>
        <w:t xml:space="preserve">organizations.name</w:t>
      </w:r>
    </w:p>
    <w:p>
      <w:pPr>
        <w:numPr>
          <w:ilvl w:val="0"/>
          <w:numId w:val="1026"/>
        </w:numPr>
        <w:pStyle w:val="Compact"/>
      </w:pPr>
      <w:r>
        <w:rPr>
          <w:bCs/>
          <w:b/>
        </w:rPr>
        <w:t xml:space="preserve">Current design.</w:t>
      </w:r>
      <w:r>
        <w:t xml:space="preserve"> </w:t>
      </w:r>
      <w:r>
        <w:t xml:space="preserve">No trigram indexes; supplier/org pickers would do exact-prefix or seq-scan substring matching.</w:t>
      </w:r>
    </w:p>
    <w:p>
      <w:pPr>
        <w:numPr>
          <w:ilvl w:val="0"/>
          <w:numId w:val="1026"/>
        </w:numPr>
        <w:pStyle w:val="Compact"/>
      </w:pPr>
      <w:r>
        <w:rPr>
          <w:bCs/>
          <w:b/>
        </w:rPr>
        <w:t xml:space="preserve">Proposed design.</w:t>
      </w:r>
      <w:r>
        <w:t xml:space="preserve"> </w:t>
      </w:r>
      <w:r>
        <w:t xml:space="preserve">Trigram indexes on the three columns, backing autocomplete and</w:t>
      </w:r>
      <w:r>
        <w:t xml:space="preserve"> </w:t>
      </w:r>
      <w:r>
        <w:t xml:space="preserve">“</w:t>
      </w:r>
      <w:r>
        <w:t xml:space="preserve">did you mean?</w:t>
      </w:r>
      <w:r>
        <w:t xml:space="preserve">”</w:t>
      </w:r>
      <w:r>
        <w:t xml:space="preserve"> </w:t>
      </w:r>
      <w:r>
        <w:t xml:space="preserve">duplicate prompts.</w:t>
      </w:r>
    </w:p>
    <w:p>
      <w:pPr>
        <w:numPr>
          <w:ilvl w:val="0"/>
          <w:numId w:val="1026"/>
        </w:numPr>
        <w:pStyle w:val="Compact"/>
      </w:pPr>
      <w:r>
        <w:rPr>
          <w:bCs/>
          <w:b/>
        </w:rPr>
        <w:t xml:space="preserve">Why the change is needed.</w:t>
      </w:r>
      <w:r>
        <w:t xml:space="preserve"> </w:t>
      </w:r>
      <w:r>
        <w:t xml:space="preserve">Fuzzy supplier matching is the soft control complementing K5’s hard identifier uniqueness — it prevents the</w:t>
      </w:r>
      <w:r>
        <w:t xml:space="preserve"> </w:t>
      </w:r>
      <w:r>
        <w:t xml:space="preserve">“</w:t>
      </w:r>
      <w:r>
        <w:t xml:space="preserve">City Electrical 2</w:t>
      </w:r>
      <w:r>
        <w:t xml:space="preserve">”</w:t>
      </w:r>
      <w:r>
        <w:t xml:space="preserve"> </w:t>
      </w:r>
      <w:r>
        <w:t xml:space="preserve">workaround pattern without outlawing legitimate same-name suppliers.</w:t>
      </w:r>
    </w:p>
    <w:p>
      <w:pPr>
        <w:numPr>
          <w:ilvl w:val="0"/>
          <w:numId w:val="1026"/>
        </w:numPr>
        <w:pStyle w:val="Compact"/>
      </w:pPr>
      <w:r>
        <w:rPr>
          <w:bCs/>
          <w:b/>
        </w:rPr>
        <w:t xml:space="preserve">Benefits.</w:t>
      </w:r>
      <w:r>
        <w:t xml:space="preserve"> </w:t>
      </w:r>
      <w:r>
        <w:t xml:space="preserve">Autocomplete UX; duplicate-nudging at entry; scoped to three columns, not the audit’s programme.</w:t>
      </w:r>
    </w:p>
    <w:p>
      <w:pPr>
        <w:numPr>
          <w:ilvl w:val="0"/>
          <w:numId w:val="1026"/>
        </w:numPr>
        <w:pStyle w:val="Compact"/>
      </w:pPr>
      <w:r>
        <w:rPr>
          <w:bCs/>
          <w:b/>
        </w:rPr>
        <w:t xml:space="preserve">Risks.</w:t>
      </w:r>
      <w:r>
        <w:t xml:space="preserve"> </w:t>
      </w:r>
      <w:r>
        <w:t xml:space="preserve">Extension enablement and modest index size; nothing at launch volume.</w:t>
      </w:r>
    </w:p>
    <w:p>
      <w:pPr>
        <w:numPr>
          <w:ilvl w:val="0"/>
          <w:numId w:val="1026"/>
        </w:numPr>
        <w:pStyle w:val="Compact"/>
      </w:pPr>
      <w:r>
        <w:rPr>
          <w:bCs/>
          <w:b/>
        </w:rPr>
        <w:t xml:space="preserve">Migration impact.</w:t>
      </w:r>
      <w:r>
        <w:t xml:space="preserve"> </w:t>
      </w:r>
      <w:r>
        <w:t xml:space="preserve">Small; may land in the v1.0.x window rather than launch day — it serves UX, not correctness.</w:t>
      </w:r>
    </w:p>
    <w:p>
      <w:pPr>
        <w:numPr>
          <w:ilvl w:val="0"/>
          <w:numId w:val="1026"/>
        </w:numPr>
        <w:pStyle w:val="Compact"/>
      </w:pPr>
      <w:r>
        <w:rPr>
          <w:bCs/>
          <w:b/>
        </w:rPr>
        <w:t xml:space="preserve">Application impact.</w:t>
      </w:r>
      <w:r>
        <w:t xml:space="preserve"> </w:t>
      </w:r>
      <w:r>
        <w:t xml:space="preserve">Autocomplete/</w:t>
      </w:r>
      <w:r>
        <w:t xml:space="preserve">“</w:t>
      </w:r>
      <w:r>
        <w:t xml:space="preserve">did you mean?</w:t>
      </w:r>
      <w:r>
        <w:t xml:space="preserve">”</w:t>
      </w:r>
      <w:r>
        <w:t xml:space="preserve"> </w:t>
      </w:r>
      <w:r>
        <w:t xml:space="preserve">UX consumes the indexes (application work).</w:t>
      </w:r>
    </w:p>
    <w:p>
      <w:pPr>
        <w:numPr>
          <w:ilvl w:val="0"/>
          <w:numId w:val="1026"/>
        </w:numPr>
        <w:pStyle w:val="Compact"/>
      </w:pPr>
      <w:r>
        <w:rPr>
          <w:bCs/>
          <w:b/>
        </w:rPr>
        <w:t xml:space="preserve">Backward compatibility.</w:t>
      </w:r>
      <w:r>
        <w:t xml:space="preserve"> </w:t>
      </w:r>
      <w:r>
        <w:t xml:space="preserve">Fully compatible.</w:t>
      </w:r>
    </w:p>
    <w:p>
      <w:pPr>
        <w:numPr>
          <w:ilvl w:val="0"/>
          <w:numId w:val="1026"/>
        </w:numPr>
        <w:pStyle w:val="Compact"/>
      </w:pPr>
      <w:r>
        <w:rPr>
          <w:bCs/>
          <w:b/>
        </w:rPr>
        <w:t xml:space="preserve">Recommendation: APPROVE</w:t>
      </w:r>
      <w:r>
        <w:t xml:space="preserve"> </w:t>
      </w:r>
      <w:r>
        <w:t xml:space="preserve">(v1.0.x window acceptable).</w:t>
      </w:r>
    </w:p>
    <w:bookmarkEnd w:id="50"/>
    <w:bookmarkStart w:id="51" w:name="X615ded45799bc652ab24e6799d9cf84392cc0c3"/>
    <w:p>
      <w:pPr>
        <w:pStyle w:val="Heading3"/>
      </w:pPr>
      <w:r>
        <w:t xml:space="preserve">I6 — Blanket</w:t>
      </w:r>
      <w:r>
        <w:t xml:space="preserve"> </w:t>
      </w:r>
      <w:r>
        <w:t xml:space="preserve">“</w:t>
      </w:r>
      <w:r>
        <w:t xml:space="preserve">index every FK</w:t>
      </w:r>
      <w:r>
        <w:t xml:space="preserve">”</w:t>
      </w:r>
      <w:r>
        <w:t xml:space="preserve"> </w:t>
      </w:r>
      <w:r>
        <w:t xml:space="preserve">programme (~60 indexes)</w:t>
      </w:r>
    </w:p>
    <w:p>
      <w:pPr>
        <w:numPr>
          <w:ilvl w:val="0"/>
          <w:numId w:val="1027"/>
        </w:numPr>
        <w:pStyle w:val="Compact"/>
      </w:pPr>
      <w:r>
        <w:rPr>
          <w:bCs/>
          <w:b/>
        </w:rPr>
        <w:t xml:space="preserve">Current design.</w:t>
      </w:r>
      <w:r>
        <w:t xml:space="preserve"> </w:t>
      </w:r>
      <w:r>
        <w:t xml:space="preserve">The dump’s silence tempts the conclusion that every FK needs an index.</w:t>
      </w:r>
    </w:p>
    <w:p>
      <w:pPr>
        <w:numPr>
          <w:ilvl w:val="0"/>
          <w:numId w:val="1027"/>
        </w:numPr>
        <w:pStyle w:val="Compact"/>
      </w:pPr>
      <w:r>
        <w:rPr>
          <w:bCs/>
          <w:b/>
        </w:rPr>
        <w:t xml:space="preserve">Proposed design.</w:t>
      </w:r>
      <w:r>
        <w:t xml:space="preserve"> </w:t>
      </w:r>
      <w:r>
        <w:t xml:space="preserve">The audit’s blanket: index all FK columns across ~90 tables.</w:t>
      </w:r>
    </w:p>
    <w:p>
      <w:pPr>
        <w:numPr>
          <w:ilvl w:val="0"/>
          <w:numId w:val="1027"/>
        </w:numPr>
        <w:pStyle w:val="Compact"/>
      </w:pPr>
      <w:r>
        <w:rPr>
          <w:bCs/>
          <w:b/>
        </w:rPr>
        <w:t xml:space="preserve">Why the change is needed.</w:t>
      </w:r>
      <w:r>
        <w:t xml:space="preserve"> </w:t>
      </w:r>
      <w:r>
        <w:t xml:space="preserve">FK-write performance and join coverage, in the abstract.</w:t>
      </w:r>
    </w:p>
    <w:p>
      <w:pPr>
        <w:numPr>
          <w:ilvl w:val="0"/>
          <w:numId w:val="1027"/>
        </w:numPr>
        <w:pStyle w:val="Compact"/>
      </w:pPr>
      <w:r>
        <w:rPr>
          <w:bCs/>
          <w:b/>
        </w:rPr>
        <w:t xml:space="preserve">Benefits.</w:t>
      </w:r>
      <w:r>
        <w:t xml:space="preserve"> </w:t>
      </w:r>
      <w:r>
        <w:t xml:space="preserve">Complete join coverage in theory.</w:t>
      </w:r>
    </w:p>
    <w:p>
      <w:pPr>
        <w:numPr>
          <w:ilvl w:val="0"/>
          <w:numId w:val="1027"/>
        </w:numPr>
        <w:pStyle w:val="Compact"/>
      </w:pPr>
      <w:r>
        <w:rPr>
          <w:bCs/>
          <w:b/>
        </w:rPr>
        <w:t xml:space="preserve">Risks.</w:t>
      </w:r>
      <w:r>
        <w:t xml:space="preserve"> </w:t>
      </w:r>
      <w:r>
        <w:t xml:space="preserve">~3× over-scoped: write-amplifying indexes on dozens-of-rows static reference tables (</w:t>
      </w:r>
      <w:r>
        <w:rPr>
          <w:rStyle w:val="VerbatimChar"/>
        </w:rPr>
        <w:t xml:space="preserve">units</w:t>
      </w:r>
      <w:r>
        <w:t xml:space="preserve">,</w:t>
      </w:r>
      <w:r>
        <w:t xml:space="preserve"> </w:t>
      </w:r>
      <w:r>
        <w:rPr>
          <w:rStyle w:val="VerbatimChar"/>
        </w:rPr>
        <w:t xml:space="preserve">glossary</w:t>
      </w:r>
      <w:r>
        <w:t xml:space="preserve">,</w:t>
      </w:r>
      <w:r>
        <w:t xml:space="preserve"> </w:t>
      </w:r>
      <w:r>
        <w:rPr>
          <w:rStyle w:val="VerbatimChar"/>
        </w:rPr>
        <w:t xml:space="preserve">roles</w:t>
      </w:r>
      <w:r>
        <w:t xml:space="preserve">,</w:t>
      </w:r>
      <w:r>
        <w:t xml:space="preserve"> </w:t>
      </w:r>
      <w:r>
        <w:rPr>
          <w:rStyle w:val="VerbatimChar"/>
        </w:rPr>
        <w:t xml:space="preserve">document_types</w:t>
      </w:r>
      <w:r>
        <w:t xml:space="preserve">) the planner will never choose, on marketing tables being purged at GA (</w:t>
      </w:r>
      <w:r>
        <w:rPr>
          <w:rStyle w:val="VerbatimChar"/>
        </w:rPr>
        <w:t xml:space="preserve">waitlist</w:t>
      </w:r>
      <w:r>
        <w:t xml:space="preserve">,</w:t>
      </w:r>
      <w:r>
        <w:t xml:space="preserve"> </w:t>
      </w:r>
      <w:r>
        <w:rPr>
          <w:rStyle w:val="VerbatimChar"/>
        </w:rPr>
        <w:t xml:space="preserve">beta_users</w:t>
      </w:r>
      <w:r>
        <w:t xml:space="preserve">,</w:t>
      </w:r>
      <w:r>
        <w:t xml:space="preserve"> </w:t>
      </w:r>
      <w:r>
        <w:rPr>
          <w:rStyle w:val="VerbatimChar"/>
        </w:rPr>
        <w:t xml:space="preserve">beta_access_codes</w:t>
      </w:r>
      <w:r>
        <w:t xml:space="preserve">), and on FKs that are never query entry points; every unnecessary index is permanent write cost on the pipeline’s hot path.</w:t>
      </w:r>
    </w:p>
    <w:p>
      <w:pPr>
        <w:numPr>
          <w:ilvl w:val="0"/>
          <w:numId w:val="1027"/>
        </w:numPr>
        <w:pStyle w:val="Compact"/>
      </w:pPr>
      <w:r>
        <w:rPr>
          <w:bCs/>
          <w:b/>
        </w:rPr>
        <w:t xml:space="preserve">Migration impact.</w:t>
      </w:r>
      <w:r>
        <w:t xml:space="preserve"> </w:t>
      </w:r>
      <w:r>
        <w:t xml:space="preserve">Large, for negative net value.</w:t>
      </w:r>
    </w:p>
    <w:p>
      <w:pPr>
        <w:numPr>
          <w:ilvl w:val="0"/>
          <w:numId w:val="1027"/>
        </w:numPr>
        <w:pStyle w:val="Compact"/>
      </w:pPr>
      <w:r>
        <w:rPr>
          <w:bCs/>
          <w:b/>
        </w:rPr>
        <w:t xml:space="preserve">Application impact.</w:t>
      </w:r>
      <w:r>
        <w:t xml:space="preserve"> </w:t>
      </w:r>
      <w:r>
        <w:t xml:space="preserve">Slower writes everywhere.</w:t>
      </w:r>
    </w:p>
    <w:p>
      <w:pPr>
        <w:numPr>
          <w:ilvl w:val="0"/>
          <w:numId w:val="1027"/>
        </w:numPr>
        <w:pStyle w:val="Compact"/>
      </w:pPr>
      <w:r>
        <w:rPr>
          <w:bCs/>
          <w:b/>
        </w:rPr>
        <w:t xml:space="preserve">Backward compatibility.</w:t>
      </w:r>
      <w:r>
        <w:t xml:space="preserve"> </w:t>
      </w:r>
      <w:r>
        <w:t xml:space="preserve">N/A.</w:t>
      </w:r>
    </w:p>
    <w:p>
      <w:pPr>
        <w:numPr>
          <w:ilvl w:val="0"/>
          <w:numId w:val="1027"/>
        </w:numPr>
        <w:pStyle w:val="Compact"/>
      </w:pPr>
      <w:r>
        <w:rPr>
          <w:bCs/>
          <w:b/>
        </w:rPr>
        <w:t xml:space="preserve">Recommendation: REJECT.</w:t>
      </w:r>
      <w:r>
        <w:t xml:space="preserve"> </w:t>
      </w:r>
      <w:r>
        <w:t xml:space="preserve">The principle (index real query paths) is honoured by I1–I5 plus the UNIQUE-backed indexes of K5; the blanket is not. Non-entry-point FK indexes are revisited evidence-gated in v1.1 against query logs.</w:t>
      </w:r>
    </w:p>
    <w:p>
      <w:r>
        <w:pict>
          <v:rect style="width:0;height:1.5pt" o:hralign="center" o:hrstd="t" o:hr="t"/>
        </w:pict>
      </w:r>
    </w:p>
    <w:bookmarkEnd w:id="51"/>
    <w:bookmarkEnd w:id="52"/>
    <w:bookmarkStart w:id="62" w:name="constraints"/>
    <w:p>
      <w:pPr>
        <w:pStyle w:val="Heading2"/>
      </w:pPr>
      <w:r>
        <w:t xml:space="preserve">5. Constraints</w:t>
      </w:r>
    </w:p>
    <w:p>
      <w:pPr>
        <w:pStyle w:val="FirstParagraph"/>
      </w:pPr>
      <w:r>
        <w:rPr>
          <w:iCs/>
          <w:i/>
        </w:rPr>
        <w:t xml:space="preserve">The dump shows no CHECK constraints or NOT NULL beyond the markers noted; the staging data audit (NULL counts, duplicate sweeps, value mapping) precedes every constraint below, and all CHECKs are added in the non-validating-then-validate style to avoid table locks. The frozen decision stands: the database enforces exactly four validation shapes — IN-lists, ranges, presence, uniqueness. Formats live at the API layer (K9).</w:t>
      </w:r>
    </w:p>
    <w:bookmarkStart w:id="53" w:name="X1724d84daa1ba1bfc0e627aa744ad95bf136740"/>
    <w:p>
      <w:pPr>
        <w:pStyle w:val="Heading3"/>
      </w:pPr>
      <w:r>
        <w:t xml:space="preserve">K1 —</w:t>
      </w:r>
      <w:r>
        <w:t xml:space="preserve"> </w:t>
      </w:r>
      <w:r>
        <w:rPr>
          <w:rStyle w:val="VerbatimChar"/>
        </w:rPr>
        <w:t xml:space="preserve">country</w:t>
      </w:r>
      <w:r>
        <w:t xml:space="preserve"> </w:t>
      </w:r>
      <w:r>
        <w:t xml:space="preserve">IN (</w:t>
      </w:r>
      <w:r>
        <w:t xml:space="preserve">‘</w:t>
      </w:r>
      <w:r>
        <w:t xml:space="preserve">GB</w:t>
      </w:r>
      <w:r>
        <w:t xml:space="preserve">’</w:t>
      </w:r>
      <w:r>
        <w:t xml:space="preserve">,</w:t>
      </w:r>
      <w:r>
        <w:t xml:space="preserve">‘</w:t>
      </w:r>
      <w:r>
        <w:t xml:space="preserve">IE</w:t>
      </w:r>
      <w:r>
        <w:t xml:space="preserve">’</w:t>
      </w:r>
      <w:r>
        <w:t xml:space="preserve">) on</w:t>
      </w:r>
      <w:r>
        <w:t xml:space="preserve"> </w:t>
      </w:r>
      <w:r>
        <w:rPr>
          <w:rStyle w:val="VerbatimChar"/>
        </w:rPr>
        <w:t xml:space="preserve">organizations</w:t>
      </w:r>
      <w:r>
        <w:t xml:space="preserve">,</w:t>
      </w:r>
      <w:r>
        <w:t xml:space="preserve"> </w:t>
      </w:r>
      <w:r>
        <w:rPr>
          <w:rStyle w:val="VerbatimChar"/>
        </w:rPr>
        <w:t xml:space="preserve">facilities</w:t>
      </w:r>
      <w:r>
        <w:t xml:space="preserve">,</w:t>
      </w:r>
      <w:r>
        <w:t xml:space="preserve"> </w:t>
      </w:r>
      <w:r>
        <w:rPr>
          <w:rStyle w:val="VerbatimChar"/>
        </w:rPr>
        <w:t xml:space="preserve">suppliers</w:t>
      </w:r>
      <w:r>
        <w:t xml:space="preserve">,</w:t>
      </w:r>
      <w:r>
        <w:t xml:space="preserve"> </w:t>
      </w:r>
      <w:r>
        <w:rPr>
          <w:rStyle w:val="VerbatimChar"/>
        </w:rPr>
        <w:t xml:space="preserve">consultant_profiles</w:t>
      </w:r>
    </w:p>
    <w:p>
      <w:pPr>
        <w:numPr>
          <w:ilvl w:val="0"/>
          <w:numId w:val="1028"/>
        </w:numPr>
        <w:pStyle w:val="Compact"/>
      </w:pPr>
      <w:r>
        <w:rPr>
          <w:bCs/>
          <w:b/>
        </w:rPr>
        <w:t xml:space="preserve">Current design.</w:t>
      </w:r>
      <w:r>
        <w:t xml:space="preserve"> </w:t>
      </w:r>
      <w:r>
        <w:t xml:space="preserve">All four</w:t>
      </w:r>
      <w:r>
        <w:t xml:space="preserve"> </w:t>
      </w:r>
      <w:r>
        <w:rPr>
          <w:rStyle w:val="VerbatimChar"/>
        </w:rPr>
        <w:t xml:space="preserve">country</w:t>
      </w:r>
      <w:r>
        <w:t xml:space="preserve"> </w:t>
      </w:r>
      <w:r>
        <w:t xml:space="preserve">columns are unconstrained free text (varchar/text, nullable) — the seeds already show the failure mode, with</w:t>
      </w:r>
      <w:r>
        <w:t xml:space="preserve"> </w:t>
      </w:r>
      <w:r>
        <w:rPr>
          <w:rStyle w:val="VerbatimChar"/>
        </w:rPr>
        <w:t xml:space="preserve">.de</w:t>
      </w:r>
      <w:r>
        <w:t xml:space="preserve">/</w:t>
      </w:r>
      <w:r>
        <w:rPr>
          <w:rStyle w:val="VerbatimChar"/>
        </w:rPr>
        <w:t xml:space="preserve">.fr</w:t>
      </w:r>
      <w:r>
        <w:t xml:space="preserve">/</w:t>
      </w:r>
      <w:r>
        <w:rPr>
          <w:rStyle w:val="VerbatimChar"/>
        </w:rPr>
        <w:t xml:space="preserve">.fi</w:t>
      </w:r>
      <w:r>
        <w:t xml:space="preserve">/</w:t>
      </w:r>
      <w:r>
        <w:rPr>
          <w:rStyle w:val="VerbatimChar"/>
        </w:rPr>
        <w:t xml:space="preserve">.ai</w:t>
      </w:r>
      <w:r>
        <w:t xml:space="preserve"> </w:t>
      </w:r>
      <w:r>
        <w:t xml:space="preserve">users present (seed cleanup is data work, noted for context only).</w:t>
      </w:r>
    </w:p>
    <w:p>
      <w:pPr>
        <w:numPr>
          <w:ilvl w:val="0"/>
          <w:numId w:val="1028"/>
        </w:numPr>
        <w:pStyle w:val="Compact"/>
      </w:pPr>
      <w:r>
        <w:rPr>
          <w:bCs/>
          <w:b/>
        </w:rPr>
        <w:t xml:space="preserve">Proposed design.</w:t>
      </w:r>
      <w:r>
        <w:t xml:space="preserve"> </w:t>
      </w:r>
      <w:r>
        <w:t xml:space="preserve">CHECK IN (</w:t>
      </w:r>
      <w:r>
        <w:t xml:space="preserve">‘</w:t>
      </w:r>
      <w:r>
        <w:t xml:space="preserve">GB</w:t>
      </w:r>
      <w:r>
        <w:t xml:space="preserve">’</w:t>
      </w:r>
      <w:r>
        <w:t xml:space="preserve">,</w:t>
      </w:r>
      <w:r>
        <w:t xml:space="preserve">‘</w:t>
      </w:r>
      <w:r>
        <w:t xml:space="preserve">IE</w:t>
      </w:r>
      <w:r>
        <w:t xml:space="preserve">’</w:t>
      </w:r>
      <w:r>
        <w:t xml:space="preserve">) on the four columns, after auditing existing values to the list. No new</w:t>
      </w:r>
      <w:r>
        <w:t xml:space="preserve"> </w:t>
      </w:r>
      <w:r>
        <w:rPr>
          <w:rStyle w:val="VerbatimChar"/>
        </w:rPr>
        <w:t xml:space="preserve">country_code</w:t>
      </w:r>
      <w:r>
        <w:t xml:space="preserve"> </w:t>
      </w:r>
      <w:r>
        <w:t xml:space="preserve">column — constraining the existing single source of truth is the fix; a parallel ISO column would be a second source of truth kept in sync with the first (rejected diagnosis-right-prescription-wrong in the hardening plan, and rejected again here).</w:t>
      </w:r>
    </w:p>
    <w:p>
      <w:pPr>
        <w:numPr>
          <w:ilvl w:val="0"/>
          <w:numId w:val="1028"/>
        </w:numPr>
        <w:pStyle w:val="Compact"/>
      </w:pPr>
      <w:r>
        <w:rPr>
          <w:bCs/>
          <w:b/>
        </w:rPr>
        <w:t xml:space="preserve">Why the change is needed.</w:t>
      </w:r>
      <w:r>
        <w:t xml:space="preserve"> </w:t>
      </w:r>
      <w:r>
        <w:t xml:space="preserve">Every jurisdiction rule — currency defaults, validation selection, factor</w:t>
      </w:r>
      <w:r>
        <w:t xml:space="preserve"> </w:t>
      </w:r>
      <w:r>
        <w:rPr>
          <w:rStyle w:val="VerbatimChar"/>
        </w:rPr>
        <w:t xml:space="preserve">country</w:t>
      </w:r>
      <w:r>
        <w:t xml:space="preserve"> </w:t>
      </w:r>
      <w:r>
        <w:t xml:space="preserve">selection (C4), reporting defaults — keys off this value; under UK-primary/IE-beta the launch market set is exactly two codes, and the list must be machine-readable, not convention.</w:t>
      </w:r>
    </w:p>
    <w:p>
      <w:pPr>
        <w:numPr>
          <w:ilvl w:val="0"/>
          <w:numId w:val="1028"/>
        </w:numPr>
        <w:pStyle w:val="Compact"/>
      </w:pPr>
      <w:r>
        <w:rPr>
          <w:bCs/>
          <w:b/>
        </w:rPr>
        <w:t xml:space="preserve">Benefits.</w:t>
      </w:r>
      <w:r>
        <w:t xml:space="preserve"> </w:t>
      </w:r>
      <w:r>
        <w:t xml:space="preserve">Jurisdiction logic reads a guaranteed value; adding IE depth in v1.1 needs no schema change (the list already contains</w:t>
      </w:r>
      <w:r>
        <w:t xml:space="preserve"> </w:t>
      </w:r>
      <w:r>
        <w:t xml:space="preserve">‘</w:t>
      </w:r>
      <w:r>
        <w:t xml:space="preserve">IE</w:t>
      </w:r>
      <w:r>
        <w:t xml:space="preserve">’</w:t>
      </w:r>
      <w:r>
        <w:t xml:space="preserve">); out-of-market rows become impossible at the database.</w:t>
      </w:r>
    </w:p>
    <w:p>
      <w:pPr>
        <w:numPr>
          <w:ilvl w:val="0"/>
          <w:numId w:val="1028"/>
        </w:numPr>
        <w:pStyle w:val="Compact"/>
      </w:pPr>
      <w:r>
        <w:rPr>
          <w:bCs/>
          <w:b/>
        </w:rPr>
        <w:t xml:space="preserve">Risks.</w:t>
      </w:r>
      <w:r>
        <w:t xml:space="preserve"> </w:t>
      </w:r>
      <w:r>
        <w:t xml:space="preserve">Existing non-conforming values block the constraint — the staging audit handles;</w:t>
      </w:r>
      <w:r>
        <w:t xml:space="preserve"> </w:t>
      </w:r>
      <w:r>
        <w:t xml:space="preserve">“</w:t>
      </w:r>
      <w:r>
        <w:t xml:space="preserve">UK</w:t>
      </w:r>
      <w:r>
        <w:t xml:space="preserve">”</w:t>
      </w:r>
      <w:r>
        <w:t xml:space="preserve">/</w:t>
      </w:r>
      <w:r>
        <w:t xml:space="preserve">“</w:t>
      </w:r>
      <w:r>
        <w:t xml:space="preserve">England</w:t>
      </w:r>
      <w:r>
        <w:t xml:space="preserve">”</w:t>
      </w:r>
      <w:r>
        <w:t xml:space="preserve"> </w:t>
      </w:r>
      <w:r>
        <w:t xml:space="preserve">variants need mapping to</w:t>
      </w:r>
      <w:r>
        <w:t xml:space="preserve"> </w:t>
      </w:r>
      <w:r>
        <w:t xml:space="preserve">‘</w:t>
      </w:r>
      <w:r>
        <w:t xml:space="preserve">GB</w:t>
      </w:r>
      <w:r>
        <w:t xml:space="preserve">’</w:t>
      </w:r>
      <w:r>
        <w:t xml:space="preserve"> </w:t>
      </w:r>
      <w:r>
        <w:t xml:space="preserve">first.</w:t>
      </w:r>
    </w:p>
    <w:p>
      <w:pPr>
        <w:numPr>
          <w:ilvl w:val="0"/>
          <w:numId w:val="1028"/>
        </w:numPr>
        <w:pStyle w:val="Compact"/>
      </w:pPr>
      <w:r>
        <w:rPr>
          <w:bCs/>
          <w:b/>
        </w:rPr>
        <w:t xml:space="preserve">Migration impact.</w:t>
      </w:r>
      <w:r>
        <w:t xml:space="preserve"> </w:t>
      </w:r>
      <w:r>
        <w:t xml:space="preserve">Small: audit, map, constrain four columns. Verification caveat: dump shows no existing CHECKs.</w:t>
      </w:r>
    </w:p>
    <w:p>
      <w:pPr>
        <w:numPr>
          <w:ilvl w:val="0"/>
          <w:numId w:val="1028"/>
        </w:numPr>
        <w:pStyle w:val="Compact"/>
      </w:pPr>
      <w:r>
        <w:rPr>
          <w:bCs/>
          <w:b/>
        </w:rPr>
        <w:t xml:space="preserve">Application impact.</w:t>
      </w:r>
      <w:r>
        <w:t xml:space="preserve"> </w:t>
      </w:r>
      <w:r>
        <w:t xml:space="preserve">Onboarding country pickers constrain to GB/IE (aligned with the product decision); error surfaces for rejected writes.</w:t>
      </w:r>
    </w:p>
    <w:p>
      <w:pPr>
        <w:numPr>
          <w:ilvl w:val="0"/>
          <w:numId w:val="1028"/>
        </w:numPr>
        <w:pStyle w:val="Compact"/>
      </w:pPr>
      <w:r>
        <w:rPr>
          <w:bCs/>
          <w:b/>
        </w:rPr>
        <w:t xml:space="preserve">Backward compatibility.</w:t>
      </w:r>
      <w:r>
        <w:t xml:space="preserve"> </w:t>
      </w:r>
      <w:r>
        <w:t xml:space="preserve">Rejects writes previously allowed — intentional; no legitimate v1.0 value is excluded.</w:t>
      </w:r>
    </w:p>
    <w:p>
      <w:pPr>
        <w:numPr>
          <w:ilvl w:val="0"/>
          <w:numId w:val="1028"/>
        </w:numPr>
        <w:pStyle w:val="Compact"/>
      </w:pPr>
      <w:r>
        <w:rPr>
          <w:bCs/>
          <w:b/>
        </w:rPr>
        <w:t xml:space="preserve">Recommendation: APPROVE.</w:t>
      </w:r>
    </w:p>
    <w:bookmarkEnd w:id="53"/>
    <w:bookmarkStart w:id="54" w:name="Xab24d23c4375277a225840b36a1e437d0609266"/>
    <w:p>
      <w:pPr>
        <w:pStyle w:val="Heading3"/>
      </w:pPr>
      <w:r>
        <w:t xml:space="preserve">K2 — Currency IN (</w:t>
      </w:r>
      <w:r>
        <w:t xml:space="preserve">‘</w:t>
      </w:r>
      <w:r>
        <w:t xml:space="preserve">GBP</w:t>
      </w:r>
      <w:r>
        <w:t xml:space="preserve">’</w:t>
      </w:r>
      <w:r>
        <w:t xml:space="preserve">,</w:t>
      </w:r>
      <w:r>
        <w:t xml:space="preserve">‘</w:t>
      </w:r>
      <w:r>
        <w:t xml:space="preserve">EUR</w:t>
      </w:r>
      <w:r>
        <w:t xml:space="preserve">’</w:t>
      </w:r>
      <w:r>
        <w:t xml:space="preserve">) on the six currency columns +</w:t>
      </w:r>
      <w:r>
        <w:t xml:space="preserve"> </w:t>
      </w:r>
      <w:r>
        <w:rPr>
          <w:rStyle w:val="VerbatimChar"/>
        </w:rPr>
        <w:t xml:space="preserve">system_settings.default_currency</w:t>
      </w:r>
    </w:p>
    <w:p>
      <w:pPr>
        <w:numPr>
          <w:ilvl w:val="0"/>
          <w:numId w:val="1029"/>
        </w:numPr>
        <w:pStyle w:val="Compact"/>
      </w:pPr>
      <w:r>
        <w:rPr>
          <w:bCs/>
          <w:b/>
        </w:rPr>
        <w:t xml:space="preserve">Current design.</w:t>
      </w:r>
      <w:r>
        <w:t xml:space="preserve"> </w:t>
      </w:r>
      <w:r>
        <w:t xml:space="preserve">Unconstrained currency columns on</w:t>
      </w:r>
      <w:r>
        <w:t xml:space="preserve"> </w:t>
      </w:r>
      <w:r>
        <w:rPr>
          <w:rStyle w:val="VerbatimChar"/>
        </w:rPr>
        <w:t xml:space="preserve">organizations.currency</w:t>
      </w:r>
      <w:r>
        <w:t xml:space="preserve">,</w:t>
      </w:r>
      <w:r>
        <w:t xml:space="preserve"> </w:t>
      </w:r>
      <w:r>
        <w:rPr>
          <w:rStyle w:val="VerbatimChar"/>
        </w:rPr>
        <w:t xml:space="preserve">suppliers.payment_currency</w:t>
      </w:r>
      <w:r>
        <w:t xml:space="preserve">,</w:t>
      </w:r>
      <w:r>
        <w:t xml:space="preserve"> </w:t>
      </w:r>
      <w:r>
        <w:rPr>
          <w:rStyle w:val="VerbatimChar"/>
        </w:rPr>
        <w:t xml:space="preserve">document_processing_queue.billing_currency</w:t>
      </w:r>
      <w:r>
        <w:t xml:space="preserve">,</w:t>
      </w:r>
      <w:r>
        <w:t xml:space="preserve"> </w:t>
      </w:r>
      <w:r>
        <w:rPr>
          <w:rStyle w:val="VerbatimChar"/>
        </w:rPr>
        <w:t xml:space="preserve">customer_subscriptions.currency</w:t>
      </w:r>
      <w:r>
        <w:t xml:space="preserve">,</w:t>
      </w:r>
      <w:r>
        <w:t xml:space="preserve"> </w:t>
      </w:r>
      <w:r>
        <w:rPr>
          <w:rStyle w:val="VerbatimChar"/>
        </w:rPr>
        <w:t xml:space="preserve">manual_extraction_batches.currency</w:t>
      </w:r>
      <w:r>
        <w:t xml:space="preserve">,</w:t>
      </w:r>
      <w:r>
        <w:t xml:space="preserve"> </w:t>
      </w:r>
      <w:r>
        <w:rPr>
          <w:rStyle w:val="VerbatimChar"/>
        </w:rPr>
        <w:t xml:space="preserve">consultant_profiles.revenue_currency</w:t>
      </w:r>
      <w:r>
        <w:t xml:space="preserve">, plus</w:t>
      </w:r>
      <w:r>
        <w:t xml:space="preserve"> </w:t>
      </w:r>
      <w:r>
        <w:rPr>
          <w:rStyle w:val="VerbatimChar"/>
        </w:rPr>
        <w:t xml:space="preserve">system_settings.default_currency</w:t>
      </w:r>
      <w:r>
        <w:t xml:space="preserve">; C3 adds the missing seventh on</w:t>
      </w:r>
      <w:r>
        <w:t xml:space="preserve"> </w:t>
      </w:r>
      <w:r>
        <w:rPr>
          <w:rStyle w:val="VerbatimChar"/>
        </w:rPr>
        <w:t xml:space="preserve">consultant_billing</w:t>
      </w:r>
      <w:r>
        <w:t xml:space="preserve">.</w:t>
      </w:r>
    </w:p>
    <w:p>
      <w:pPr>
        <w:numPr>
          <w:ilvl w:val="0"/>
          <w:numId w:val="1029"/>
        </w:numPr>
        <w:pStyle w:val="Compact"/>
      </w:pPr>
      <w:r>
        <w:rPr>
          <w:bCs/>
          <w:b/>
        </w:rPr>
        <w:t xml:space="preserve">Proposed design.</w:t>
      </w:r>
      <w:r>
        <w:t xml:space="preserve"> </w:t>
      </w:r>
      <w:r>
        <w:t xml:space="preserve">CHECK IN (</w:t>
      </w:r>
      <w:r>
        <w:t xml:space="preserve">‘</w:t>
      </w:r>
      <w:r>
        <w:t xml:space="preserve">GBP</w:t>
      </w:r>
      <w:r>
        <w:t xml:space="preserve">’</w:t>
      </w:r>
      <w:r>
        <w:t xml:space="preserve">,</w:t>
      </w:r>
      <w:r>
        <w:t xml:space="preserve">‘</w:t>
      </w:r>
      <w:r>
        <w:t xml:space="preserve">EUR</w:t>
      </w:r>
      <w:r>
        <w:t xml:space="preserve">’</w:t>
      </w:r>
      <w:r>
        <w:t xml:space="preserve">) on all seven, after value audit; EUR default applied at the application layer when</w:t>
      </w:r>
      <w:r>
        <w:t xml:space="preserve"> </w:t>
      </w:r>
      <w:r>
        <w:rPr>
          <w:rStyle w:val="VerbatimChar"/>
        </w:rPr>
        <w:t xml:space="preserve">country='IE'</w:t>
      </w:r>
      <w:r>
        <w:t xml:space="preserve"> </w:t>
      </w:r>
      <w:r>
        <w:t xml:space="preserve">(application work, noted for context).</w:t>
      </w:r>
    </w:p>
    <w:p>
      <w:pPr>
        <w:numPr>
          <w:ilvl w:val="0"/>
          <w:numId w:val="1029"/>
        </w:numPr>
        <w:pStyle w:val="Compact"/>
      </w:pPr>
      <w:r>
        <w:rPr>
          <w:bCs/>
          <w:b/>
        </w:rPr>
        <w:t xml:space="preserve">Why the change is needed.</w:t>
      </w:r>
      <w:r>
        <w:t xml:space="preserve"> </w:t>
      </w:r>
      <w:r>
        <w:t xml:space="preserve">Every aggregation, Stripe reconciliation and spend-based calculation keys off currency; a third code in any of seven columns silently breaks money maths in a two-currency launch.</w:t>
      </w:r>
    </w:p>
    <w:p>
      <w:pPr>
        <w:numPr>
          <w:ilvl w:val="0"/>
          <w:numId w:val="1029"/>
        </w:numPr>
        <w:pStyle w:val="Compact"/>
      </w:pPr>
      <w:r>
        <w:rPr>
          <w:bCs/>
          <w:b/>
        </w:rPr>
        <w:t xml:space="preserve">Benefits.</w:t>
      </w:r>
      <w:r>
        <w:t xml:space="preserve"> </w:t>
      </w:r>
      <w:r>
        <w:t xml:space="preserve">Denominated, reconcilable money across the whole billing surface; GBP-primary/EUR-beta exactly matches the market decision.</w:t>
      </w:r>
    </w:p>
    <w:p>
      <w:pPr>
        <w:numPr>
          <w:ilvl w:val="0"/>
          <w:numId w:val="1029"/>
        </w:numPr>
        <w:pStyle w:val="Compact"/>
      </w:pPr>
      <w:r>
        <w:rPr>
          <w:bCs/>
          <w:b/>
        </w:rPr>
        <w:t xml:space="preserve">Risks.</w:t>
      </w:r>
      <w:r>
        <w:t xml:space="preserve"> </w:t>
      </w:r>
      <w:r>
        <w:t xml:space="preserve">Value-mapping risk only; low.</w:t>
      </w:r>
    </w:p>
    <w:p>
      <w:pPr>
        <w:numPr>
          <w:ilvl w:val="0"/>
          <w:numId w:val="1029"/>
        </w:numPr>
        <w:pStyle w:val="Compact"/>
      </w:pPr>
      <w:r>
        <w:rPr>
          <w:bCs/>
          <w:b/>
        </w:rPr>
        <w:t xml:space="preserve">Migration impact.</w:t>
      </w:r>
      <w:r>
        <w:t xml:space="preserve"> </w:t>
      </w:r>
      <w:r>
        <w:t xml:space="preserve">Small.</w:t>
      </w:r>
    </w:p>
    <w:p>
      <w:pPr>
        <w:numPr>
          <w:ilvl w:val="0"/>
          <w:numId w:val="1029"/>
        </w:numPr>
        <w:pStyle w:val="Compact"/>
      </w:pPr>
      <w:r>
        <w:rPr>
          <w:bCs/>
          <w:b/>
        </w:rPr>
        <w:t xml:space="preserve">Application impact.</w:t>
      </w:r>
      <w:r>
        <w:t xml:space="preserve"> </w:t>
      </w:r>
      <w:r>
        <w:t xml:space="preserve">Currency selectors constrain; defaulting logic at onboarding.</w:t>
      </w:r>
    </w:p>
    <w:p>
      <w:pPr>
        <w:numPr>
          <w:ilvl w:val="0"/>
          <w:numId w:val="1029"/>
        </w:numPr>
        <w:pStyle w:val="Compact"/>
      </w:pPr>
      <w:r>
        <w:rPr>
          <w:bCs/>
          <w:b/>
        </w:rPr>
        <w:t xml:space="preserve">Backward compatibility.</w:t>
      </w:r>
      <w:r>
        <w:t xml:space="preserve"> </w:t>
      </w:r>
      <w:r>
        <w:t xml:space="preserve">Intentionally rejects out-of-list writes; no legitimate v1.0 value excluded.</w:t>
      </w:r>
    </w:p>
    <w:p>
      <w:pPr>
        <w:numPr>
          <w:ilvl w:val="0"/>
          <w:numId w:val="1029"/>
        </w:numPr>
        <w:pStyle w:val="Compact"/>
      </w:pPr>
      <w:r>
        <w:rPr>
          <w:bCs/>
          <w:b/>
        </w:rPr>
        <w:t xml:space="preserve">Recommendation: APPROVE.</w:t>
      </w:r>
    </w:p>
    <w:bookmarkEnd w:id="54"/>
    <w:bookmarkStart w:id="55" w:name="X90d9055d2a55b997707182734b3943d27c3ef63"/>
    <w:p>
      <w:pPr>
        <w:pStyle w:val="Heading3"/>
      </w:pPr>
      <w:r>
        <w:t xml:space="preserve">K3 — Range CHECKs ≥ 0 on emission quantities, factors and counters</w:t>
      </w:r>
    </w:p>
    <w:p>
      <w:pPr>
        <w:numPr>
          <w:ilvl w:val="0"/>
          <w:numId w:val="1030"/>
        </w:numPr>
        <w:pStyle w:val="Compact"/>
      </w:pPr>
      <w:r>
        <w:rPr>
          <w:bCs/>
          <w:b/>
        </w:rPr>
        <w:t xml:space="preserve">Current design.</w:t>
      </w:r>
      <w:r>
        <w:t xml:space="preserve"> </w:t>
      </w:r>
      <w:r>
        <w:rPr>
          <w:rStyle w:val="VerbatimChar"/>
        </w:rPr>
        <w:t xml:space="preserve">emissions_logs.raw_quantity</w:t>
      </w:r>
      <w:r>
        <w:t xml:space="preserve"> </w:t>
      </w:r>
      <w:r>
        <w:t xml:space="preserve">and</w:t>
      </w:r>
      <w:r>
        <w:t xml:space="preserve"> </w:t>
      </w:r>
      <w:r>
        <w:rPr>
          <w:rStyle w:val="VerbatimChar"/>
        </w:rPr>
        <w:t xml:space="preserve">.calculated_kg_co2e</w:t>
      </w:r>
      <w:r>
        <w:t xml:space="preserve">,</w:t>
      </w:r>
      <w:r>
        <w:t xml:space="preserve"> </w:t>
      </w:r>
      <w:r>
        <w:rPr>
          <w:rStyle w:val="VerbatimChar"/>
        </w:rPr>
        <w:t xml:space="preserve">defra_conversion_factors.co2e_multiplier</w:t>
      </w:r>
      <w:r>
        <w:t xml:space="preserve">,</w:t>
      </w:r>
      <w:r>
        <w:t xml:space="preserve"> </w:t>
      </w:r>
      <w:r>
        <w:rPr>
          <w:rStyle w:val="VerbatimChar"/>
        </w:rPr>
        <w:t xml:space="preserve">suppliers.annual_emissions_scope1/2/3</w:t>
      </w:r>
      <w:r>
        <w:t xml:space="preserve"> </w:t>
      </w:r>
      <w:r>
        <w:t xml:space="preserve">and</w:t>
      </w:r>
      <w:r>
        <w:t xml:space="preserve"> </w:t>
      </w:r>
      <w:r>
        <w:rPr>
          <w:rStyle w:val="VerbatimChar"/>
        </w:rPr>
        <w:t xml:space="preserve">.emission_factor_scope1/2/3</w:t>
      </w:r>
      <w:r>
        <w:t xml:space="preserve">,</w:t>
      </w:r>
      <w:r>
        <w:t xml:space="preserve"> </w:t>
      </w:r>
      <w:r>
        <w:rPr>
          <w:rStyle w:val="VerbatimChar"/>
        </w:rPr>
        <w:t xml:space="preserve">supplier_categories.default_emission_factor</w:t>
      </w:r>
      <w:r>
        <w:t xml:space="preserve"> </w:t>
      </w:r>
      <w:r>
        <w:t xml:space="preserve">are all unconstrained numerics.</w:t>
      </w:r>
    </w:p>
    <w:p>
      <w:pPr>
        <w:numPr>
          <w:ilvl w:val="0"/>
          <w:numId w:val="1030"/>
        </w:numPr>
        <w:pStyle w:val="Compact"/>
      </w:pPr>
      <w:r>
        <w:rPr>
          <w:bCs/>
          <w:b/>
        </w:rPr>
        <w:t xml:space="preserve">Proposed design.</w:t>
      </w:r>
      <w:r>
        <w:t xml:space="preserve"> </w:t>
      </w:r>
      <w:r>
        <w:t xml:space="preserve">CHECK (value &gt;= 0) on each; companion non-negative CHECKs on money/usage counters (</w:t>
      </w:r>
      <w:r>
        <w:rPr>
          <w:rStyle w:val="VerbatimChar"/>
        </w:rPr>
        <w:t xml:space="preserve">usage_tracking.*</w:t>
      </w:r>
      <w:r>
        <w:t xml:space="preserve">, subscription price/usage ints) in the same batch.</w:t>
      </w:r>
    </w:p>
    <w:p>
      <w:pPr>
        <w:numPr>
          <w:ilvl w:val="0"/>
          <w:numId w:val="1030"/>
        </w:numPr>
        <w:pStyle w:val="Compact"/>
      </w:pPr>
      <w:r>
        <w:rPr>
          <w:bCs/>
          <w:b/>
        </w:rPr>
        <w:t xml:space="preserve">Why the change is needed.</w:t>
      </w:r>
      <w:r>
        <w:t xml:space="preserve"> </w:t>
      </w:r>
      <w:r>
        <w:t xml:space="preserve">One negative</w:t>
      </w:r>
      <w:r>
        <w:t xml:space="preserve"> </w:t>
      </w:r>
      <w:r>
        <w:rPr>
          <w:rStyle w:val="VerbatimChar"/>
        </w:rPr>
        <w:t xml:space="preserve">calculated_kg_co2e</w:t>
      </w:r>
      <w:r>
        <w:t xml:space="preserve"> </w:t>
      </w:r>
      <w:r>
        <w:t xml:space="preserve">silently corrupts every SECR total it enters; nothing fails loudly — the report is simply wrong.</w:t>
      </w:r>
    </w:p>
    <w:p>
      <w:pPr>
        <w:numPr>
          <w:ilvl w:val="0"/>
          <w:numId w:val="1030"/>
        </w:numPr>
        <w:pStyle w:val="Compact"/>
      </w:pPr>
      <w:r>
        <w:rPr>
          <w:bCs/>
          <w:b/>
        </w:rPr>
        <w:t xml:space="preserve">Benefits.</w:t>
      </w:r>
      <w:r>
        <w:t xml:space="preserve"> </w:t>
      </w:r>
      <w:r>
        <w:t xml:space="preserve">The core number is range-protected at the database; pipeline bugs surface as write errors instead of wrong reports.</w:t>
      </w:r>
    </w:p>
    <w:p>
      <w:pPr>
        <w:numPr>
          <w:ilvl w:val="0"/>
          <w:numId w:val="1030"/>
        </w:numPr>
        <w:pStyle w:val="Compact"/>
      </w:pPr>
      <w:r>
        <w:rPr>
          <w:bCs/>
          <w:b/>
        </w:rPr>
        <w:t xml:space="preserve">Risks.</w:t>
      </w:r>
      <w:r>
        <w:t xml:space="preserve"> </w:t>
      </w:r>
      <w:r>
        <w:t xml:space="preserve">A legitimate correction workflow might want negative adjustment lines — the adjustment pattern is a positive quantity with a sign/flag, confirmed at design; risk accepted and documented.</w:t>
      </w:r>
    </w:p>
    <w:p>
      <w:pPr>
        <w:numPr>
          <w:ilvl w:val="0"/>
          <w:numId w:val="1030"/>
        </w:numPr>
        <w:pStyle w:val="Compact"/>
      </w:pPr>
      <w:r>
        <w:rPr>
          <w:bCs/>
          <w:b/>
        </w:rPr>
        <w:t xml:space="preserve">Migration impact.</w:t>
      </w:r>
      <w:r>
        <w:t xml:space="preserve"> </w:t>
      </w:r>
      <w:r>
        <w:t xml:space="preserve">Small: value audit then CHECKs.</w:t>
      </w:r>
    </w:p>
    <w:p>
      <w:pPr>
        <w:numPr>
          <w:ilvl w:val="0"/>
          <w:numId w:val="1030"/>
        </w:numPr>
        <w:pStyle w:val="Compact"/>
      </w:pPr>
      <w:r>
        <w:rPr>
          <w:bCs/>
          <w:b/>
        </w:rPr>
        <w:t xml:space="preserve">Application impact.</w:t>
      </w:r>
      <w:r>
        <w:t xml:space="preserve"> </w:t>
      </w:r>
      <w:r>
        <w:t xml:space="preserve">Write paths surface validation errors; extraction pipeline guards negatives.</w:t>
      </w:r>
    </w:p>
    <w:p>
      <w:pPr>
        <w:numPr>
          <w:ilvl w:val="0"/>
          <w:numId w:val="1030"/>
        </w:numPr>
        <w:pStyle w:val="Compact"/>
      </w:pPr>
      <w:r>
        <w:rPr>
          <w:bCs/>
          <w:b/>
        </w:rPr>
        <w:t xml:space="preserve">Backward compatibility.</w:t>
      </w:r>
      <w:r>
        <w:t xml:space="preserve"> </w:t>
      </w:r>
      <w:r>
        <w:t xml:space="preserve">Rejects previously-allowed negatives — intended; none legitimate.</w:t>
      </w:r>
    </w:p>
    <w:p>
      <w:pPr>
        <w:numPr>
          <w:ilvl w:val="0"/>
          <w:numId w:val="1030"/>
        </w:numPr>
        <w:pStyle w:val="Compact"/>
      </w:pPr>
      <w:r>
        <w:rPr>
          <w:bCs/>
          <w:b/>
        </w:rPr>
        <w:t xml:space="preserve">Recommendation: APPROVE.</w:t>
      </w:r>
    </w:p>
    <w:bookmarkEnd w:id="55"/>
    <w:bookmarkStart w:id="56" w:name="X3e7a53dde04c0c725c85f627d9f18fc3a01a1d1"/>
    <w:p>
      <w:pPr>
        <w:pStyle w:val="Heading3"/>
      </w:pPr>
      <w:r>
        <w:t xml:space="preserve">K4 — Status/role CHECK value lists on five queue/billing/role columns</w:t>
      </w:r>
    </w:p>
    <w:p>
      <w:pPr>
        <w:numPr>
          <w:ilvl w:val="0"/>
          <w:numId w:val="1031"/>
        </w:numPr>
        <w:pStyle w:val="Compact"/>
      </w:pPr>
      <w:r>
        <w:rPr>
          <w:bCs/>
          <w:b/>
        </w:rPr>
        <w:t xml:space="preserve">Current design.</w:t>
      </w:r>
      <w:r>
        <w:t xml:space="preserve"> </w:t>
      </w:r>
      <w:r>
        <w:t xml:space="preserve">Free-text status columns:</w:t>
      </w:r>
      <w:r>
        <w:t xml:space="preserve"> </w:t>
      </w:r>
      <w:r>
        <w:rPr>
          <w:rStyle w:val="VerbatimChar"/>
        </w:rPr>
        <w:t xml:space="preserve">processing_queue.queue_status</w:t>
      </w:r>
      <w:r>
        <w:t xml:space="preserve">,</w:t>
      </w:r>
      <w:r>
        <w:t xml:space="preserve"> </w:t>
      </w:r>
      <w:r>
        <w:rPr>
          <w:rStyle w:val="VerbatimChar"/>
        </w:rPr>
        <w:t xml:space="preserve">document_processing_queue.status</w:t>
      </w:r>
      <w:r>
        <w:t xml:space="preserve">,</w:t>
      </w:r>
      <w:r>
        <w:t xml:space="preserve"> </w:t>
      </w:r>
      <w:r>
        <w:rPr>
          <w:rStyle w:val="VerbatimChar"/>
        </w:rPr>
        <w:t xml:space="preserve">customer_documents.status</w:t>
      </w:r>
      <w:r>
        <w:t xml:space="preserve">,</w:t>
      </w:r>
      <w:r>
        <w:t xml:space="preserve"> </w:t>
      </w:r>
      <w:r>
        <w:rPr>
          <w:rStyle w:val="VerbatimChar"/>
        </w:rPr>
        <w:t xml:space="preserve">organization_members.role</w:t>
      </w:r>
      <w:r>
        <w:t xml:space="preserve">,</w:t>
      </w:r>
      <w:r>
        <w:t xml:space="preserve"> </w:t>
      </w:r>
      <w:r>
        <w:rPr>
          <w:rStyle w:val="VerbatimChar"/>
        </w:rPr>
        <w:t xml:space="preserve">customer_subscriptions.status</w:t>
      </w:r>
      <w:r>
        <w:t xml:space="preserve"> </w:t>
      </w:r>
      <w:r>
        <w:t xml:space="preserve">(all varchar/text, nullable).</w:t>
      </w:r>
    </w:p>
    <w:p>
      <w:pPr>
        <w:numPr>
          <w:ilvl w:val="0"/>
          <w:numId w:val="1031"/>
        </w:numPr>
        <w:pStyle w:val="Compact"/>
      </w:pPr>
      <w:r>
        <w:rPr>
          <w:bCs/>
          <w:b/>
        </w:rPr>
        <w:t xml:space="preserve">Proposed design.</w:t>
      </w:r>
      <w:r>
        <w:t xml:space="preserve"> </w:t>
      </w:r>
      <w:r>
        <w:t xml:space="preserve">CHECK value lists on these five, scoped from the application enumerations; the remaining ~20 free-text statuses defer to v1.1.</w:t>
      </w:r>
    </w:p>
    <w:p>
      <w:pPr>
        <w:numPr>
          <w:ilvl w:val="0"/>
          <w:numId w:val="1031"/>
        </w:numPr>
        <w:pStyle w:val="Compact"/>
      </w:pPr>
      <w:r>
        <w:rPr>
          <w:bCs/>
          <w:b/>
        </w:rPr>
        <w:t xml:space="preserve">Why the change is needed.</w:t>
      </w:r>
      <w:r>
        <w:t xml:space="preserve"> </w:t>
      </w:r>
      <w:r>
        <w:t xml:space="preserve">Status typos on queue and billing columns become silent states workers and limit-checks miss — a stuck document no queue ever claims, a subscription no limit logic recognises.</w:t>
      </w:r>
    </w:p>
    <w:p>
      <w:pPr>
        <w:numPr>
          <w:ilvl w:val="0"/>
          <w:numId w:val="1031"/>
        </w:numPr>
        <w:pStyle w:val="Compact"/>
      </w:pPr>
      <w:r>
        <w:rPr>
          <w:bCs/>
          <w:b/>
        </w:rPr>
        <w:t xml:space="preserve">Benefits.</w:t>
      </w:r>
      <w:r>
        <w:t xml:space="preserve"> </w:t>
      </w:r>
      <w:r>
        <w:t xml:space="preserve">Closed state sets on the columns whose wrongness is invisible; CHECKs chosen over PG enums deliberately (enums are migration-hostile; the frozen D8 decision).</w:t>
      </w:r>
    </w:p>
    <w:p>
      <w:pPr>
        <w:numPr>
          <w:ilvl w:val="0"/>
          <w:numId w:val="1031"/>
        </w:numPr>
        <w:pStyle w:val="Compact"/>
      </w:pPr>
      <w:r>
        <w:rPr>
          <w:bCs/>
          <w:b/>
        </w:rPr>
        <w:t xml:space="preserve">Risks.</w:t>
      </w:r>
      <w:r>
        <w:t xml:space="preserve"> </w:t>
      </w:r>
      <w:r>
        <w:t xml:space="preserve">Every new legitimate state requires a migration — accepted as the cost of a closed set on five columns only.</w:t>
      </w:r>
    </w:p>
    <w:p>
      <w:pPr>
        <w:numPr>
          <w:ilvl w:val="0"/>
          <w:numId w:val="1031"/>
        </w:numPr>
        <w:pStyle w:val="Compact"/>
      </w:pPr>
      <w:r>
        <w:rPr>
          <w:bCs/>
          <w:b/>
        </w:rPr>
        <w:t xml:space="preserve">Migration impact.</w:t>
      </w:r>
      <w:r>
        <w:t xml:space="preserve"> </w:t>
      </w:r>
      <w:r>
        <w:t xml:space="preserve">Small: value-mapping audit first.</w:t>
      </w:r>
    </w:p>
    <w:p>
      <w:pPr>
        <w:numPr>
          <w:ilvl w:val="0"/>
          <w:numId w:val="1031"/>
        </w:numPr>
        <w:pStyle w:val="Compact"/>
      </w:pPr>
      <w:r>
        <w:rPr>
          <w:bCs/>
          <w:b/>
        </w:rPr>
        <w:t xml:space="preserve">Application impact.</w:t>
      </w:r>
      <w:r>
        <w:t xml:space="preserve"> </w:t>
      </w:r>
      <w:r>
        <w:t xml:space="preserve">Centralised status constants verified against the lists.</w:t>
      </w:r>
    </w:p>
    <w:p>
      <w:pPr>
        <w:numPr>
          <w:ilvl w:val="0"/>
          <w:numId w:val="1031"/>
        </w:numPr>
        <w:pStyle w:val="Compact"/>
      </w:pPr>
      <w:r>
        <w:rPr>
          <w:bCs/>
          <w:b/>
        </w:rPr>
        <w:t xml:space="preserve">Backward compatibility.</w:t>
      </w:r>
      <w:r>
        <w:t xml:space="preserve"> </w:t>
      </w:r>
      <w:r>
        <w:t xml:space="preserve">Rejects out-of-list writes — intended.</w:t>
      </w:r>
    </w:p>
    <w:p>
      <w:pPr>
        <w:numPr>
          <w:ilvl w:val="0"/>
          <w:numId w:val="1031"/>
        </w:numPr>
        <w:pStyle w:val="Compact"/>
      </w:pPr>
      <w:r>
        <w:rPr>
          <w:bCs/>
          <w:b/>
        </w:rPr>
        <w:t xml:space="preserve">Recommendation: APPROVE.</w:t>
      </w:r>
    </w:p>
    <w:bookmarkEnd w:id="56"/>
    <w:bookmarkStart w:id="57" w:name="k5-uniqueness-set"/>
    <w:p>
      <w:pPr>
        <w:pStyle w:val="Heading3"/>
      </w:pPr>
      <w:r>
        <w:t xml:space="preserve">K5 — Uniqueness set</w:t>
      </w:r>
    </w:p>
    <w:p>
      <w:pPr>
        <w:numPr>
          <w:ilvl w:val="0"/>
          <w:numId w:val="1032"/>
        </w:numPr>
        <w:pStyle w:val="Compact"/>
      </w:pPr>
      <w:r>
        <w:rPr>
          <w:bCs/>
          <w:b/>
        </w:rPr>
        <w:t xml:space="preserve">Current design.</w:t>
      </w:r>
      <w:r>
        <w:t xml:space="preserve"> </w:t>
      </w:r>
      <w:r>
        <w:t xml:space="preserve">No UNIQUE on:</w:t>
      </w:r>
      <w:r>
        <w:t xml:space="preserve"> </w:t>
      </w:r>
      <w:r>
        <w:rPr>
          <w:rStyle w:val="VerbatimChar"/>
        </w:rPr>
        <w:t xml:space="preserve">organization_members(organization_id, user_id)</w:t>
      </w:r>
      <w:r>
        <w:t xml:space="preserve">;</w:t>
      </w:r>
      <w:r>
        <w:t xml:space="preserve"> </w:t>
      </w:r>
      <w:r>
        <w:rPr>
          <w:rStyle w:val="VerbatimChar"/>
        </w:rPr>
        <w:t xml:space="preserve">consultant_clients(consultant_id, organization_id)</w:t>
      </w:r>
      <w:r>
        <w:t xml:space="preserve">;</w:t>
      </w:r>
      <w:r>
        <w:t xml:space="preserve"> </w:t>
      </w:r>
      <w:r>
        <w:rPr>
          <w:rStyle w:val="VerbatimChar"/>
        </w:rPr>
        <w:t xml:space="preserve">usage_tracking(organization_id, usage_month)</w:t>
      </w:r>
      <w:r>
        <w:t xml:space="preserve">;</w:t>
      </w:r>
      <w:r>
        <w:t xml:space="preserve"> </w:t>
      </w:r>
      <w:r>
        <w:rPr>
          <w:rStyle w:val="VerbatimChar"/>
        </w:rPr>
        <w:t xml:space="preserve">report_versions(report_id, version_number)</w:t>
      </w:r>
      <w:r>
        <w:t xml:space="preserve">; supplier identifiers (</w:t>
      </w:r>
      <w:r>
        <w:rPr>
          <w:rStyle w:val="VerbatimChar"/>
        </w:rPr>
        <w:t xml:space="preserve">suppliers.vat_number</w:t>
      </w:r>
      <w:r>
        <w:t xml:space="preserve">,</w:t>
      </w:r>
      <w:r>
        <w:t xml:space="preserve"> </w:t>
      </w:r>
      <w:r>
        <w:rPr>
          <w:rStyle w:val="VerbatimChar"/>
        </w:rPr>
        <w:t xml:space="preserve">.company_number</w:t>
      </w:r>
      <w:r>
        <w:t xml:space="preserve"> </w:t>
      </w:r>
      <w:r>
        <w:t xml:space="preserve">unconstrained); the factor table (duplicate</w:t>
      </w:r>
      <w:r>
        <w:t xml:space="preserve"> </w:t>
      </w:r>
      <w:r>
        <w:rPr>
          <w:rStyle w:val="VerbatimChar"/>
        </w:rPr>
        <w:t xml:space="preserve">(reporting_year, activity_type)</w:t>
      </w:r>
      <w:r>
        <w:t xml:space="preserve"> </w:t>
      </w:r>
      <w:r>
        <w:t xml:space="preserve">rows possible — silently double-counted factors).</w:t>
      </w:r>
    </w:p>
    <w:p>
      <w:pPr>
        <w:numPr>
          <w:ilvl w:val="0"/>
          <w:numId w:val="1032"/>
        </w:numPr>
        <w:pStyle w:val="Compact"/>
      </w:pPr>
      <w:r>
        <w:rPr>
          <w:bCs/>
          <w:b/>
        </w:rPr>
        <w:t xml:space="preserve">Proposed design.</w:t>
      </w:r>
      <w:r>
        <w:t xml:space="preserve"> </w:t>
      </w:r>
      <w:r>
        <w:t xml:space="preserve">UNIQUE constraints on the four composites; partial UNIQUEs on</w:t>
      </w:r>
      <w:r>
        <w:t xml:space="preserve"> </w:t>
      </w:r>
      <w:r>
        <w:rPr>
          <w:rStyle w:val="VerbatimChar"/>
        </w:rPr>
        <w:t xml:space="preserve">suppliers(organization_id, vat_number)</w:t>
      </w:r>
      <w:r>
        <w:t xml:space="preserve"> </w:t>
      </w:r>
      <w:r>
        <w:t xml:space="preserve">and</w:t>
      </w:r>
      <w:r>
        <w:t xml:space="preserve"> </w:t>
      </w:r>
      <w:r>
        <w:rPr>
          <w:rStyle w:val="VerbatimChar"/>
        </w:rPr>
        <w:t xml:space="preserve">(organization_id, company_number)</w:t>
      </w:r>
      <w:r>
        <w:t xml:space="preserve"> </w:t>
      </w:r>
      <w:r>
        <w:t xml:space="preserve">WHERE NOT NULL; and — after C4 — UNIQUE on</w:t>
      </w:r>
      <w:r>
        <w:t xml:space="preserve"> </w:t>
      </w:r>
      <w:r>
        <w:rPr>
          <w:rStyle w:val="VerbatimChar"/>
        </w:rPr>
        <w:t xml:space="preserve">emission_factors(reporting_year, activity_type, country)</w:t>
      </w:r>
      <w:r>
        <w:t xml:space="preserve">. A name-unique on suppliers is explicitly</w:t>
      </w:r>
      <w:r>
        <w:t xml:space="preserve"> </w:t>
      </w:r>
      <w:r>
        <w:rPr>
          <w:bCs/>
          <w:b/>
        </w:rPr>
        <w:t xml:space="preserve">not</w:t>
      </w:r>
      <w:r>
        <w:t xml:space="preserve"> </w:t>
      </w:r>
      <w:r>
        <w:t xml:space="preserve">included (legitimate same-name suppliers exist; the trigram</w:t>
      </w:r>
      <w:r>
        <w:t xml:space="preserve"> </w:t>
      </w:r>
      <w:r>
        <w:t xml:space="preserve">“</w:t>
      </w:r>
      <w:r>
        <w:t xml:space="preserve">did you mean?</w:t>
      </w:r>
      <w:r>
        <w:t xml:space="preserve">”</w:t>
      </w:r>
      <w:r>
        <w:t xml:space="preserve"> </w:t>
      </w:r>
      <w:r>
        <w:t xml:space="preserve">of I5 is the soft control).</w:t>
      </w:r>
    </w:p>
    <w:p>
      <w:pPr>
        <w:numPr>
          <w:ilvl w:val="0"/>
          <w:numId w:val="1032"/>
        </w:numPr>
        <w:pStyle w:val="Compact"/>
      </w:pPr>
      <w:r>
        <w:rPr>
          <w:bCs/>
          <w:b/>
        </w:rPr>
        <w:t xml:space="preserve">Why the change is needed.</w:t>
      </w:r>
      <w:r>
        <w:t xml:space="preserve"> </w:t>
      </w:r>
      <w:r>
        <w:t xml:space="preserve">Duplicate memberships corrupt RLS semantics; duplicate usage months split billing allowances; duplicate report versions make</w:t>
      </w:r>
      <w:r>
        <w:t xml:space="preserve"> </w:t>
      </w:r>
      <w:r>
        <w:rPr>
          <w:rStyle w:val="VerbatimChar"/>
        </w:rPr>
        <w:t xml:space="preserve">is_current</w:t>
      </w:r>
      <w:r>
        <w:t xml:space="preserve"> </w:t>
      </w:r>
      <w:r>
        <w:t xml:space="preserve">ambiguous; duplicate factors double-count the product’s core number; duplicate supplier identifiers are amplified by</w:t>
      </w:r>
      <w:r>
        <w:t xml:space="preserve"> </w:t>
      </w:r>
      <w:r>
        <w:rPr>
          <w:rStyle w:val="VerbatimChar"/>
        </w:rPr>
        <w:t xml:space="preserve">ai_mapped_supplier_id</w:t>
      </w:r>
      <w:r>
        <w:t xml:space="preserve"> </w:t>
      </w:r>
      <w:r>
        <w:t xml:space="preserve">into emissions data.</w:t>
      </w:r>
    </w:p>
    <w:p>
      <w:pPr>
        <w:numPr>
          <w:ilvl w:val="0"/>
          <w:numId w:val="1032"/>
        </w:numPr>
        <w:pStyle w:val="Compact"/>
      </w:pPr>
      <w:r>
        <w:rPr>
          <w:bCs/>
          <w:b/>
        </w:rPr>
        <w:t xml:space="preserve">Benefits.</w:t>
      </w:r>
      <w:r>
        <w:t xml:space="preserve"> </w:t>
      </w:r>
      <w:r>
        <w:t xml:space="preserve">One row per real-world fact across the five highest-blast-radius relationships.</w:t>
      </w:r>
    </w:p>
    <w:p>
      <w:pPr>
        <w:numPr>
          <w:ilvl w:val="0"/>
          <w:numId w:val="1032"/>
        </w:numPr>
        <w:pStyle w:val="Compact"/>
      </w:pPr>
      <w:r>
        <w:rPr>
          <w:bCs/>
          <w:b/>
        </w:rPr>
        <w:t xml:space="preserve">Risks.</w:t>
      </w:r>
      <w:r>
        <w:t xml:space="preserve"> </w:t>
      </w:r>
      <w:r>
        <w:t xml:space="preserve">Pre-existing duplicates block the constraints — the staging dedupe sweep gates; partials avoid penalising NULL-heavy legitimate rows.</w:t>
      </w:r>
    </w:p>
    <w:p>
      <w:pPr>
        <w:numPr>
          <w:ilvl w:val="0"/>
          <w:numId w:val="1032"/>
        </w:numPr>
        <w:pStyle w:val="Compact"/>
      </w:pPr>
      <w:r>
        <w:rPr>
          <w:bCs/>
          <w:b/>
        </w:rPr>
        <w:t xml:space="preserve">Migration impact.</w:t>
      </w:r>
      <w:r>
        <w:t xml:space="preserve"> </w:t>
      </w:r>
      <w:r>
        <w:t xml:space="preserve">Medium: dedupe audit, then six constraints; each UNIQUE-backed index also serves its lookup path (counted here, not in §4).</w:t>
      </w:r>
    </w:p>
    <w:p>
      <w:pPr>
        <w:numPr>
          <w:ilvl w:val="0"/>
          <w:numId w:val="1032"/>
        </w:numPr>
        <w:pStyle w:val="Compact"/>
      </w:pPr>
      <w:r>
        <w:rPr>
          <w:bCs/>
          <w:b/>
        </w:rPr>
        <w:t xml:space="preserve">Application impact.</w:t>
      </w:r>
      <w:r>
        <w:t xml:space="preserve"> </w:t>
      </w:r>
      <w:r>
        <w:t xml:space="preserve">Duplicate submissions surface 409s with resolution UX.</w:t>
      </w:r>
    </w:p>
    <w:p>
      <w:pPr>
        <w:numPr>
          <w:ilvl w:val="0"/>
          <w:numId w:val="1032"/>
        </w:numPr>
        <w:pStyle w:val="Compact"/>
      </w:pPr>
      <w:r>
        <w:rPr>
          <w:bCs/>
          <w:b/>
        </w:rPr>
        <w:t xml:space="preserve">Backward compatibility.</w:t>
      </w:r>
      <w:r>
        <w:t xml:space="preserve"> </w:t>
      </w:r>
      <w:r>
        <w:t xml:space="preserve">Rejects duplicates previously allowed — intended.</w:t>
      </w:r>
    </w:p>
    <w:p>
      <w:pPr>
        <w:numPr>
          <w:ilvl w:val="0"/>
          <w:numId w:val="1032"/>
        </w:numPr>
        <w:pStyle w:val="Compact"/>
      </w:pPr>
      <w:r>
        <w:rPr>
          <w:bCs/>
          <w:b/>
        </w:rPr>
        <w:t xml:space="preserve">Recommendation: APPROVE.</w:t>
      </w:r>
    </w:p>
    <w:bookmarkEnd w:id="57"/>
    <w:bookmarkStart w:id="58" w:name="X3f2d837cda08888b3c878f2dca2308cbbebc045"/>
    <w:p>
      <w:pPr>
        <w:pStyle w:val="Heading3"/>
      </w:pPr>
      <w:r>
        <w:t xml:space="preserve">K6 — Drop UNIQUE on</w:t>
      </w:r>
      <w:r>
        <w:t xml:space="preserve"> </w:t>
      </w:r>
      <w:r>
        <w:rPr>
          <w:rStyle w:val="VerbatimChar"/>
        </w:rPr>
        <w:t xml:space="preserve">password_reset_tokens.user_id</w:t>
      </w:r>
      <w:r>
        <w:t xml:space="preserve">; keep UNIQUE on</w:t>
      </w:r>
      <w:r>
        <w:t xml:space="preserve"> </w:t>
      </w:r>
      <w:r>
        <w:rPr>
          <w:rStyle w:val="VerbatimChar"/>
        </w:rPr>
        <w:t xml:space="preserve">token</w:t>
      </w:r>
    </w:p>
    <w:p>
      <w:pPr>
        <w:numPr>
          <w:ilvl w:val="0"/>
          <w:numId w:val="1033"/>
        </w:numPr>
        <w:pStyle w:val="Compact"/>
      </w:pPr>
      <w:r>
        <w:rPr>
          <w:bCs/>
          <w:b/>
        </w:rPr>
        <w:t xml:space="preserve">Current design.</w:t>
      </w:r>
      <w:r>
        <w:t xml:space="preserve"> </w:t>
      </w:r>
      <w:r>
        <w:rPr>
          <w:rStyle w:val="VerbatimChar"/>
        </w:rPr>
        <w:t xml:space="preserve">password_reset_tokens.user_id</w:t>
      </w:r>
      <w:r>
        <w:t xml:space="preserve"> </w:t>
      </w:r>
      <w:r>
        <w:t xml:space="preserve">is Nullable</w:t>
      </w:r>
      <w:r>
        <w:t xml:space="preserve"> </w:t>
      </w:r>
      <w:r>
        <w:rPr>
          <w:bCs/>
          <w:b/>
        </w:rPr>
        <w:t xml:space="preserve">Unique</w:t>
      </w:r>
      <w:r>
        <w:t xml:space="preserve">;</w:t>
      </w:r>
      <w:r>
        <w:t xml:space="preserve"> </w:t>
      </w:r>
      <w:r>
        <w:rPr>
          <w:rStyle w:val="VerbatimChar"/>
        </w:rPr>
        <w:t xml:space="preserve">token</w:t>
      </w:r>
      <w:r>
        <w:t xml:space="preserve"> </w:t>
      </w:r>
      <w:r>
        <w:t xml:space="preserve">is Unique.</w:t>
      </w:r>
    </w:p>
    <w:p>
      <w:pPr>
        <w:numPr>
          <w:ilvl w:val="0"/>
          <w:numId w:val="1033"/>
        </w:numPr>
        <w:pStyle w:val="Compact"/>
      </w:pPr>
      <w:r>
        <w:rPr>
          <w:bCs/>
          <w:b/>
        </w:rPr>
        <w:t xml:space="preserve">Proposed design.</w:t>
      </w:r>
      <w:r>
        <w:t xml:space="preserve"> </w:t>
      </w:r>
      <w:r>
        <w:t xml:space="preserve">Drop the</w:t>
      </w:r>
      <w:r>
        <w:t xml:space="preserve"> </w:t>
      </w:r>
      <w:r>
        <w:rPr>
          <w:rStyle w:val="VerbatimChar"/>
        </w:rPr>
        <w:t xml:space="preserve">user_id</w:t>
      </w:r>
      <w:r>
        <w:t xml:space="preserve"> </w:t>
      </w:r>
      <w:r>
        <w:t xml:space="preserve">uniqueness; retain</w:t>
      </w:r>
      <w:r>
        <w:t xml:space="preserve"> </w:t>
      </w:r>
      <w:r>
        <w:rPr>
          <w:rStyle w:val="VerbatimChar"/>
        </w:rPr>
        <w:t xml:space="preserve">token</w:t>
      </w:r>
      <w:r>
        <w:t xml:space="preserve"> </w:t>
      </w:r>
      <w:r>
        <w:t xml:space="preserve">uniqueness; latest-valid-wins semantics in the application.</w:t>
      </w:r>
    </w:p>
    <w:p>
      <w:pPr>
        <w:numPr>
          <w:ilvl w:val="0"/>
          <w:numId w:val="1033"/>
        </w:numPr>
        <w:pStyle w:val="Compact"/>
      </w:pPr>
      <w:r>
        <w:rPr>
          <w:bCs/>
          <w:b/>
        </w:rPr>
        <w:t xml:space="preserve">Why the change is needed.</w:t>
      </w:r>
      <w:r>
        <w:t xml:space="preserve"> </w:t>
      </w:r>
      <w:r>
        <w:t xml:space="preserve">One-reset-per-user uniqueness creates an unauthenticated reset-DoS: cycling reset requests continuously invalidates a victim’s genuine token, and repeat legitimate requests error.</w:t>
      </w:r>
    </w:p>
    <w:p>
      <w:pPr>
        <w:numPr>
          <w:ilvl w:val="0"/>
          <w:numId w:val="1033"/>
        </w:numPr>
        <w:pStyle w:val="Compact"/>
      </w:pPr>
      <w:r>
        <w:rPr>
          <w:bCs/>
          <w:b/>
        </w:rPr>
        <w:t xml:space="preserve">Benefits.</w:t>
      </w:r>
      <w:r>
        <w:t xml:space="preserve"> </w:t>
      </w:r>
      <w:r>
        <w:t xml:space="preserve">DoS closed; multiple outstanding tokens with latest-wins is the standard posture.</w:t>
      </w:r>
    </w:p>
    <w:p>
      <w:pPr>
        <w:numPr>
          <w:ilvl w:val="0"/>
          <w:numId w:val="1033"/>
        </w:numPr>
        <w:pStyle w:val="Compact"/>
      </w:pPr>
      <w:r>
        <w:rPr>
          <w:bCs/>
          <w:b/>
        </w:rPr>
        <w:t xml:space="preserve">Risks.</w:t>
      </w:r>
      <w:r>
        <w:t xml:space="preserve"> </w:t>
      </w:r>
      <w:r>
        <w:t xml:space="preserve">Multiple live tokens per user — bounded by</w:t>
      </w:r>
      <w:r>
        <w:t xml:space="preserve"> </w:t>
      </w:r>
      <w:r>
        <w:rPr>
          <w:rStyle w:val="VerbatimChar"/>
        </w:rPr>
        <w:t xml:space="preserve">expires_at</w:t>
      </w:r>
      <w:r>
        <w:t xml:space="preserve"> </w:t>
      </w:r>
      <w:r>
        <w:t xml:space="preserve">and the used-flag lifecycle.</w:t>
      </w:r>
    </w:p>
    <w:p>
      <w:pPr>
        <w:numPr>
          <w:ilvl w:val="0"/>
          <w:numId w:val="1033"/>
        </w:numPr>
        <w:pStyle w:val="Compact"/>
      </w:pPr>
      <w:r>
        <w:rPr>
          <w:bCs/>
          <w:b/>
        </w:rPr>
        <w:t xml:space="preserve">Migration impact.</w:t>
      </w:r>
      <w:r>
        <w:t xml:space="preserve"> </w:t>
      </w:r>
      <w:r>
        <w:t xml:space="preserve">Small: one constraint drop. (Token</w:t>
      </w:r>
      <w:r>
        <w:t xml:space="preserve"> </w:t>
      </w:r>
      <w:r>
        <w:rPr>
          <w:iCs/>
          <w:i/>
        </w:rPr>
        <w:t xml:space="preserve">hashing</w:t>
      </w:r>
      <w:r>
        <w:t xml:space="preserve"> </w:t>
      </w:r>
      <w:r>
        <w:t xml:space="preserve">rides the same migration but is data/security work, not structure.)</w:t>
      </w:r>
    </w:p>
    <w:p>
      <w:pPr>
        <w:numPr>
          <w:ilvl w:val="0"/>
          <w:numId w:val="1033"/>
        </w:numPr>
        <w:pStyle w:val="Compact"/>
      </w:pPr>
      <w:r>
        <w:rPr>
          <w:bCs/>
          <w:b/>
        </w:rPr>
        <w:t xml:space="preserve">Application impact.</w:t>
      </w:r>
      <w:r>
        <w:t xml:space="preserve"> </w:t>
      </w:r>
      <w:r>
        <w:t xml:space="preserve">Reset flow issues freely, validates latest.</w:t>
      </w:r>
    </w:p>
    <w:p>
      <w:pPr>
        <w:numPr>
          <w:ilvl w:val="0"/>
          <w:numId w:val="1033"/>
        </w:numPr>
        <w:pStyle w:val="Compact"/>
      </w:pPr>
      <w:r>
        <w:rPr>
          <w:bCs/>
          <w:b/>
        </w:rPr>
        <w:t xml:space="preserve">Backward compatibility.</w:t>
      </w:r>
      <w:r>
        <w:t xml:space="preserve"> </w:t>
      </w:r>
      <w:r>
        <w:t xml:space="preserve">Relaxes a constraint — safe direction.</w:t>
      </w:r>
    </w:p>
    <w:p>
      <w:pPr>
        <w:numPr>
          <w:ilvl w:val="0"/>
          <w:numId w:val="1033"/>
        </w:numPr>
        <w:pStyle w:val="Compact"/>
      </w:pPr>
      <w:r>
        <w:rPr>
          <w:bCs/>
          <w:b/>
        </w:rPr>
        <w:t xml:space="preserve">Recommendation: APPROVE.</w:t>
      </w:r>
    </w:p>
    <w:bookmarkEnd w:id="58"/>
    <w:bookmarkStart w:id="59" w:name="Xa2a8ad3e70262e2feef620d3d405379bab57fc7"/>
    <w:p>
      <w:pPr>
        <w:pStyle w:val="Heading3"/>
      </w:pPr>
      <w:r>
        <w:t xml:space="preserve">K7 — Backfill then NOT NULL</w:t>
      </w:r>
      <w:r>
        <w:t xml:space="preserve"> </w:t>
      </w:r>
      <w:r>
        <w:rPr>
          <w:rStyle w:val="VerbatimChar"/>
        </w:rPr>
        <w:t xml:space="preserve">organization_id</w:t>
      </w:r>
      <w:r>
        <w:t xml:space="preserve"> </w:t>
      </w:r>
      <w:r>
        <w:t xml:space="preserve">on six hot tenant tables</w:t>
      </w:r>
    </w:p>
    <w:p>
      <w:pPr>
        <w:numPr>
          <w:ilvl w:val="0"/>
          <w:numId w:val="1034"/>
        </w:numPr>
        <w:pStyle w:val="Compact"/>
      </w:pPr>
      <w:r>
        <w:rPr>
          <w:bCs/>
          <w:b/>
        </w:rPr>
        <w:t xml:space="preserve">Current design.</w:t>
      </w:r>
      <w:r>
        <w:t xml:space="preserve"> </w:t>
      </w:r>
      <w:r>
        <w:rPr>
          <w:rStyle w:val="VerbatimChar"/>
        </w:rPr>
        <w:t xml:space="preserve">organization_id</w:t>
      </w:r>
      <w:r>
        <w:t xml:space="preserve"> </w:t>
      </w:r>
      <w:r>
        <w:t xml:space="preserve">is nullable on</w:t>
      </w:r>
      <w:r>
        <w:t xml:space="preserve">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upload_batches</w:t>
      </w:r>
      <w:r>
        <w:t xml:space="preserve">,</w:t>
      </w:r>
      <w:r>
        <w:t xml:space="preserve"> </w:t>
      </w:r>
      <w:r>
        <w:rPr>
          <w:rStyle w:val="VerbatimChar"/>
        </w:rPr>
        <w:t xml:space="preserve">manual_review_queue</w:t>
      </w:r>
      <w:r>
        <w:t xml:space="preserve">,</w:t>
      </w:r>
      <w:r>
        <w:t xml:space="preserve"> </w:t>
      </w:r>
      <w:r>
        <w:rPr>
          <w:rStyle w:val="VerbatimChar"/>
        </w:rPr>
        <w:t xml:space="preserve">file_attachments</w:t>
      </w:r>
      <w:r>
        <w:t xml:space="preserve">,</w:t>
      </w:r>
      <w:r>
        <w:t xml:space="preserve"> </w:t>
      </w:r>
      <w:r>
        <w:rPr>
          <w:rStyle w:val="VerbatimChar"/>
        </w:rPr>
        <w:t xml:space="preserve">customer_verifications</w:t>
      </w:r>
      <w:r>
        <w:t xml:space="preserve"> </w:t>
      </w:r>
      <w:r>
        <w:t xml:space="preserve">(confirmed in the dump), while the pipeline tables (</w:t>
      </w:r>
      <w:r>
        <w:rPr>
          <w:rStyle w:val="VerbatimChar"/>
        </w:rPr>
        <w:t xml:space="preserve">customer_documents</w:t>
      </w:r>
      <w:r>
        <w:t xml:space="preserve">,</w:t>
      </w:r>
      <w:r>
        <w:t xml:space="preserve"> </w:t>
      </w:r>
      <w:r>
        <w:rPr>
          <w:rStyle w:val="VerbatimChar"/>
        </w:rPr>
        <w:t xml:space="preserve">processing_queue</w:t>
      </w:r>
      <w:r>
        <w:t xml:space="preserve">,</w:t>
      </w:r>
      <w:r>
        <w:t xml:space="preserve"> </w:t>
      </w:r>
      <w:r>
        <w:rPr>
          <w:rStyle w:val="VerbatimChar"/>
        </w:rPr>
        <w:t xml:space="preserve">document_processing_queue</w:t>
      </w:r>
      <w:r>
        <w:t xml:space="preserve">,</w:t>
      </w:r>
      <w:r>
        <w:t xml:space="preserve"> </w:t>
      </w:r>
      <w:r>
        <w:rPr>
          <w:rStyle w:val="VerbatimChar"/>
        </w:rPr>
        <w:t xml:space="preserve">emissions_logs</w:t>
      </w:r>
      <w:r>
        <w:t xml:space="preserve">,</w:t>
      </w:r>
      <w:r>
        <w:t xml:space="preserve"> </w:t>
      </w:r>
      <w:r>
        <w:rPr>
          <w:rStyle w:val="VerbatimChar"/>
        </w:rPr>
        <w:t xml:space="preserve">suppliers</w:t>
      </w:r>
      <w:r>
        <w:t xml:space="preserve">,</w:t>
      </w:r>
      <w:r>
        <w:t xml:space="preserve"> </w:t>
      </w:r>
      <w:r>
        <w:rPr>
          <w:rStyle w:val="VerbatimChar"/>
        </w:rPr>
        <w:t xml:space="preserve">facilities</w:t>
      </w:r>
      <w:r>
        <w:t xml:space="preserve">) already carry it NOT NULL.</w:t>
      </w:r>
    </w:p>
    <w:p>
      <w:pPr>
        <w:numPr>
          <w:ilvl w:val="0"/>
          <w:numId w:val="1034"/>
        </w:numPr>
        <w:pStyle w:val="Compact"/>
      </w:pPr>
      <w:r>
        <w:rPr>
          <w:bCs/>
          <w:b/>
        </w:rPr>
        <w:t xml:space="preserve">Proposed design.</w:t>
      </w:r>
      <w:r>
        <w:t xml:space="preserve"> </w:t>
      </w:r>
      <w:r>
        <w:t xml:space="preserve">Backfill from parent rows (e.g. </w:t>
      </w:r>
      <w:r>
        <w:rPr>
          <w:rStyle w:val="VerbatimChar"/>
        </w:rPr>
        <w:t xml:space="preserve">messages</w:t>
      </w:r>
      <w:r>
        <w:t xml:space="preserve"> </w:t>
      </w:r>
      <w:r>
        <w:t xml:space="preserve">via</w:t>
      </w:r>
      <w:r>
        <w:t xml:space="preserve"> </w:t>
      </w:r>
      <w:r>
        <w:rPr>
          <w:rStyle w:val="VerbatimChar"/>
        </w:rPr>
        <w:t xml:space="preserve">conversation_id</w:t>
      </w:r>
      <w:r>
        <w:t xml:space="preserve">), verify zero NULLs, then NOT NULL on all six.</w:t>
      </w:r>
    </w:p>
    <w:p>
      <w:pPr>
        <w:numPr>
          <w:ilvl w:val="0"/>
          <w:numId w:val="1034"/>
        </w:numPr>
        <w:pStyle w:val="Compact"/>
      </w:pPr>
      <w:r>
        <w:rPr>
          <w:bCs/>
          <w:b/>
        </w:rPr>
        <w:t xml:space="preserve">Why the change is needed.</w:t>
      </w:r>
      <w:r>
        <w:t xml:space="preserve"> </w:t>
      </w:r>
      <w:r>
        <w:t xml:space="preserve">A NULL-</w:t>
      </w:r>
      <w:r>
        <w:rPr>
          <w:rStyle w:val="VerbatimChar"/>
        </w:rPr>
        <w:t xml:space="preserve">organization_id</w:t>
      </w:r>
      <w:r>
        <w:t xml:space="preserve"> </w:t>
      </w:r>
      <w:r>
        <w:t xml:space="preserve">row falls outside every tenant-equality RLS policy: invisible-to-all or visible-through-exception — a tenancy hole reachable by one forgotten insert, no attacker required.</w:t>
      </w:r>
    </w:p>
    <w:p>
      <w:pPr>
        <w:numPr>
          <w:ilvl w:val="0"/>
          <w:numId w:val="1034"/>
        </w:numPr>
        <w:pStyle w:val="Compact"/>
      </w:pPr>
      <w:r>
        <w:rPr>
          <w:bCs/>
          <w:b/>
        </w:rPr>
        <w:t xml:space="preserve">Benefits.</w:t>
      </w:r>
      <w:r>
        <w:t xml:space="preserve"> </w:t>
      </w:r>
      <w:r>
        <w:t xml:space="preserve">Uniform tenant keying across the hot surface; RLS policies become total functions.</w:t>
      </w:r>
    </w:p>
    <w:p>
      <w:pPr>
        <w:numPr>
          <w:ilvl w:val="0"/>
          <w:numId w:val="1034"/>
        </w:numPr>
        <w:pStyle w:val="Compact"/>
      </w:pPr>
      <w:r>
        <w:rPr>
          <w:bCs/>
          <w:b/>
        </w:rPr>
        <w:t xml:space="preserve">Risks.</w:t>
      </w:r>
      <w:r>
        <w:t xml:space="preserve"> </w:t>
      </w:r>
      <w:r>
        <w:t xml:space="preserve">Backfill correctness on orphaned rows (parent missing) — staging audit enumerates; un-backfilling is impossible, so the pre-migration snapshot is mandatory.</w:t>
      </w:r>
    </w:p>
    <w:p>
      <w:pPr>
        <w:numPr>
          <w:ilvl w:val="0"/>
          <w:numId w:val="1034"/>
        </w:numPr>
        <w:pStyle w:val="Compact"/>
      </w:pPr>
      <w:r>
        <w:rPr>
          <w:bCs/>
          <w:b/>
        </w:rPr>
        <w:t xml:space="preserve">Migration impact.</w:t>
      </w:r>
      <w:r>
        <w:t xml:space="preserve"> </w:t>
      </w:r>
      <w:r>
        <w:t xml:space="preserve">Medium: backfill → verify → constrain, snapshot retained. Cheap pre-launch, painful after.</w:t>
      </w:r>
    </w:p>
    <w:p>
      <w:pPr>
        <w:numPr>
          <w:ilvl w:val="0"/>
          <w:numId w:val="1034"/>
        </w:numPr>
        <w:pStyle w:val="Compact"/>
      </w:pPr>
      <w:r>
        <w:rPr>
          <w:bCs/>
          <w:b/>
        </w:rPr>
        <w:t xml:space="preserve">Application impact.</w:t>
      </w:r>
      <w:r>
        <w:t xml:space="preserve"> </w:t>
      </w:r>
      <w:r>
        <w:t xml:space="preserve">Insert paths must always set</w:t>
      </w:r>
      <w:r>
        <w:t xml:space="preserve"> </w:t>
      </w:r>
      <w:r>
        <w:rPr>
          <w:rStyle w:val="VerbatimChar"/>
        </w:rPr>
        <w:t xml:space="preserve">organization_id</w:t>
      </w:r>
      <w:r>
        <w:t xml:space="preserve"> </w:t>
      </w:r>
      <w:r>
        <w:t xml:space="preserve">— code inspection evidence.</w:t>
      </w:r>
    </w:p>
    <w:p>
      <w:pPr>
        <w:numPr>
          <w:ilvl w:val="0"/>
          <w:numId w:val="1034"/>
        </w:numPr>
        <w:pStyle w:val="Compact"/>
      </w:pPr>
      <w:r>
        <w:rPr>
          <w:bCs/>
          <w:b/>
        </w:rPr>
        <w:t xml:space="preserve">Backward compatibility.</w:t>
      </w:r>
      <w:r>
        <w:t xml:space="preserve"> </w:t>
      </w:r>
      <w:r>
        <w:t xml:space="preserve">Rejects NULL-org writes previously allowed — intended.</w:t>
      </w:r>
    </w:p>
    <w:p>
      <w:pPr>
        <w:numPr>
          <w:ilvl w:val="0"/>
          <w:numId w:val="1034"/>
        </w:numPr>
        <w:pStyle w:val="Compact"/>
      </w:pPr>
      <w:r>
        <w:rPr>
          <w:bCs/>
          <w:b/>
        </w:rPr>
        <w:t xml:space="preserve">Recommendation: APPROVE.</w:t>
      </w:r>
    </w:p>
    <w:bookmarkEnd w:id="59"/>
    <w:bookmarkStart w:id="60" w:name="X5d2dc046a88c43ed93649eff9a79f8dffb4e6f1"/>
    <w:p>
      <w:pPr>
        <w:pStyle w:val="Heading3"/>
      </w:pPr>
      <w:r>
        <w:t xml:space="preserve">K8 — NOT NULL + DEFAULT on hot booleans/processing timestamps</w:t>
      </w:r>
    </w:p>
    <w:p>
      <w:pPr>
        <w:numPr>
          <w:ilvl w:val="0"/>
          <w:numId w:val="1035"/>
        </w:numPr>
        <w:pStyle w:val="Compact"/>
      </w:pPr>
      <w:r>
        <w:rPr>
          <w:bCs/>
          <w:b/>
        </w:rPr>
        <w:t xml:space="preserve">Current design.</w:t>
      </w:r>
      <w:r>
        <w:t xml:space="preserve"> </w:t>
      </w:r>
      <w:r>
        <w:t xml:space="preserve">Hot-path flags and processing timestamps are broadly nullable — e.g. </w:t>
      </w:r>
      <w:r>
        <w:rPr>
          <w:rStyle w:val="VerbatimChar"/>
        </w:rPr>
        <w:t xml:space="preserve">customer_documents.status</w:t>
      </w:r>
      <w:r>
        <w:t xml:space="preserve">,</w:t>
      </w:r>
      <w:r>
        <w:t xml:space="preserve"> </w:t>
      </w:r>
      <w:r>
        <w:rPr>
          <w:rStyle w:val="VerbatimChar"/>
        </w:rPr>
        <w:t xml:space="preserve">document_processing_queue.status</w:t>
      </w:r>
      <w:r>
        <w:t xml:space="preserve">/</w:t>
      </w:r>
      <w:r>
        <w:rPr>
          <w:rStyle w:val="VerbatimChar"/>
        </w:rPr>
        <w:t xml:space="preserve">qc_required</w:t>
      </w:r>
      <w:r>
        <w:t xml:space="preserve">/</w:t>
      </w:r>
      <w:r>
        <w:rPr>
          <w:rStyle w:val="VerbatimChar"/>
        </w:rPr>
        <w:t xml:space="preserve">customer_approved</w:t>
      </w:r>
      <w:r>
        <w:t xml:space="preserve">,</w:t>
      </w:r>
      <w:r>
        <w:t xml:space="preserve"> </w:t>
      </w:r>
      <w:r>
        <w:rPr>
          <w:rStyle w:val="VerbatimChar"/>
        </w:rPr>
        <w:t xml:space="preserve">processing_queue.queue_status</w:t>
      </w:r>
      <w:r>
        <w:t xml:space="preserve">/</w:t>
      </w:r>
      <w:r>
        <w:rPr>
          <w:rStyle w:val="VerbatimChar"/>
        </w:rPr>
        <w:t xml:space="preserve">sla_breached</w:t>
      </w:r>
      <w:r>
        <w:t xml:space="preserve">,</w:t>
      </w:r>
      <w:r>
        <w:t xml:space="preserve"> </w:t>
      </w:r>
      <w:r>
        <w:rPr>
          <w:rStyle w:val="VerbatimChar"/>
        </w:rPr>
        <w:t xml:space="preserve">emissions_logs</w:t>
      </w:r>
      <w:r>
        <w:t xml:space="preserve"> </w:t>
      </w:r>
      <w:r>
        <w:t xml:space="preserve">processing timestamps, and the new</w:t>
      </w:r>
      <w:r>
        <w:t xml:space="preserve"> </w:t>
      </w:r>
      <w:r>
        <w:rPr>
          <w:rStyle w:val="VerbatimChar"/>
        </w:rPr>
        <w:t xml:space="preserve">organizations.is_active</w:t>
      </w:r>
      <w:r>
        <w:t xml:space="preserve"> </w:t>
      </w:r>
      <w:r>
        <w:t xml:space="preserve">(C2).</w:t>
      </w:r>
    </w:p>
    <w:p>
      <w:pPr>
        <w:numPr>
          <w:ilvl w:val="0"/>
          <w:numId w:val="1035"/>
        </w:numPr>
        <w:pStyle w:val="Compact"/>
      </w:pPr>
      <w:r>
        <w:rPr>
          <w:bCs/>
          <w:b/>
        </w:rPr>
        <w:t xml:space="preserve">Proposed design.</w:t>
      </w:r>
      <w:r>
        <w:t xml:space="preserve"> </w:t>
      </w:r>
      <w:r>
        <w:t xml:space="preserve">Backfill, then NOT NULL with sensible DEFAULTs on the named hot subset only; the broad ~80-column sweep stays deferred to v1.1.</w:t>
      </w:r>
    </w:p>
    <w:p>
      <w:pPr>
        <w:numPr>
          <w:ilvl w:val="0"/>
          <w:numId w:val="1035"/>
        </w:numPr>
        <w:pStyle w:val="Compact"/>
      </w:pPr>
      <w:r>
        <w:rPr>
          <w:bCs/>
          <w:b/>
        </w:rPr>
        <w:t xml:space="preserve">Why the change is needed.</w:t>
      </w:r>
      <w:r>
        <w:t xml:space="preserve"> </w:t>
      </w:r>
      <w:r>
        <w:t xml:space="preserve">A NULL on a hot-path flag or processing timestamp is an ambiguous third state workers and suspend logic silently misread.</w:t>
      </w:r>
    </w:p>
    <w:p>
      <w:pPr>
        <w:numPr>
          <w:ilvl w:val="0"/>
          <w:numId w:val="1035"/>
        </w:numPr>
        <w:pStyle w:val="Compact"/>
      </w:pPr>
      <w:r>
        <w:rPr>
          <w:bCs/>
          <w:b/>
        </w:rPr>
        <w:t xml:space="preserve">Benefits.</w:t>
      </w:r>
      <w:r>
        <w:t xml:space="preserve"> </w:t>
      </w:r>
      <w:r>
        <w:t xml:space="preserve">Two-state booleans on the paths that branch on them; defaults make inserts self-consistent.</w:t>
      </w:r>
    </w:p>
    <w:p>
      <w:pPr>
        <w:numPr>
          <w:ilvl w:val="0"/>
          <w:numId w:val="1035"/>
        </w:numPr>
        <w:pStyle w:val="Compact"/>
      </w:pPr>
      <w:r>
        <w:rPr>
          <w:bCs/>
          <w:b/>
        </w:rPr>
        <w:t xml:space="preserve">Risks.</w:t>
      </w:r>
      <w:r>
        <w:t xml:space="preserve"> </w:t>
      </w:r>
      <w:r>
        <w:t xml:space="preserve">Backfill semantics per column (NULL → false vs true) must be chosen deliberately; staging audit enumerates.</w:t>
      </w:r>
    </w:p>
    <w:p>
      <w:pPr>
        <w:numPr>
          <w:ilvl w:val="0"/>
          <w:numId w:val="1035"/>
        </w:numPr>
        <w:pStyle w:val="Compact"/>
      </w:pPr>
      <w:r>
        <w:rPr>
          <w:bCs/>
          <w:b/>
        </w:rPr>
        <w:t xml:space="preserve">Migration impact.</w:t>
      </w:r>
      <w:r>
        <w:t xml:space="preserve"> </w:t>
      </w:r>
      <w:r>
        <w:t xml:space="preserve">Small: backfill then constrain, scoped list.</w:t>
      </w:r>
    </w:p>
    <w:p>
      <w:pPr>
        <w:numPr>
          <w:ilvl w:val="0"/>
          <w:numId w:val="1035"/>
        </w:numPr>
        <w:pStyle w:val="Compact"/>
      </w:pPr>
      <w:r>
        <w:rPr>
          <w:bCs/>
          <w:b/>
        </w:rPr>
        <w:t xml:space="preserve">Application impact.</w:t>
      </w:r>
      <w:r>
        <w:t xml:space="preserve"> </w:t>
      </w:r>
      <w:r>
        <w:t xml:space="preserve">None beyond honest tri-state removal.</w:t>
      </w:r>
    </w:p>
    <w:p>
      <w:pPr>
        <w:numPr>
          <w:ilvl w:val="0"/>
          <w:numId w:val="1035"/>
        </w:numPr>
        <w:pStyle w:val="Compact"/>
      </w:pPr>
      <w:r>
        <w:rPr>
          <w:bCs/>
          <w:b/>
        </w:rPr>
        <w:t xml:space="preserve">Backward compatibility.</w:t>
      </w:r>
      <w:r>
        <w:t xml:space="preserve"> </w:t>
      </w:r>
      <w:r>
        <w:t xml:space="preserve">DEFAULTs preserve insert behaviour; NULL writes rejected — intended.</w:t>
      </w:r>
    </w:p>
    <w:p>
      <w:pPr>
        <w:numPr>
          <w:ilvl w:val="0"/>
          <w:numId w:val="1035"/>
        </w:numPr>
        <w:pStyle w:val="Compact"/>
      </w:pPr>
      <w:r>
        <w:rPr>
          <w:bCs/>
          <w:b/>
        </w:rPr>
        <w:t xml:space="preserve">Recommendation: APPROVE.</w:t>
      </w:r>
    </w:p>
    <w:bookmarkEnd w:id="60"/>
    <w:bookmarkStart w:id="61" w:name="Xe26249bd2258e4563a6011e8ab68fd722aef2c5"/>
    <w:p>
      <w:pPr>
        <w:pStyle w:val="Heading3"/>
      </w:pPr>
      <w:r>
        <w:t xml:space="preserve">K9 — Country-conditional regex CHECKs (VAT, postcode, Eircode, phone, email, CH/CRO numbers)</w:t>
      </w:r>
    </w:p>
    <w:p>
      <w:pPr>
        <w:numPr>
          <w:ilvl w:val="0"/>
          <w:numId w:val="1036"/>
        </w:numPr>
        <w:pStyle w:val="Compact"/>
      </w:pPr>
      <w:r>
        <w:rPr>
          <w:bCs/>
          <w:b/>
        </w:rPr>
        <w:t xml:space="preserve">Current design.</w:t>
      </w:r>
      <w:r>
        <w:t xml:space="preserve"> </w:t>
      </w:r>
      <w:r>
        <w:t xml:space="preserve">Format validation currently lives nowhere in the database (correctly).</w:t>
      </w:r>
    </w:p>
    <w:p>
      <w:pPr>
        <w:numPr>
          <w:ilvl w:val="0"/>
          <w:numId w:val="1036"/>
        </w:numPr>
        <w:pStyle w:val="Compact"/>
      </w:pPr>
      <w:r>
        <w:rPr>
          <w:bCs/>
          <w:b/>
        </w:rPr>
        <w:t xml:space="preserve">Proposed design.</w:t>
      </w:r>
      <w:r>
        <w:t xml:space="preserve"> </w:t>
      </w:r>
      <w:r>
        <w:t xml:space="preserve">The audit’s matrix of format regex CHECKs, including a frozen Eircode routing-key allowlist.</w:t>
      </w:r>
    </w:p>
    <w:p>
      <w:pPr>
        <w:numPr>
          <w:ilvl w:val="0"/>
          <w:numId w:val="1036"/>
        </w:numPr>
        <w:pStyle w:val="Compact"/>
      </w:pPr>
      <w:r>
        <w:rPr>
          <w:bCs/>
          <w:b/>
        </w:rPr>
        <w:t xml:space="preserve">Why the change is needed.</w:t>
      </w:r>
      <w:r>
        <w:t xml:space="preserve"> </w:t>
      </w:r>
      <w:r>
        <w:t xml:space="preserve">Asserted as defence-in-depth.</w:t>
      </w:r>
    </w:p>
    <w:p>
      <w:pPr>
        <w:numPr>
          <w:ilvl w:val="0"/>
          <w:numId w:val="1036"/>
        </w:numPr>
        <w:pStyle w:val="Compact"/>
      </w:pPr>
      <w:r>
        <w:rPr>
          <w:bCs/>
          <w:b/>
        </w:rPr>
        <w:t xml:space="preserve">Benefits.</w:t>
      </w:r>
      <w:r>
        <w:t xml:space="preserve"> </w:t>
      </w:r>
      <w:r>
        <w:t xml:space="preserve">None net of the API-layer pack.</w:t>
      </w:r>
    </w:p>
    <w:p>
      <w:pPr>
        <w:numPr>
          <w:ilvl w:val="0"/>
          <w:numId w:val="1036"/>
        </w:numPr>
        <w:pStyle w:val="Compact"/>
      </w:pPr>
      <w:r>
        <w:rPr>
          <w:bCs/>
          <w:b/>
        </w:rPr>
        <w:t xml:space="preserve">Risks.</w:t>
      </w:r>
      <w:r>
        <w:t xml:space="preserve"> </w:t>
      </w:r>
      <w:r>
        <w:t xml:space="preserve">Frozen decision, confirmed under the layering rule: the database protects integrity; the API owns format. DB regexes reject valid edge cases, cannot express per-country rules well, and rot as registries change — the Eircode routing-key list is a living third-party registry whose freezing into a CHECK guarantees a future migration to admit a legitimate Irish address. Beta-level IE validation (Eircode shape) is precisely the API-layer pack.</w:t>
      </w:r>
    </w:p>
    <w:p>
      <w:pPr>
        <w:numPr>
          <w:ilvl w:val="0"/>
          <w:numId w:val="1036"/>
        </w:numPr>
        <w:pStyle w:val="Compact"/>
      </w:pPr>
      <w:r>
        <w:rPr>
          <w:bCs/>
          <w:b/>
        </w:rPr>
        <w:t xml:space="preserve">Migration impact.</w:t>
      </w:r>
      <w:r>
        <w:t xml:space="preserve"> </w:t>
      </w:r>
      <w:r>
        <w:t xml:space="preserve">— (not adopted).</w:t>
      </w:r>
    </w:p>
    <w:p>
      <w:pPr>
        <w:numPr>
          <w:ilvl w:val="0"/>
          <w:numId w:val="1036"/>
        </w:numPr>
        <w:pStyle w:val="Compact"/>
      </w:pPr>
      <w:r>
        <w:rPr>
          <w:bCs/>
          <w:b/>
        </w:rPr>
        <w:t xml:space="preserve">Application impact.</w:t>
      </w:r>
      <w:r>
        <w:t xml:space="preserve"> </w:t>
      </w:r>
      <w:r>
        <w:t xml:space="preserve">The API validation pack (MOD97 VAT, GIR postcode, Eircode shape + routing-key list, libphonenumber) ships in the application — noted for context, not a structural recommendation.</w:t>
      </w:r>
    </w:p>
    <w:p>
      <w:pPr>
        <w:numPr>
          <w:ilvl w:val="0"/>
          <w:numId w:val="1036"/>
        </w:numPr>
        <w:pStyle w:val="Compact"/>
      </w:pPr>
      <w:r>
        <w:rPr>
          <w:bCs/>
          <w:b/>
        </w:rPr>
        <w:t xml:space="preserve">Backward compatibility.</w:t>
      </w:r>
      <w:r>
        <w:t xml:space="preserve"> </w:t>
      </w:r>
      <w:r>
        <w:t xml:space="preserve">N/A.</w:t>
      </w:r>
    </w:p>
    <w:p>
      <w:pPr>
        <w:numPr>
          <w:ilvl w:val="0"/>
          <w:numId w:val="1036"/>
        </w:numPr>
        <w:pStyle w:val="Compact"/>
      </w:pPr>
      <w:r>
        <w:rPr>
          <w:bCs/>
          <w:b/>
        </w:rPr>
        <w:t xml:space="preserve">Recommendation: REJECT</w:t>
      </w:r>
      <w:r>
        <w:t xml:space="preserve"> </w:t>
      </w:r>
      <w:r>
        <w:t xml:space="preserve">(frozen decision; layering rule). The four database validation shapes — IN-lists, ranges, presence, uniqueness — are all delivered by K1–K8.</w:t>
      </w:r>
    </w:p>
    <w:p>
      <w:r>
        <w:pict>
          <v:rect style="width:0;height:1.5pt" o:hralign="center" o:hrstd="t" o:hr="t"/>
        </w:pict>
      </w:r>
    </w:p>
    <w:bookmarkEnd w:id="61"/>
    <w:bookmarkEnd w:id="62"/>
    <w:bookmarkStart w:id="65" w:name="foreign-keys"/>
    <w:p>
      <w:pPr>
        <w:pStyle w:val="Heading2"/>
      </w:pPr>
      <w:r>
        <w:t xml:space="preserve">6. Foreign Keys</w:t>
      </w:r>
    </w:p>
    <w:p>
      <w:pPr>
        <w:pStyle w:val="FirstParagraph"/>
      </w:pPr>
      <w:r>
        <w:rPr>
          <w:iCs/>
          <w:i/>
        </w:rPr>
        <w:t xml:space="preserve">The dump shows no foreign key definitions at all. A verify-first posture is mandatory: the Supabase migration files must be inspected before any FK work is scored or scheduled (the hardening plan’s Gate 1). The two items below are therefore (a) the inventory itself and (b) conditional remediation.</w:t>
      </w:r>
    </w:p>
    <w:bookmarkStart w:id="63" w:name="X89488c2bc745e1257fd0241199916dea0a04d73"/>
    <w:p>
      <w:pPr>
        <w:pStyle w:val="Heading3"/>
      </w:pPr>
      <w:r>
        <w:t xml:space="preserve">F1 — Verify-first full FK inventory; add missing FKs implied by the dump</w:t>
      </w:r>
    </w:p>
    <w:p>
      <w:pPr>
        <w:numPr>
          <w:ilvl w:val="0"/>
          <w:numId w:val="1037"/>
        </w:numPr>
        <w:pStyle w:val="Compact"/>
      </w:pPr>
      <w:r>
        <w:rPr>
          <w:bCs/>
          <w:b/>
        </w:rPr>
        <w:t xml:space="preserve">Current design.</w:t>
      </w:r>
      <w:r>
        <w:t xml:space="preserve"> </w:t>
      </w:r>
      <w:r>
        <w:t xml:space="preserve">The schema implies dozens of relationships the dump cannot confirm as enforced — e.g. </w:t>
      </w:r>
      <w:r>
        <w:rPr>
          <w:rStyle w:val="VerbatimChar"/>
        </w:rPr>
        <w:t xml:space="preserve">emissions_logs.defra_factor_id</w:t>
      </w:r>
      <w:r>
        <w:t xml:space="preserve"> </w:t>
      </w:r>
      <w:r>
        <w:t xml:space="preserve">→ the factor table,</w:t>
      </w:r>
      <w:r>
        <w:t xml:space="preserve"> </w:t>
      </w:r>
      <w:r>
        <w:rPr>
          <w:rStyle w:val="VerbatimChar"/>
        </w:rPr>
        <w:t xml:space="preserve">emissions_logs.asset_id</w:t>
      </w:r>
      <w:r>
        <w:t xml:space="preserve"> </w:t>
      </w:r>
      <w:r>
        <w:t xml:space="preserve">→</w:t>
      </w:r>
      <w:r>
        <w:t xml:space="preserve"> </w:t>
      </w:r>
      <w:r>
        <w:rPr>
          <w:rStyle w:val="VerbatimChar"/>
        </w:rPr>
        <w:t xml:space="preserve">assets</w:t>
      </w:r>
      <w:r>
        <w:t xml:space="preserve">,</w:t>
      </w:r>
      <w:r>
        <w:t xml:space="preserve"> </w:t>
      </w:r>
      <w:r>
        <w:rPr>
          <w:rStyle w:val="VerbatimChar"/>
        </w:rPr>
        <w:t xml:space="preserve">customer_documents.supplier_id</w:t>
      </w:r>
      <w:r>
        <w:t xml:space="preserve">/</w:t>
      </w:r>
      <w:r>
        <w:rPr>
          <w:rStyle w:val="VerbatimChar"/>
        </w:rPr>
        <w:t xml:space="preserve">.document_type_id</w:t>
      </w:r>
      <w:r>
        <w:t xml:space="preserve">/</w:t>
      </w:r>
      <w:r>
        <w:rPr>
          <w:rStyle w:val="VerbatimChar"/>
        </w:rPr>
        <w:t xml:space="preserve">.organization_member_id</w:t>
      </w:r>
      <w:r>
        <w:t xml:space="preserve">,</w:t>
      </w:r>
      <w:r>
        <w:t xml:space="preserve"> </w:t>
      </w:r>
      <w:r>
        <w:rPr>
          <w:rStyle w:val="VerbatimChar"/>
        </w:rPr>
        <w:t xml:space="preserve">document_processing_queue.ai_mapped_facility_id</w:t>
      </w:r>
      <w:r>
        <w:t xml:space="preserve">/</w:t>
      </w:r>
      <w:r>
        <w:rPr>
          <w:rStyle w:val="VerbatimChar"/>
        </w:rPr>
        <w:t xml:space="preserve">.ai_mapped_asset_id</w:t>
      </w:r>
      <w:r>
        <w:t xml:space="preserve">/</w:t>
      </w:r>
      <w:r>
        <w:rPr>
          <w:rStyle w:val="VerbatimChar"/>
        </w:rPr>
        <w:t xml:space="preserve">.ai_mapped_supplier_id</w:t>
      </w:r>
      <w:r>
        <w:t xml:space="preserve">,</w:t>
      </w:r>
      <w:r>
        <w:t xml:space="preserve"> </w:t>
      </w:r>
      <w:r>
        <w:rPr>
          <w:rStyle w:val="VerbatimChar"/>
        </w:rPr>
        <w:t xml:space="preserve">messages.conversation_id</w:t>
      </w:r>
      <w:r>
        <w:t xml:space="preserve">,</w:t>
      </w:r>
      <w:r>
        <w:t xml:space="preserve"> </w:t>
      </w:r>
      <w:r>
        <w:rPr>
          <w:rStyle w:val="VerbatimChar"/>
        </w:rPr>
        <w:t xml:space="preserve">report_versions.report_id</w:t>
      </w:r>
      <w:r>
        <w:t xml:space="preserve">, and</w:t>
      </w:r>
      <w:r>
        <w:t xml:space="preserve"> </w:t>
      </w:r>
      <w:r>
        <w:rPr>
          <w:rStyle w:val="VerbatimChar"/>
        </w:rPr>
        <w:t xml:space="preserve">emissions_logs.unit</w:t>
      </w:r>
      <w:r>
        <w:t xml:space="preserve"> </w:t>
      </w:r>
      <w:r>
        <w:t xml:space="preserve">→</w:t>
      </w:r>
      <w:r>
        <w:t xml:space="preserve"> </w:t>
      </w:r>
      <w:r>
        <w:rPr>
          <w:rStyle w:val="VerbatimChar"/>
        </w:rPr>
        <w:t xml:space="preserve">units.code</w:t>
      </w:r>
      <w:r>
        <w:t xml:space="preserve"> </w:t>
      </w:r>
      <w:r>
        <w:t xml:space="preserve">once C5 lands.</w:t>
      </w:r>
    </w:p>
    <w:p>
      <w:pPr>
        <w:numPr>
          <w:ilvl w:val="0"/>
          <w:numId w:val="1037"/>
        </w:numPr>
        <w:pStyle w:val="Compact"/>
      </w:pPr>
      <w:r>
        <w:rPr>
          <w:bCs/>
          <w:b/>
        </w:rPr>
        <w:t xml:space="preserve">Proposed design.</w:t>
      </w:r>
      <w:r>
        <w:t xml:space="preserve"> </w:t>
      </w:r>
      <w:r>
        <w:t xml:space="preserve">Produce the complete FK inventory from the migration files; where a relationship the dump implies is genuinely unenforced, add the FK (non-validating add then validate) — prioritising the AI-mapping columns and the factor reference, whose orphan rows poison emissions data.</w:t>
      </w:r>
    </w:p>
    <w:p>
      <w:pPr>
        <w:numPr>
          <w:ilvl w:val="0"/>
          <w:numId w:val="1037"/>
        </w:numPr>
        <w:pStyle w:val="Compact"/>
      </w:pPr>
      <w:r>
        <w:rPr>
          <w:bCs/>
          <w:b/>
        </w:rPr>
        <w:t xml:space="preserve">Why the change is needed.</w:t>
      </w:r>
      <w:r>
        <w:t xml:space="preserve"> </w:t>
      </w:r>
      <w:r>
        <w:t xml:space="preserve">Unenforced references permit orphaned emissions rows — a</w:t>
      </w:r>
      <w:r>
        <w:t xml:space="preserve"> </w:t>
      </w:r>
      <w:r>
        <w:rPr>
          <w:rStyle w:val="VerbatimChar"/>
        </w:rPr>
        <w:t xml:space="preserve">supplier_id</w:t>
      </w:r>
      <w:r>
        <w:t xml:space="preserve"> </w:t>
      </w:r>
      <w:r>
        <w:t xml:space="preserve">pointing nowhere, an AI-mapped asset that no longer exists — landing silently in reported figures. The product cannot launch without</w:t>
      </w:r>
      <w:r>
        <w:t xml:space="preserve"> </w:t>
      </w:r>
      <w:r>
        <w:rPr>
          <w:iCs/>
          <w:i/>
        </w:rPr>
        <w:t xml:space="preserve">knowing</w:t>
      </w:r>
      <w:r>
        <w:t xml:space="preserve"> </w:t>
      </w:r>
      <w:r>
        <w:t xml:space="preserve">which of these are real.</w:t>
      </w:r>
    </w:p>
    <w:p>
      <w:pPr>
        <w:numPr>
          <w:ilvl w:val="0"/>
          <w:numId w:val="1037"/>
        </w:numPr>
        <w:pStyle w:val="Compact"/>
      </w:pPr>
      <w:r>
        <w:rPr>
          <w:bCs/>
          <w:b/>
        </w:rPr>
        <w:t xml:space="preserve">Benefits.</w:t>
      </w:r>
      <w:r>
        <w:t xml:space="preserve"> </w:t>
      </w:r>
      <w:r>
        <w:t xml:space="preserve">Referential integrity on the paths that feed reported numbers; the inventory itself is launch evidence.</w:t>
      </w:r>
    </w:p>
    <w:p>
      <w:pPr>
        <w:numPr>
          <w:ilvl w:val="0"/>
          <w:numId w:val="1037"/>
        </w:numPr>
        <w:pStyle w:val="Compact"/>
      </w:pPr>
      <w:r>
        <w:rPr>
          <w:bCs/>
          <w:b/>
        </w:rPr>
        <w:t xml:space="preserve">Risks.</w:t>
      </w:r>
      <w:r>
        <w:t xml:space="preserve"> </w:t>
      </w:r>
      <w:r>
        <w:t xml:space="preserve">Discovery risk: findings may force data cleanup before constraints validate; that discovery is the point, and pre-launch is the cheapest time for it.</w:t>
      </w:r>
    </w:p>
    <w:p>
      <w:pPr>
        <w:numPr>
          <w:ilvl w:val="0"/>
          <w:numId w:val="1037"/>
        </w:numPr>
        <w:pStyle w:val="Compact"/>
      </w:pPr>
      <w:r>
        <w:rPr>
          <w:bCs/>
          <w:b/>
        </w:rPr>
        <w:t xml:space="preserve">Migration impact.</w:t>
      </w:r>
      <w:r>
        <w:t xml:space="preserve"> </w:t>
      </w:r>
      <w:r>
        <w:t xml:space="preserve">Medium: inspection (Gate 1), then per-FK adds with validation; orphan cleanup where found. The entire item is caveat-conditioned on what the migration files contain.</w:t>
      </w:r>
    </w:p>
    <w:p>
      <w:pPr>
        <w:numPr>
          <w:ilvl w:val="0"/>
          <w:numId w:val="1037"/>
        </w:numPr>
        <w:pStyle w:val="Compact"/>
      </w:pPr>
      <w:r>
        <w:rPr>
          <w:bCs/>
          <w:b/>
        </w:rPr>
        <w:t xml:space="preserve">Application impact.</w:t>
      </w:r>
      <w:r>
        <w:t xml:space="preserve"> </w:t>
      </w:r>
      <w:r>
        <w:t xml:space="preserve">Write paths must satisfy the FKs (order-of-insert discipline); error surfaces for rejected orphans.</w:t>
      </w:r>
    </w:p>
    <w:p>
      <w:pPr>
        <w:numPr>
          <w:ilvl w:val="0"/>
          <w:numId w:val="1037"/>
        </w:numPr>
        <w:pStyle w:val="Compact"/>
      </w:pPr>
      <w:r>
        <w:rPr>
          <w:bCs/>
          <w:b/>
        </w:rPr>
        <w:t xml:space="preserve">Backward compatibility.</w:t>
      </w:r>
      <w:r>
        <w:t xml:space="preserve"> </w:t>
      </w:r>
      <w:r>
        <w:t xml:space="preserve">Rejects orphan writes previously possible — intended.</w:t>
      </w:r>
    </w:p>
    <w:p>
      <w:pPr>
        <w:numPr>
          <w:ilvl w:val="0"/>
          <w:numId w:val="1037"/>
        </w:numPr>
        <w:pStyle w:val="Compact"/>
      </w:pPr>
      <w:r>
        <w:rPr>
          <w:bCs/>
          <w:b/>
        </w:rPr>
        <w:t xml:space="preserve">Recommendation: APPROVE</w:t>
      </w:r>
      <w:r>
        <w:t xml:space="preserve"> </w:t>
      </w:r>
      <w:r>
        <w:t xml:space="preserve">(as a verification gate with conditional remediation — verification is the launch blocker, remediation only where inspection proves absence).</w:t>
      </w:r>
    </w:p>
    <w:bookmarkEnd w:id="63"/>
    <w:bookmarkStart w:id="64" w:name="f2-on-delete-behaviour-corrections"/>
    <w:p>
      <w:pPr>
        <w:pStyle w:val="Heading3"/>
      </w:pPr>
      <w:r>
        <w:t xml:space="preserve">F2 — ON DELETE behaviour corrections</w:t>
      </w:r>
    </w:p>
    <w:p>
      <w:pPr>
        <w:numPr>
          <w:ilvl w:val="0"/>
          <w:numId w:val="1038"/>
        </w:numPr>
        <w:pStyle w:val="Compact"/>
      </w:pPr>
      <w:r>
        <w:rPr>
          <w:bCs/>
          <w:b/>
        </w:rPr>
        <w:t xml:space="preserve">Current design.</w:t>
      </w:r>
      <w:r>
        <w:t xml:space="preserve"> </w:t>
      </w:r>
      <w:r>
        <w:t xml:space="preserve">Unknown — no ON DELETE actions are visible in the dump. The dangerous shapes to hunt: CASCADE from</w:t>
      </w:r>
      <w:r>
        <w:t xml:space="preserve"> </w:t>
      </w:r>
      <w:r>
        <w:rPr>
          <w:rStyle w:val="VerbatimChar"/>
        </w:rPr>
        <w:t xml:space="preserve">organizations</w:t>
      </w:r>
      <w:r>
        <w:t xml:space="preserve"> </w:t>
      </w:r>
      <w:r>
        <w:t xml:space="preserve">or</w:t>
      </w:r>
      <w:r>
        <w:t xml:space="preserve"> </w:t>
      </w:r>
      <w:r>
        <w:rPr>
          <w:rStyle w:val="VerbatimChar"/>
        </w:rPr>
        <w:t xml:space="preserve">users</w:t>
      </w:r>
      <w:r>
        <w:t xml:space="preserve"> </w:t>
      </w:r>
      <w:r>
        <w:t xml:space="preserve">into financial/audit tables (</w:t>
      </w:r>
      <w:r>
        <w:rPr>
          <w:rStyle w:val="VerbatimChar"/>
        </w:rPr>
        <w:t xml:space="preserve">customer_subscriptions</w:t>
      </w:r>
      <w:r>
        <w:t xml:space="preserve">,</w:t>
      </w:r>
      <w:r>
        <w:t xml:space="preserve"> </w:t>
      </w:r>
      <w:r>
        <w:rPr>
          <w:rStyle w:val="VerbatimChar"/>
        </w:rPr>
        <w:t xml:space="preserve">consultant_billing</w:t>
      </w:r>
      <w:r>
        <w:t xml:space="preserve">,</w:t>
      </w:r>
      <w:r>
        <w:t xml:space="preserve"> </w:t>
      </w:r>
      <w:r>
        <w:rPr>
          <w:rStyle w:val="VerbatimChar"/>
        </w:rPr>
        <w:t xml:space="preserve">audit_trail</w:t>
      </w:r>
      <w:r>
        <w:t xml:space="preserve">,</w:t>
      </w:r>
      <w:r>
        <w:t xml:space="preserve"> </w:t>
      </w:r>
      <w:r>
        <w:rPr>
          <w:rStyle w:val="VerbatimChar"/>
        </w:rPr>
        <w:t xml:space="preserve">emissions_logs</w:t>
      </w:r>
      <w:r>
        <w:t xml:space="preserve">), and CASCADE into</w:t>
      </w:r>
      <w:r>
        <w:t xml:space="preserve"> </w:t>
      </w:r>
      <w:r>
        <w:rPr>
          <w:rStyle w:val="VerbatimChar"/>
        </w:rPr>
        <w:t xml:space="preserve">report_versions</w:t>
      </w:r>
      <w:r>
        <w:t xml:space="preserve"> </w:t>
      </w:r>
      <w:r>
        <w:t xml:space="preserve">from</w:t>
      </w:r>
      <w:r>
        <w:t xml:space="preserve"> </w:t>
      </w:r>
      <w:r>
        <w:rPr>
          <w:rStyle w:val="VerbatimChar"/>
        </w:rPr>
        <w:t xml:space="preserve">report_id</w:t>
      </w:r>
      <w:r>
        <w:t xml:space="preserve">.</w:t>
      </w:r>
    </w:p>
    <w:p>
      <w:pPr>
        <w:numPr>
          <w:ilvl w:val="0"/>
          <w:numId w:val="1038"/>
        </w:numPr>
        <w:pStyle w:val="Compact"/>
      </w:pPr>
      <w:r>
        <w:rPr>
          <w:bCs/>
          <w:b/>
        </w:rPr>
        <w:t xml:space="preserve">Proposed design.</w:t>
      </w:r>
      <w:r>
        <w:t xml:space="preserve"> </w:t>
      </w:r>
      <w:r>
        <w:t xml:space="preserve">Where inspection proves a dangerous CASCADE, convert to RESTRICT (or NO ACTION with an explicit application delete path) on financial and audit tables; retain CASCADE only where child rows are truly owned and valueless without the parent (e.g. session-scoped rows).</w:t>
      </w:r>
    </w:p>
    <w:p>
      <w:pPr>
        <w:numPr>
          <w:ilvl w:val="0"/>
          <w:numId w:val="1038"/>
        </w:numPr>
        <w:pStyle w:val="Compact"/>
      </w:pPr>
      <w:r>
        <w:rPr>
          <w:bCs/>
          <w:b/>
        </w:rPr>
        <w:t xml:space="preserve">Why the change is needed.</w:t>
      </w:r>
      <w:r>
        <w:t xml:space="preserve"> </w:t>
      </w:r>
      <w:r>
        <w:t xml:space="preserve">Delete behaviour is currently unverifiable; one unconsidered CASCADE from a tenant delete could erase the audit evidence the product exists to preserve, and hard delete is already structurally near-impossible against ~40 references (hence the anonymise-in-place erasure runbook — application/compliance work, noted for context).</w:t>
      </w:r>
    </w:p>
    <w:p>
      <w:pPr>
        <w:numPr>
          <w:ilvl w:val="0"/>
          <w:numId w:val="1038"/>
        </w:numPr>
        <w:pStyle w:val="Compact"/>
      </w:pPr>
      <w:r>
        <w:rPr>
          <w:bCs/>
          <w:b/>
        </w:rPr>
        <w:t xml:space="preserve">Benefits.</w:t>
      </w:r>
      <w:r>
        <w:t xml:space="preserve"> </w:t>
      </w:r>
      <w:r>
        <w:t xml:space="preserve">Deletes become deliberate; financial and audit history cannot vanish as a side effect; the erasure runbook’s FK graph is confirmed rather than assumed.</w:t>
      </w:r>
    </w:p>
    <w:p>
      <w:pPr>
        <w:numPr>
          <w:ilvl w:val="0"/>
          <w:numId w:val="1038"/>
        </w:numPr>
        <w:pStyle w:val="Compact"/>
      </w:pPr>
      <w:r>
        <w:rPr>
          <w:bCs/>
          <w:b/>
        </w:rPr>
        <w:t xml:space="preserve">Risks.</w:t>
      </w:r>
      <w:r>
        <w:t xml:space="preserve"> </w:t>
      </w:r>
      <w:r>
        <w:t xml:space="preserve">RESTRICT converts silent cascades into explicit failures — application delete flows must handle the rejection; that friction is the control working.</w:t>
      </w:r>
    </w:p>
    <w:p>
      <w:pPr>
        <w:numPr>
          <w:ilvl w:val="0"/>
          <w:numId w:val="1038"/>
        </w:numPr>
        <w:pStyle w:val="Compact"/>
      </w:pPr>
      <w:r>
        <w:rPr>
          <w:bCs/>
          <w:b/>
        </w:rPr>
        <w:t xml:space="preserve">Migration impact.</w:t>
      </w:r>
      <w:r>
        <w:t xml:space="preserve"> </w:t>
      </w:r>
      <w:r>
        <w:t xml:space="preserve">Medium, conditional: only where inspection proves danger; each correction is a small constraint swap after dependent-row review.</w:t>
      </w:r>
    </w:p>
    <w:p>
      <w:pPr>
        <w:numPr>
          <w:ilvl w:val="0"/>
          <w:numId w:val="1038"/>
        </w:numPr>
        <w:pStyle w:val="Compact"/>
      </w:pPr>
      <w:r>
        <w:rPr>
          <w:bCs/>
          <w:b/>
        </w:rPr>
        <w:t xml:space="preserve">Application impact.</w:t>
      </w:r>
      <w:r>
        <w:t xml:space="preserve"> </w:t>
      </w:r>
      <w:r>
        <w:t xml:space="preserve">Admin/erasure delete paths gain explicit ordering; support runbooks updated.</w:t>
      </w:r>
    </w:p>
    <w:p>
      <w:pPr>
        <w:numPr>
          <w:ilvl w:val="0"/>
          <w:numId w:val="1038"/>
        </w:numPr>
        <w:pStyle w:val="Compact"/>
      </w:pPr>
      <w:r>
        <w:rPr>
          <w:bCs/>
          <w:b/>
        </w:rPr>
        <w:t xml:space="preserve">Backward compatibility.</w:t>
      </w:r>
      <w:r>
        <w:t xml:space="preserve"> </w:t>
      </w:r>
      <w:r>
        <w:t xml:space="preserve">Stricter delete behaviour — intended; no read-path change.</w:t>
      </w:r>
    </w:p>
    <w:p>
      <w:pPr>
        <w:numPr>
          <w:ilvl w:val="0"/>
          <w:numId w:val="1038"/>
        </w:numPr>
        <w:pStyle w:val="Compact"/>
      </w:pPr>
      <w:r>
        <w:rPr>
          <w:bCs/>
          <w:b/>
        </w:rPr>
        <w:t xml:space="preserve">Recommendation: APPROVE</w:t>
      </w:r>
      <w:r>
        <w:t xml:space="preserve"> </w:t>
      </w:r>
      <w:r>
        <w:t xml:space="preserve">(conditional on F1’s inspection; no speculative rewrites of behaviour that may already be correct).</w:t>
      </w:r>
    </w:p>
    <w:p>
      <w:r>
        <w:pict>
          <v:rect style="width:0;height:1.5pt" o:hralign="center" o:hrstd="t" o:hr="t"/>
        </w:pict>
      </w:r>
    </w:p>
    <w:p>
      <w:pPr>
        <w:pStyle w:val="FirstParagraph"/>
      </w:pPr>
      <w:r>
        <w:rPr>
          <w:iCs/>
          <w:i/>
        </w:rPr>
        <w:t xml:space="preserve">End of review. Register totals restated for verification: 3 renames (§1) + 15 column items (§2) + 3 table items (§3) + 6 index items (§4) + 9 constraint items (§5) + 2 foreign-key items (§6) = 38 changes; 28 APPROVE, 4 DEFER (C11, C12, C13, T2), 6 REJECT (C14, C15, T1, T3, I6, K9). Section subsection counts match the Summary Register row-for-row.</w:t>
      </w:r>
    </w:p>
    <w:bookmarkEnd w:id="64"/>
    <w:bookmarkEnd w:id="65"/>
    <w:bookmarkEnd w:id="66"/>
    <w:sectPr>
      <w:headerReference w:type="default" r:id="rId9"/>
      <w:footerReference w:type="default" r:id="rId10"/>
      <w:pgSz w:orient="landscape" w:w="16834" w:h="11909"/>
      <w:pgMar w:left="1008" w:right="1008" w:top="1008" w:bottom="1008"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B7B"/>
        <w:sz w:val="18"/>
      </w:rPr>
    </w:r>
    <w:r>
      <w:rPr>
        <w:color w:val="6E8B7B"/>
        <w:sz w:val="18"/>
      </w:rPr>
      <w:t xml:space="preserve">Page </w:t>
    </w:r>
    <w:r>
      <w:rPr>
        <w:color w:val="6E8B7B"/>
        <w:sz w:val="18"/>
      </w:rPr>
      <w:fldChar w:fldCharType="begin"/>
    </w:r>
    <w:r>
      <w:rPr>
        <w:color w:val="6E8B7B"/>
        <w:sz w:val="18"/>
      </w:rPr>
      <w:instrText xml:space="preserve">PAGE</w:instrText>
    </w:r>
    <w:r>
      <w:rPr>
        <w:color w:val="6E8B7B"/>
        <w:sz w:val="18"/>
      </w:rPr>
      <w:fldChar w:fldCharType="end"/>
    </w:r>
    <w:r>
      <w:rPr>
        <w:color w:val="6E8B7B"/>
        <w:sz w:val="18"/>
      </w:rPr>
      <w:t xml:space="preserve"> of </w:t>
    </w:r>
    <w:r>
      <w:rPr>
        <w:color w:val="6E8B7B"/>
        <w:sz w:val="18"/>
      </w:rPr>
      <w:fldChar w:fldCharType="begin"/>
    </w:r>
    <w:r>
      <w:rPr>
        <w:color w:val="6E8B7B"/>
        <w:sz w:val="18"/>
      </w:rPr>
      <w:instrText xml:space="preserve">NUMPAGES</w:instrText>
    </w:r>
    <w:r>
      <w:rPr>
        <w:color w:val="6E8B7B"/>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9FB8AC"/>
      </w:pBdr>
    </w:pPr>
    <w:r/>
    <w:r>
      <w:rPr>
        <w:color w:val="6E8B7B"/>
        <w:sz w:val="18"/>
      </w:rPr>
      <w:t>CarbonTally v1.0 — Structural Change Review</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333333"/>
    </w:rPr>
  </w:style>
  <w:style w:styleId="BodyText" w:type="paragraph">
    <w:name w:val="Body Text"/>
    <w:basedOn w:val="Normal"/>
    <w:link w:val="BodyTextChar"/>
    <w:pPr>
      <w:spacing w:after="180" w:before="180"/>
    </w:pPr>
    <w:qFormat/>
    <w:rPr>
      <w:color w:val="333333"/>
    </w:rPr>
  </w:style>
  <w:style w:customStyle="1" w:styleId="FirstParagraph" w:type="paragraph">
    <w:name w:val="First Paragraph"/>
    <w:basedOn w:val="BodyText"/>
    <w:next w:val="BodyText"/>
    <w:qFormat/>
    <w:rPr>
      <w:color w:val="333333"/>
    </w:rPr>
  </w:style>
  <w:style w:customStyle="1" w:styleId="Compact" w:type="paragraph">
    <w:name w:val="Compact"/>
    <w:basedOn w:val="BodyText"/>
    <w:qFormat/>
    <w:pPr>
      <w:spacing w:after="36" w:before="36"/>
    </w:pPr>
    <w:rPr>
      <w:color w:val="33333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2F5D4A"/>
      <w:sz w:val="36"/>
      <w:szCs w:val="36"/>
    </w:rPr>
  </w:style>
  <w:style w:styleId="Subtitle" w:type="paragraph">
    <w:name w:val="Subtitle"/>
    <w:basedOn w:val="Title"/>
    <w:next w:val="BodyText"/>
    <w:qFormat/>
    <w:pPr>
      <w:keepNext/>
      <w:keepLines/>
      <w:spacing w:after="240" w:before="240"/>
      <w:jc w:val="center"/>
    </w:pPr>
    <w:rPr>
      <w:color w:val="333333"/>
      <w:sz w:val="30"/>
      <w:szCs w:val="30"/>
    </w:rPr>
  </w:style>
  <w:style w:customStyle="1" w:styleId="Author" w:type="paragraph">
    <w:name w:val="Author"/>
    <w:next w:val="BodyText"/>
    <w:qFormat/>
    <w:pPr>
      <w:keepNext/>
      <w:keepLines/>
      <w:jc w:val="center"/>
    </w:pPr>
    <w:rPr>
      <w:color w:val="333333"/>
    </w:rPr>
  </w:style>
  <w:style w:styleId="Date" w:type="paragraph">
    <w:name w:val="Date"/>
    <w:next w:val="BodyText"/>
    <w:qFormat/>
    <w:pPr>
      <w:keepNext/>
      <w:keepLines/>
      <w:jc w:val="center"/>
    </w:pPr>
    <w:rPr>
      <w:color w:val="333333"/>
    </w:rPr>
  </w:style>
  <w:style w:customStyle="1" w:styleId="Abstract" w:type="paragraph">
    <w:name w:val="Abstract"/>
    <w:basedOn w:val="Normal"/>
    <w:next w:val="BodyText"/>
    <w:qFormat/>
    <w:pPr>
      <w:keepNext/>
      <w:keepLines/>
      <w:spacing w:after="300" w:before="300"/>
    </w:pPr>
    <w:rPr>
      <w:color w:val="333333"/>
      <w:sz w:val="20"/>
      <w:szCs w:val="20"/>
    </w:rPr>
  </w:style>
  <w:style w:styleId="Bibliography" w:type="paragraph">
    <w:name w:val="Bibliography"/>
    <w:basedOn w:val="Normal"/>
    <w:next w:val="Bibliography"/>
    <w:qFormat/>
    <w:pPr/>
    <w:rPr>
      <w:color w:val="33333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color w:val="333333"/>
    </w:rPr>
  </w:style>
  <w:style w:styleId="FootnoteText" w:type="paragraph">
    <w:name w:val="Footnote Text"/>
    <w:basedOn w:val="Normal"/>
    <w:next w:val="FootnoteText"/>
    <w:uiPriority w:val="9"/>
    <w:unhideWhenUsed/>
    <w:qFormat/>
    <w:pPr>
      <w:spacing w:before="0" w:after="0" w:line="200" w:lineRule="exact"/>
    </w:pPr>
    <w:rPr>
      <w:color w:val="333333"/>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333333"/>
    </w:rPr>
  </w:style>
  <w:style w:customStyle="1" w:styleId="Definition" w:type="paragraph">
    <w:name w:val="Definition"/>
    <w:basedOn w:val="Normal"/>
    <w:rPr>
      <w:color w:val="333333"/>
    </w:rPr>
  </w:style>
  <w:style w:styleId="Caption" w:type="paragraph">
    <w:name w:val="Caption"/>
    <w:basedOn w:val="Normal"/>
    <w:link w:val="BodyTextChar"/>
    <w:pPr>
      <w:spacing w:after="120" w:before="0"/>
    </w:pPr>
    <w:rPr>
      <w:i/>
      <w:color w:val="333333"/>
    </w:rPr>
  </w:style>
  <w:style w:customStyle="1" w:styleId="TableCaption" w:type="paragraph">
    <w:name w:val="Table Caption"/>
    <w:basedOn w:val="Caption"/>
    <w:pPr>
      <w:keepNext/>
    </w:pPr>
    <w:rPr>
      <w:color w:val="333333"/>
    </w:rPr>
  </w:style>
  <w:style w:customStyle="1" w:styleId="ImageCaption" w:type="paragraph">
    <w:name w:val="Image Caption"/>
    <w:basedOn w:val="Caption"/>
    <w:rPr>
      <w:color w:val="333333"/>
    </w:rPr>
  </w:style>
  <w:style w:customStyle="1" w:styleId="Figure" w:type="paragraph">
    <w:name w:val="Figure"/>
    <w:basedOn w:val="Normal"/>
    <w:rPr>
      <w:color w:val="333333"/>
    </w:rPr>
  </w:style>
  <w:style w:customStyle="1" w:styleId="CaptionedFigure" w:type="paragraph">
    <w:name w:val="Captioned Figure"/>
    <w:basedOn w:val="Figure"/>
    <w:pPr>
      <w:keepNext/>
    </w:pPr>
    <w:rPr>
      <w:color w:val="333333"/>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color w:val="33333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2026-08-04T05:01:28Z</dcterms:created>
  <dcterms:modified xsi:type="dcterms:W3CDTF">2026-08-04T05:01:28Z</dcterms:modified>
</cp:coreProperties>
</file>

<file path=docProps/custom.xml><?xml version="1.0" encoding="utf-8"?>
<Properties xmlns="http://schemas.openxmlformats.org/officeDocument/2006/custom-properties" xmlns:vt="http://schemas.openxmlformats.org/officeDocument/2006/docPropsVTypes"/>
</file>