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22222"/>
          <w:sz w:val="28"/>
          <w:szCs w:val="28"/>
        </w:rPr>
        <w:t xml:space="preserve">MEMORANDUM OF UNDERSTANDING &amp; AGREEMENT</w:t>
      </w:r>
    </w:p>
    <w:p>
      <w:pPr>
        <w:spacing w:after="240"/>
        <w:jc w:val="center"/>
      </w:pPr>
      <w:r>
        <w:rPr>
          <w:rFonts w:ascii="Calibri" w:cs="Calibri" w:eastAsia="Calibri" w:hAnsi="Calibri"/>
          <w:i/>
          <w:iCs/>
          <w:color w:val="555555"/>
          <w:sz w:val="20"/>
          <w:szCs w:val="20"/>
        </w:rPr>
        <w:t xml:space="preserve">(RPO / Recruitment Process Outsourcing Service Agreement)</w:t>
      </w:r>
    </w:p>
    <w:p>
      <w:pPr>
        <w:spacing w:after="160" w:line="300"/>
        <w:jc w:val="both"/>
      </w:pPr>
      <w:r>
        <w:rPr>
          <w:rFonts w:ascii="Calibri" w:cs="Calibri" w:eastAsia="Calibri" w:hAnsi="Calibri"/>
          <w:b w:val="false"/>
          <w:bCs w:val="false"/>
          <w:i w:val="false"/>
          <w:iCs w:val="false"/>
          <w:color w:val="222222"/>
          <w:sz w:val="22"/>
          <w:szCs w:val="22"/>
        </w:rPr>
        <w:t xml:space="preserve">This Agreement (the "Agreement") is entered into by and between Shomvob Technologies Limited, a company having its registered office at House 486, Road 08, Baridhara DOHS, Dhaka - 1212, herein referred to as the "Service Provider",</w:t>
      </w:r>
    </w:p>
    <w:p>
      <w:pPr>
        <w:spacing w:after="160" w:line="300"/>
        <w:jc w:val="center"/>
      </w:pPr>
      <w:r>
        <w:rPr>
          <w:rFonts w:ascii="Calibri" w:cs="Calibri" w:eastAsia="Calibri" w:hAnsi="Calibri"/>
          <w:b w:val="false"/>
          <w:bCs w:val="false"/>
          <w:i w:val="false"/>
          <w:iCs w:val="false"/>
          <w:color w:val="222222"/>
          <w:sz w:val="22"/>
          <w:szCs w:val="22"/>
        </w:rPr>
        <w:t xml:space="preserve">and</w:t>
      </w:r>
    </w:p>
    <w:p>
      <w:pPr>
        <w:spacing w:after="160" w:line="300"/>
        <w:jc w:val="both"/>
      </w:pPr>
      <w:r>
        <w:rPr>
          <w:rFonts w:ascii="Calibri" w:cs="Calibri" w:eastAsia="Calibri" w:hAnsi="Calibri"/>
          <w:b w:val="false"/>
          <w:bCs w:val="false"/>
          <w:i w:val="false"/>
          <w:iCs w:val="false"/>
          <w:color w:val="222222"/>
          <w:sz w:val="22"/>
          <w:szCs w:val="22"/>
        </w:rPr>
        <w:t xml:space="preserve">Social Geek, having its corporate office located at Level 3, House 2, Block G, South Banasree Main Road, Dhaka - 1219, herein referred to as the "Company".</w:t>
      </w:r>
    </w:p>
    <w:p>
      <w:pPr>
        <w:spacing w:after="120" w:line="276"/>
        <w:ind w:left="360" w:hanging="360"/>
        <w:jc w:val="both"/>
      </w:pPr>
      <w:r>
        <w:rPr>
          <w:rFonts w:ascii="Calibri" w:cs="Calibri" w:eastAsia="Calibri" w:hAnsi="Calibri"/>
          <w:b/>
          <w:bCs/>
          <w:color w:val="222222"/>
          <w:sz w:val="22"/>
          <w:szCs w:val="22"/>
        </w:rPr>
        <w:t xml:space="preserve">1. </w:t>
      </w:r>
      <w:r>
        <w:rPr>
          <w:rFonts w:ascii="Calibri" w:cs="Calibri" w:eastAsia="Calibri" w:hAnsi="Calibri"/>
          <w:color w:val="222222"/>
          <w:sz w:val="22"/>
          <w:szCs w:val="22"/>
        </w:rPr>
        <w:t xml:space="preserve">Company hereby retains the services of the Service Provider for Recruitment Process Outsourcing (RPO) / HR Consultancy &amp; Recruitment for a period of One (1) year (the "Term"), commencing on ____________ and expiring on ____________, unless extended or earlier terminated, pursuant to the terms hereinafter set out.</w:t>
      </w:r>
    </w:p>
    <w:p>
      <w:pPr>
        <w:spacing w:after="120" w:line="276"/>
        <w:ind w:left="360" w:hanging="360"/>
        <w:jc w:val="both"/>
      </w:pPr>
      <w:r>
        <w:rPr>
          <w:rFonts w:ascii="Calibri" w:cs="Calibri" w:eastAsia="Calibri" w:hAnsi="Calibri"/>
          <w:b/>
          <w:bCs/>
          <w:color w:val="222222"/>
          <w:sz w:val="22"/>
          <w:szCs w:val="22"/>
        </w:rPr>
        <w:t xml:space="preserve">2. </w:t>
      </w:r>
      <w:r>
        <w:rPr>
          <w:rFonts w:ascii="Calibri" w:cs="Calibri" w:eastAsia="Calibri" w:hAnsi="Calibri"/>
          <w:color w:val="222222"/>
          <w:sz w:val="22"/>
          <w:szCs w:val="22"/>
        </w:rPr>
        <w:t xml:space="preserve">Service Provider hereby accepts such engagement with Company and its wholly owned subsidiaries, as may be designated by the Executive Committee from time to time, pursuant to the consideration set out in paragraph 1 above and subject to the terms and conditions hereinafter set out.</w:t>
      </w:r>
    </w:p>
    <w:p>
      <w:pPr>
        <w:spacing w:after="160" w:before="200"/>
        <w:jc w:val="center"/>
      </w:pPr>
      <w:r>
        <w:rPr>
          <w:rFonts w:ascii="Calibri" w:cs="Calibri" w:eastAsia="Calibri" w:hAnsi="Calibri"/>
          <w:b/>
          <w:bCs/>
          <w:color w:val="249F45"/>
          <w:sz w:val="24"/>
          <w:szCs w:val="24"/>
        </w:rPr>
        <w:t xml:space="preserve">TERMS AND CONDITIONS</w:t>
      </w:r>
    </w:p>
    <w:p>
      <w:pPr>
        <w:spacing w:after="120" w:line="276"/>
        <w:ind w:left="360" w:hanging="360"/>
        <w:jc w:val="both"/>
      </w:pPr>
      <w:r>
        <w:rPr>
          <w:rFonts w:ascii="Calibri" w:cs="Calibri" w:eastAsia="Calibri" w:hAnsi="Calibri"/>
          <w:b/>
          <w:bCs/>
          <w:color w:val="222222"/>
          <w:sz w:val="22"/>
          <w:szCs w:val="22"/>
        </w:rPr>
        <w:t xml:space="preserve">1. </w:t>
      </w:r>
      <w:r>
        <w:rPr>
          <w:rFonts w:ascii="Calibri" w:cs="Calibri" w:eastAsia="Calibri" w:hAnsi="Calibri"/>
          <w:color w:val="222222"/>
          <w:sz w:val="22"/>
          <w:szCs w:val="22"/>
        </w:rPr>
        <w:t xml:space="preserve">Service Provider will provide recruitment services to the Company by referring candidates in accordance with the job descriptions specified to it by the Company. Service Provider will also carry out the initial screening and interview of candidates prior to referral, and will share any information it has regarding a candidate's efficiency, honesty, and reliability. If Service Provider uses newspapers, magazines, or any type of publication to recruit candidates, it will not disclose the Company's name without the Company's prior written consent.</w:t>
      </w:r>
    </w:p>
    <w:p>
      <w:pPr>
        <w:spacing w:after="120" w:line="276"/>
        <w:ind w:left="360" w:hanging="360"/>
        <w:jc w:val="both"/>
      </w:pPr>
      <w:r>
        <w:rPr>
          <w:rFonts w:ascii="Calibri" w:cs="Calibri" w:eastAsia="Calibri" w:hAnsi="Calibri"/>
          <w:b/>
          <w:bCs/>
          <w:color w:val="222222"/>
          <w:sz w:val="22"/>
          <w:szCs w:val="22"/>
        </w:rPr>
        <w:t xml:space="preserve">2. </w:t>
      </w:r>
      <w:r>
        <w:rPr>
          <w:rFonts w:ascii="Calibri" w:cs="Calibri" w:eastAsia="Calibri" w:hAnsi="Calibri"/>
          <w:color w:val="222222"/>
          <w:sz w:val="22"/>
          <w:szCs w:val="22"/>
        </w:rPr>
        <w:t xml:space="preserve">If Service Provider places a candidate for employment with the Company, the Service Provider's consultancy fee will be as described below:</w:t>
      </w:r>
    </w:p>
    <w:p>
      <w:pPr>
        <w:spacing w:after="60" w:before="60"/>
      </w:pPr>
      <w:r>
        <w:rPr>
          <w:rFonts w:ascii="Calibri" w:cs="Calibri" w:eastAsia="Calibri" w:hAnsi="Calibri"/>
          <w:b/>
          <w:bCs/>
          <w:color w:val="249F45"/>
          <w:sz w:val="21"/>
          <w:szCs w:val="21"/>
        </w:rPr>
        <w:t xml:space="preserve">Recruitment Process Outsourcing (RPO) - Marketing Positions</w:t>
      </w:r>
    </w:p>
    <w:tbl>
      <w:tblPr>
        <w:tblW w:type="pct" w:w="100%"/>
        <w:tblBorders>
          <w:top w:val="single" w:color="BEBEBE" w:sz="4"/>
          <w:left w:val="single" w:color="BEBEBE" w:sz="4"/>
          <w:bottom w:val="single" w:color="BEBEBE" w:sz="4"/>
          <w:right w:val="single" w:color="BEBEBE" w:sz="4"/>
          <w:insideH w:val="single" w:color="BEBEBE" w:sz="4"/>
          <w:insideV w:val="single" w:color="BEBEBE" w:sz="4"/>
        </w:tblBorders>
      </w:tblPr>
      <w:tblGrid>
        <w:gridCol w:w="5800"/>
        <w:gridCol w:w="3866"/>
      </w:tblGrid>
      <w:tr>
        <w:trPr>
          <w:tblHeader/>
        </w:trPr>
        <w:tc>
          <w:tcPr>
            <w:tcW w:type="pct" w:w="60%"/>
            <w:shd w:fill="249F45" w:val="clear"/>
            <w:tcMar>
              <w:top w:type="dxa" w:w="80"/>
              <w:left w:type="dxa" w:w="120"/>
              <w:bottom w:type="dxa" w:w="80"/>
              <w:right w:type="dxa" w:w="120"/>
            </w:tcMar>
          </w:tcPr>
          <w:p>
            <w:r>
              <w:rPr>
                <w:rFonts w:ascii="Calibri" w:cs="Calibri" w:eastAsia="Calibri" w:hAnsi="Calibri"/>
                <w:b/>
                <w:bCs/>
                <w:color w:val="FFFFFF"/>
                <w:sz w:val="21"/>
                <w:szCs w:val="21"/>
              </w:rPr>
              <w:t xml:space="preserve">Position / Designation</w:t>
            </w:r>
          </w:p>
        </w:tc>
        <w:tc>
          <w:tcPr>
            <w:tcW w:type="pct" w:w="40%"/>
            <w:shd w:fill="249F45" w:val="clear"/>
            <w:tcMar>
              <w:top w:type="dxa" w:w="80"/>
              <w:left w:type="dxa" w:w="120"/>
              <w:bottom w:type="dxa" w:w="80"/>
              <w:right w:type="dxa" w:w="120"/>
            </w:tcMar>
          </w:tcPr>
          <w:p>
            <w:r>
              <w:rPr>
                <w:rFonts w:ascii="Calibri" w:cs="Calibri" w:eastAsia="Calibri" w:hAnsi="Calibri"/>
                <w:b/>
                <w:bCs/>
                <w:color w:val="FFFFFF"/>
                <w:sz w:val="21"/>
                <w:szCs w:val="21"/>
              </w:rPr>
              <w:t xml:space="preserve">Professional Fee</w:t>
            </w:r>
          </w:p>
        </w:tc>
      </w:tr>
      <w:tr>
        <w:tc>
          <w:tcPr>
            <w:tcW w:type="pct" w:w="60%"/>
            <w:shd w:fill="EAF6EE" w:val="clear"/>
            <w:tcMar>
              <w:top w:type="dxa" w:w="80"/>
              <w:left w:type="dxa" w:w="120"/>
              <w:bottom w:type="dxa" w:w="80"/>
              <w:right w:type="dxa" w:w="120"/>
            </w:tcMar>
          </w:tcPr>
          <w:p>
            <w:r>
              <w:rPr>
                <w:rFonts w:ascii="Calibri" w:cs="Calibri" w:eastAsia="Calibri" w:hAnsi="Calibri"/>
                <w:sz w:val="21"/>
                <w:szCs w:val="21"/>
              </w:rPr>
              <w:t xml:space="preserve">Trainee Marketer</w:t>
            </w:r>
          </w:p>
        </w:tc>
        <w:tc>
          <w:tcPr>
            <w:tcW w:type="pct" w:w="40%"/>
            <w:shd w:fill="EAF6EE" w:val="clear"/>
            <w:tcMar>
              <w:top w:type="dxa" w:w="80"/>
              <w:left w:type="dxa" w:w="120"/>
              <w:bottom w:type="dxa" w:w="80"/>
              <w:right w:type="dxa" w:w="120"/>
            </w:tcMar>
          </w:tcPr>
          <w:p>
            <w:r>
              <w:rPr>
                <w:rFonts w:ascii="Calibri" w:cs="Calibri" w:eastAsia="Calibri" w:hAnsi="Calibri"/>
                <w:sz w:val="21"/>
                <w:szCs w:val="21"/>
              </w:rPr>
              <w:t xml:space="preserve">100% of confirmed one-month gross salary</w:t>
            </w:r>
          </w:p>
        </w:tc>
      </w:tr>
      <w:tr>
        <w:tc>
          <w:tcPr>
            <w:tcW w:type="pct" w:w="60%"/>
            <w:tcMar>
              <w:top w:type="dxa" w:w="80"/>
              <w:left w:type="dxa" w:w="120"/>
              <w:bottom w:type="dxa" w:w="80"/>
              <w:right w:type="dxa" w:w="120"/>
            </w:tcMar>
          </w:tcPr>
          <w:p>
            <w:r>
              <w:rPr>
                <w:rFonts w:ascii="Calibri" w:cs="Calibri" w:eastAsia="Calibri" w:hAnsi="Calibri"/>
                <w:sz w:val="21"/>
                <w:szCs w:val="21"/>
              </w:rPr>
              <w:t xml:space="preserve">Junior Marketer</w:t>
            </w:r>
          </w:p>
        </w:tc>
        <w:tc>
          <w:tcPr>
            <w:tcW w:type="pct" w:w="40%"/>
            <w:tcMar>
              <w:top w:type="dxa" w:w="80"/>
              <w:left w:type="dxa" w:w="120"/>
              <w:bottom w:type="dxa" w:w="80"/>
              <w:right w:type="dxa" w:w="120"/>
            </w:tcMar>
          </w:tcPr>
          <w:p>
            <w:r>
              <w:rPr>
                <w:rFonts w:ascii="Calibri" w:cs="Calibri" w:eastAsia="Calibri" w:hAnsi="Calibri"/>
                <w:sz w:val="21"/>
                <w:szCs w:val="21"/>
              </w:rPr>
              <w:t xml:space="preserve">100% of confirmed one-month gross salary</w:t>
            </w:r>
          </w:p>
        </w:tc>
      </w:tr>
      <w:tr>
        <w:tc>
          <w:tcPr>
            <w:tcW w:type="pct" w:w="60%"/>
            <w:shd w:fill="EAF6EE" w:val="clear"/>
            <w:tcMar>
              <w:top w:type="dxa" w:w="80"/>
              <w:left w:type="dxa" w:w="120"/>
              <w:bottom w:type="dxa" w:w="80"/>
              <w:right w:type="dxa" w:w="120"/>
            </w:tcMar>
          </w:tcPr>
          <w:p>
            <w:r>
              <w:rPr>
                <w:rFonts w:ascii="Calibri" w:cs="Calibri" w:eastAsia="Calibri" w:hAnsi="Calibri"/>
                <w:sz w:val="21"/>
                <w:szCs w:val="21"/>
              </w:rPr>
              <w:t xml:space="preserve">Marketer / Campaign Executive</w:t>
            </w:r>
          </w:p>
        </w:tc>
        <w:tc>
          <w:tcPr>
            <w:tcW w:type="pct" w:w="40%"/>
            <w:shd w:fill="EAF6EE" w:val="clear"/>
            <w:tcMar>
              <w:top w:type="dxa" w:w="80"/>
              <w:left w:type="dxa" w:w="120"/>
              <w:bottom w:type="dxa" w:w="80"/>
              <w:right w:type="dxa" w:w="120"/>
            </w:tcMar>
          </w:tcPr>
          <w:p>
            <w:r>
              <w:rPr>
                <w:rFonts w:ascii="Calibri" w:cs="Calibri" w:eastAsia="Calibri" w:hAnsi="Calibri"/>
                <w:sz w:val="21"/>
                <w:szCs w:val="21"/>
              </w:rPr>
              <w:t xml:space="preserve">100% of confirmed one-month gross salary</w:t>
            </w:r>
          </w:p>
        </w:tc>
      </w:tr>
      <w:tr>
        <w:tc>
          <w:tcPr>
            <w:tcW w:type="pct" w:w="60%"/>
            <w:tcMar>
              <w:top w:type="dxa" w:w="80"/>
              <w:left w:type="dxa" w:w="120"/>
              <w:bottom w:type="dxa" w:w="80"/>
              <w:right w:type="dxa" w:w="120"/>
            </w:tcMar>
          </w:tcPr>
          <w:p>
            <w:r>
              <w:rPr>
                <w:rFonts w:ascii="Calibri" w:cs="Calibri" w:eastAsia="Calibri" w:hAnsi="Calibri"/>
                <w:sz w:val="21"/>
                <w:szCs w:val="21"/>
              </w:rPr>
              <w:t xml:space="preserve">Senior Marketer / Account Manager</w:t>
            </w:r>
          </w:p>
        </w:tc>
        <w:tc>
          <w:tcPr>
            <w:tcW w:type="pct" w:w="40%"/>
            <w:tcMar>
              <w:top w:type="dxa" w:w="80"/>
              <w:left w:type="dxa" w:w="120"/>
              <w:bottom w:type="dxa" w:w="80"/>
              <w:right w:type="dxa" w:w="120"/>
            </w:tcMar>
          </w:tcPr>
          <w:p>
            <w:r>
              <w:rPr>
                <w:rFonts w:ascii="Calibri" w:cs="Calibri" w:eastAsia="Calibri" w:hAnsi="Calibri"/>
                <w:sz w:val="21"/>
                <w:szCs w:val="21"/>
              </w:rPr>
              <w:t xml:space="preserve">100% of confirmed one-month gross salary</w:t>
            </w:r>
          </w:p>
        </w:tc>
      </w:tr>
      <w:tr>
        <w:tc>
          <w:tcPr>
            <w:tcW w:type="pct" w:w="60%"/>
            <w:shd w:fill="EAF6EE" w:val="clear"/>
            <w:tcMar>
              <w:top w:type="dxa" w:w="80"/>
              <w:left w:type="dxa" w:w="120"/>
              <w:bottom w:type="dxa" w:w="80"/>
              <w:right w:type="dxa" w:w="120"/>
            </w:tcMar>
          </w:tcPr>
          <w:p>
            <w:r>
              <w:rPr>
                <w:rFonts w:ascii="Calibri" w:cs="Calibri" w:eastAsia="Calibri" w:hAnsi="Calibri"/>
                <w:sz w:val="21"/>
                <w:szCs w:val="21"/>
              </w:rPr>
              <w:t xml:space="preserve">Marketing Team Lead / Manager</w:t>
            </w:r>
          </w:p>
        </w:tc>
        <w:tc>
          <w:tcPr>
            <w:tcW w:type="pct" w:w="40%"/>
            <w:shd w:fill="EAF6EE" w:val="clear"/>
            <w:tcMar>
              <w:top w:type="dxa" w:w="80"/>
              <w:left w:type="dxa" w:w="120"/>
              <w:bottom w:type="dxa" w:w="80"/>
              <w:right w:type="dxa" w:w="120"/>
            </w:tcMar>
          </w:tcPr>
          <w:p>
            <w:r>
              <w:rPr>
                <w:rFonts w:ascii="Calibri" w:cs="Calibri" w:eastAsia="Calibri" w:hAnsi="Calibri"/>
                <w:sz w:val="21"/>
                <w:szCs w:val="21"/>
              </w:rPr>
              <w:t xml:space="preserve">100% of confirmed one-month gross salary</w:t>
            </w:r>
          </w:p>
        </w:tc>
      </w:tr>
    </w:tbl>
    <w:p>
      <w:pPr>
        <w:spacing w:after="160" w:before="160"/>
      </w:pPr>
      <w:r>
        <w:rPr>
          <w:rFonts w:ascii="Calibri" w:cs="Calibri" w:eastAsia="Calibri" w:hAnsi="Calibri"/>
          <w:i/>
          <w:iCs/>
          <w:color w:val="555555"/>
          <w:sz w:val="20"/>
          <w:szCs w:val="20"/>
        </w:rPr>
        <w:t xml:space="preserve">Note: The above professional fee of 100% of one (1) month's confirmed gross salary is payable for each candidate placed and joined, for all levels ranging from Trainee Marketer up to Marketing Team Lead / Manager, and applies uniformly across all designations listed above.</w:t>
      </w:r>
    </w:p>
    <w:p>
      <w:pPr>
        <w:spacing w:after="120" w:line="276"/>
        <w:ind w:left="360" w:hanging="360"/>
        <w:jc w:val="both"/>
      </w:pPr>
      <w:r>
        <w:rPr>
          <w:rFonts w:ascii="Calibri" w:cs="Calibri" w:eastAsia="Calibri" w:hAnsi="Calibri"/>
          <w:b/>
          <w:bCs/>
          <w:color w:val="222222"/>
          <w:sz w:val="22"/>
          <w:szCs w:val="22"/>
        </w:rPr>
        <w:t xml:space="preserve">3. </w:t>
      </w:r>
      <w:r>
        <w:rPr>
          <w:rFonts w:ascii="Calibri" w:cs="Calibri" w:eastAsia="Calibri" w:hAnsi="Calibri"/>
          <w:color w:val="222222"/>
          <w:sz w:val="22"/>
          <w:szCs w:val="22"/>
        </w:rPr>
        <w:t xml:space="preserve">The consultancy fee will be payable to the Service Provider within fifteen (15) working days from the receipt of the invoice, subsequent to the candidate's joining. All bills are to be submitted within fifteen (15) days of the candidate's joining.</w:t>
      </w:r>
    </w:p>
    <w:p>
      <w:pPr>
        <w:spacing w:after="120" w:line="276"/>
        <w:ind w:left="360" w:hanging="360"/>
        <w:jc w:val="both"/>
      </w:pPr>
      <w:r>
        <w:rPr>
          <w:rFonts w:ascii="Calibri" w:cs="Calibri" w:eastAsia="Calibri" w:hAnsi="Calibri"/>
          <w:b/>
          <w:bCs/>
          <w:color w:val="222222"/>
          <w:sz w:val="22"/>
          <w:szCs w:val="22"/>
        </w:rPr>
        <w:t xml:space="preserve">4. </w:t>
      </w:r>
      <w:r>
        <w:rPr>
          <w:rFonts w:ascii="Calibri" w:cs="Calibri" w:eastAsia="Calibri" w:hAnsi="Calibri"/>
          <w:color w:val="222222"/>
          <w:sz w:val="22"/>
          <w:szCs w:val="22"/>
        </w:rPr>
        <w:t xml:space="preserve">All correspondence with candidates, including interview scheduling, will be the responsibility of the Service Provider. The Company will send information of a candidate's rejection to the Service Provider, and it will be the responsibility of the Service Provider to inform the candidates accordingly.</w:t>
      </w:r>
    </w:p>
    <w:p>
      <w:pPr>
        <w:spacing w:after="120" w:line="276"/>
        <w:ind w:left="360" w:hanging="360"/>
        <w:jc w:val="both"/>
      </w:pPr>
      <w:r>
        <w:rPr>
          <w:rFonts w:ascii="Calibri" w:cs="Calibri" w:eastAsia="Calibri" w:hAnsi="Calibri"/>
          <w:b/>
          <w:bCs/>
          <w:color w:val="222222"/>
          <w:sz w:val="22"/>
          <w:szCs w:val="22"/>
        </w:rPr>
        <w:t xml:space="preserve">5. </w:t>
      </w:r>
      <w:r>
        <w:rPr>
          <w:rFonts w:ascii="Calibri" w:cs="Calibri" w:eastAsia="Calibri" w:hAnsi="Calibri"/>
          <w:color w:val="222222"/>
          <w:sz w:val="22"/>
          <w:szCs w:val="22"/>
        </w:rPr>
        <w:t xml:space="preserve">Upon completion of the selection decision, the Company will inform the candidate of the selection through the Service Provider. The Company will issue an offer letter to the candidate and, upon his/her acceptance, convey the offered consolidated package/appointment letter to the Service Provider for billing purposes.</w:t>
      </w:r>
    </w:p>
    <w:p>
      <w:pPr>
        <w:spacing w:after="120" w:line="276"/>
        <w:ind w:left="360" w:hanging="360"/>
        <w:jc w:val="both"/>
      </w:pPr>
      <w:r>
        <w:rPr>
          <w:rFonts w:ascii="Calibri" w:cs="Calibri" w:eastAsia="Calibri" w:hAnsi="Calibri"/>
          <w:b/>
          <w:bCs/>
          <w:color w:val="222222"/>
          <w:sz w:val="22"/>
          <w:szCs w:val="22"/>
        </w:rPr>
        <w:t xml:space="preserve">6. </w:t>
      </w:r>
      <w:r>
        <w:rPr>
          <w:rFonts w:ascii="Calibri" w:cs="Calibri" w:eastAsia="Calibri" w:hAnsi="Calibri"/>
          <w:color w:val="222222"/>
          <w:sz w:val="22"/>
          <w:szCs w:val="22"/>
        </w:rPr>
        <w:t xml:space="preserve">Service Provider will conduct the 1st level screening and advanced screening, interviewing, and selection, and only candidates who satisfy the Company's requirement criteria shall be sent to the Company.</w:t>
      </w:r>
    </w:p>
    <w:p>
      <w:pPr>
        <w:spacing w:after="120" w:line="276"/>
        <w:ind w:left="360" w:hanging="360"/>
        <w:jc w:val="both"/>
      </w:pPr>
      <w:r>
        <w:rPr>
          <w:rFonts w:ascii="Calibri" w:cs="Calibri" w:eastAsia="Calibri" w:hAnsi="Calibri"/>
          <w:b/>
          <w:bCs/>
          <w:color w:val="222222"/>
          <w:sz w:val="22"/>
          <w:szCs w:val="22"/>
        </w:rPr>
        <w:t xml:space="preserve">7. </w:t>
      </w:r>
      <w:r>
        <w:rPr>
          <w:rFonts w:ascii="Calibri" w:cs="Calibri" w:eastAsia="Calibri" w:hAnsi="Calibri"/>
          <w:color w:val="222222"/>
          <w:sz w:val="22"/>
          <w:szCs w:val="22"/>
        </w:rPr>
        <w:t xml:space="preserve">Both parties agree to keep information strictly confidential and shall not disclose it to any third party or use it directly or indirectly for any purpose except to the extent necessary for the performance of the recruiting services under this Agreement.</w:t>
      </w:r>
    </w:p>
    <w:p>
      <w:pPr>
        <w:spacing w:after="120" w:line="276"/>
        <w:ind w:left="360" w:hanging="360"/>
        <w:jc w:val="both"/>
      </w:pPr>
      <w:r>
        <w:rPr>
          <w:rFonts w:ascii="Calibri" w:cs="Calibri" w:eastAsia="Calibri" w:hAnsi="Calibri"/>
          <w:b/>
          <w:bCs/>
          <w:color w:val="222222"/>
          <w:sz w:val="22"/>
          <w:szCs w:val="22"/>
        </w:rPr>
        <w:t xml:space="preserve">8. </w:t>
      </w:r>
      <w:r>
        <w:rPr>
          <w:rFonts w:ascii="Calibri" w:cs="Calibri" w:eastAsia="Calibri" w:hAnsi="Calibri"/>
          <w:color w:val="222222"/>
          <w:sz w:val="22"/>
          <w:szCs w:val="22"/>
        </w:rPr>
        <w:t xml:space="preserve">In case any Managerial Level (excluding blue-collar level) employee resigns, or his/her employment is terminated by the employer for any unethical or illegal activity, within three (3) months of employment with the employer, then the Service Provider will provide an alternative list of candidates free of any cost or charge. This clause will not be applicable if the employer terminates the employee within 3 months for reasons other than unethical/illegal activity or non-performance.</w:t>
      </w:r>
    </w:p>
    <w:p>
      <w:pPr>
        <w:spacing w:after="120" w:line="276"/>
        <w:ind w:left="360" w:hanging="360"/>
        <w:jc w:val="both"/>
      </w:pPr>
      <w:r>
        <w:rPr>
          <w:rFonts w:ascii="Calibri" w:cs="Calibri" w:eastAsia="Calibri" w:hAnsi="Calibri"/>
          <w:b/>
          <w:bCs/>
          <w:color w:val="222222"/>
          <w:sz w:val="22"/>
          <w:szCs w:val="22"/>
        </w:rPr>
        <w:t xml:space="preserve">9. </w:t>
      </w:r>
      <w:r>
        <w:rPr>
          <w:rFonts w:ascii="Calibri" w:cs="Calibri" w:eastAsia="Calibri" w:hAnsi="Calibri"/>
          <w:color w:val="222222"/>
          <w:sz w:val="22"/>
          <w:szCs w:val="22"/>
        </w:rPr>
        <w:t xml:space="preserve">If, in the near future, the Company hires any candidate of any level (Managerial, Non-Managerial, or otherwise) from the previous pool provided by the Service Provider within six (6) months, the Company must pay 100% of the applicable recruitment fee to the Service Provider.</w:t>
      </w:r>
    </w:p>
    <w:p>
      <w:pPr>
        <w:spacing w:after="120" w:line="276"/>
        <w:ind w:left="360" w:hanging="360"/>
        <w:jc w:val="both"/>
      </w:pPr>
      <w:r>
        <w:rPr>
          <w:rFonts w:ascii="Calibri" w:cs="Calibri" w:eastAsia="Calibri" w:hAnsi="Calibri"/>
          <w:b/>
          <w:bCs/>
          <w:color w:val="222222"/>
          <w:sz w:val="22"/>
          <w:szCs w:val="22"/>
        </w:rPr>
        <w:t xml:space="preserve">10. </w:t>
      </w:r>
      <w:r>
        <w:rPr>
          <w:rFonts w:ascii="Calibri" w:cs="Calibri" w:eastAsia="Calibri" w:hAnsi="Calibri"/>
          <w:color w:val="222222"/>
          <w:sz w:val="22"/>
          <w:szCs w:val="22"/>
        </w:rPr>
        <w:t xml:space="preserve">This Agreement will be effective beginning on the date above and will remain in full force and effect until termination on the happening of any one or more of the following events: on expiry of its Term, or if either party terminates this Agreement by giving prior notice of one (1) month in writing to the other party, or by mutual consent of the parties, without assigning any reason whatsoever. Before termination of this Agreement, both parties will sign a No Objection Certificate (NOC).</w:t>
      </w:r>
    </w:p>
    <w:p>
      <w:pPr>
        <w:spacing w:after="120" w:line="276"/>
        <w:ind w:left="360" w:hanging="360"/>
        <w:jc w:val="both"/>
      </w:pPr>
      <w:r>
        <w:rPr>
          <w:rFonts w:ascii="Calibri" w:cs="Calibri" w:eastAsia="Calibri" w:hAnsi="Calibri"/>
          <w:b/>
          <w:bCs/>
          <w:color w:val="222222"/>
          <w:sz w:val="22"/>
          <w:szCs w:val="22"/>
        </w:rPr>
        <w:t xml:space="preserve">11. </w:t>
      </w:r>
      <w:r>
        <w:rPr>
          <w:rFonts w:ascii="Calibri" w:cs="Calibri" w:eastAsia="Calibri" w:hAnsi="Calibri"/>
          <w:color w:val="222222"/>
          <w:sz w:val="22"/>
          <w:szCs w:val="22"/>
        </w:rPr>
        <w:t xml:space="preserve">VAT and AIT will be applicable as per prevailing Government regulations.</w:t>
      </w:r>
    </w:p>
    <w:p>
      <w:pPr>
        <w:spacing w:after="200" w:before="300"/>
      </w:pPr>
      <w:r>
        <w:rPr>
          <w:rFonts w:ascii="Calibri" w:cs="Calibri" w:eastAsia="Calibri" w:hAnsi="Calibri"/>
          <w:b/>
          <w:bCs/>
          <w:sz w:val="22"/>
          <w:szCs w:val="22"/>
        </w:rPr>
        <w:t xml:space="preserve">IN WITNESS WHEREOF, the parties have executed this Agreement as of the date first written above:</w:t>
      </w:r>
    </w:p>
    <w:p>
      <w:pPr>
        <w:spacing w:after="300"/>
      </w:pPr>
      <w:r>
        <w:rPr>
          <w:rFonts w:ascii="Calibri" w:cs="Calibri" w:eastAsia="Calibri" w:hAnsi="Calibri"/>
          <w:sz w:val="22"/>
          <w:szCs w:val="22"/>
        </w:rPr>
        <w:t xml:space="preserve">Read, agreed, and accepted this ____ day of ______________, 2026.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4833"/>
        <w:gridCol w:w="4833"/>
      </w:tblGrid>
      <w:tr>
        <w:tc>
          <w:tcPr>
            <w:tcW w:type="pct" w:w="50%"/>
          </w:tcPr>
          <w:p>
            <w:r>
              <w:rPr>
                <w:rFonts w:ascii="Calibri" w:cs="Calibri" w:eastAsia="Calibri" w:hAnsi="Calibri"/>
                <w:b/>
                <w:bCs/>
                <w:sz w:val="21"/>
                <w:szCs w:val="21"/>
              </w:rPr>
              <w:t xml:space="preserve">For and on behalf of</w:t>
            </w:r>
          </w:p>
          <w:p>
            <w:r>
              <w:rPr>
                <w:rFonts w:ascii="Calibri" w:cs="Calibri" w:eastAsia="Calibri" w:hAnsi="Calibri"/>
                <w:b/>
                <w:bCs/>
                <w:color w:val="249F45"/>
                <w:sz w:val="21"/>
                <w:szCs w:val="21"/>
              </w:rPr>
              <w:t xml:space="preserve">"COMPANY" - Social Geek</w:t>
            </w:r>
          </w:p>
        </w:tc>
        <w:tc>
          <w:tcPr>
            <w:tcW w:type="pct" w:w="50%"/>
          </w:tcPr>
          <w:p>
            <w:r>
              <w:rPr>
                <w:rFonts w:ascii="Calibri" w:cs="Calibri" w:eastAsia="Calibri" w:hAnsi="Calibri"/>
                <w:b/>
                <w:bCs/>
                <w:sz w:val="21"/>
                <w:szCs w:val="21"/>
              </w:rPr>
              <w:t xml:space="preserve">For and on behalf of</w:t>
            </w:r>
          </w:p>
          <w:p>
            <w:r>
              <w:rPr>
                <w:rFonts w:ascii="Calibri" w:cs="Calibri" w:eastAsia="Calibri" w:hAnsi="Calibri"/>
                <w:b/>
                <w:bCs/>
                <w:color w:val="249F45"/>
                <w:sz w:val="21"/>
                <w:szCs w:val="21"/>
              </w:rPr>
              <w:t xml:space="preserve">"SERVICE PROVIDER" - Shomvob Technologies Ltd.</w:t>
            </w:r>
          </w:p>
        </w:tc>
      </w:tr>
      <w:tr>
        <w:tc>
          <w:p/>
        </w:tc>
        <w:tc>
          <w:p/>
        </w:tc>
      </w:tr>
      <w:tr>
        <w:tc>
          <w:tcPr>
            <w:tcW w:type="pct" w:w="50%"/>
          </w:tcPr>
          <w:p>
            <w:pPr>
              <w:pBdr>
                <w:top w:val="single" w:color="999999" w:sz="6"/>
              </w:pBdr>
            </w:pPr>
            <w:r>
              <w:rPr>
                <w:rFonts w:ascii="Calibri" w:cs="Calibri" w:eastAsia="Calibri" w:hAnsi="Calibri"/>
                <w:sz w:val="21"/>
                <w:szCs w:val="21"/>
              </w:rPr>
              <w:t xml:space="preserve">Name: ______________________</w:t>
            </w:r>
          </w:p>
          <w:p>
            <w:r>
              <w:rPr>
                <w:rFonts w:ascii="Calibri" w:cs="Calibri" w:eastAsia="Calibri" w:hAnsi="Calibri"/>
                <w:sz w:val="21"/>
                <w:szCs w:val="21"/>
              </w:rPr>
              <w:t xml:space="preserve">Designation: _________________</w:t>
            </w:r>
          </w:p>
          <w:p>
            <w:r>
              <w:rPr>
                <w:rFonts w:ascii="Calibri" w:cs="Calibri" w:eastAsia="Calibri" w:hAnsi="Calibri"/>
                <w:sz w:val="21"/>
                <w:szCs w:val="21"/>
              </w:rPr>
              <w:t xml:space="preserve">Date: ________________________</w:t>
            </w:r>
          </w:p>
        </w:tc>
        <w:tc>
          <w:tcPr>
            <w:tcW w:type="pct" w:w="50%"/>
          </w:tcPr>
          <w:p>
            <w:pPr>
              <w:pBdr>
                <w:top w:val="single" w:color="999999" w:sz="6"/>
              </w:pBdr>
            </w:pPr>
            <w:r>
              <w:rPr>
                <w:rFonts w:ascii="Calibri" w:cs="Calibri" w:eastAsia="Calibri" w:hAnsi="Calibri"/>
                <w:sz w:val="21"/>
                <w:szCs w:val="21"/>
              </w:rPr>
              <w:t xml:space="preserve">Hasib Rahman</w:t>
            </w:r>
          </w:p>
          <w:p>
            <w:r>
              <w:rPr>
                <w:rFonts w:ascii="Calibri" w:cs="Calibri" w:eastAsia="Calibri" w:hAnsi="Calibri"/>
                <w:sz w:val="21"/>
                <w:szCs w:val="21"/>
              </w:rPr>
              <w:t xml:space="preserve">Chief Operating Officer</w:t>
            </w:r>
          </w:p>
          <w:p>
            <w:r>
              <w:rPr>
                <w:rFonts w:ascii="Calibri" w:cs="Calibri" w:eastAsia="Calibri" w:hAnsi="Calibri"/>
                <w:sz w:val="21"/>
                <w:szCs w:val="21"/>
              </w:rPr>
              <w:t xml:space="preserve">Date: ________________________</w:t>
            </w:r>
          </w:p>
        </w:tc>
      </w:tr>
      <w:tr>
        <w:tc>
          <w:tcPr>
            <w:tcW w:type="pct" w:w="50%"/>
          </w:tcPr>
          <w:p>
            <w:pPr>
              <w:spacing w:before="100"/>
            </w:pPr>
            <w:r>
              <w:rPr>
                <w:rFonts w:ascii="Calibri" w:cs="Calibri" w:eastAsia="Calibri" w:hAnsi="Calibri"/>
                <w:b/>
                <w:bCs/>
                <w:sz w:val="21"/>
                <w:szCs w:val="21"/>
              </w:rPr>
              <w:t xml:space="preserve">Witness:</w:t>
            </w:r>
          </w:p>
          <w:p>
            <w:pPr>
              <w:pBdr>
                <w:top w:val="single" w:color="999999" w:sz="6"/>
              </w:pBdr>
            </w:pPr>
            <w:r>
              <w:rPr>
                <w:rFonts w:ascii="Calibri" w:cs="Calibri" w:eastAsia="Calibri" w:hAnsi="Calibri"/>
                <w:sz w:val="21"/>
                <w:szCs w:val="21"/>
              </w:rPr>
              <w:t xml:space="preserve">Name: ______________________</w:t>
            </w:r>
          </w:p>
          <w:p>
            <w:r>
              <w:rPr>
                <w:rFonts w:ascii="Calibri" w:cs="Calibri" w:eastAsia="Calibri" w:hAnsi="Calibri"/>
                <w:sz w:val="21"/>
                <w:szCs w:val="21"/>
              </w:rPr>
              <w:t xml:space="preserve">Designation: _________________</w:t>
            </w:r>
          </w:p>
        </w:tc>
        <w:tc>
          <w:tcPr>
            <w:tcW w:type="pct" w:w="50%"/>
          </w:tcPr>
          <w:p>
            <w:r>
              <w:rPr>
                <w:rFonts w:ascii="Calibri" w:cs="Calibri" w:eastAsia="Calibri" w:hAnsi="Calibri"/>
                <w:b/>
                <w:bCs/>
                <w:sz w:val="21"/>
                <w:szCs w:val="21"/>
              </w:rPr>
              <w:t xml:space="preserve">Witness:</w:t>
            </w:r>
          </w:p>
          <w:p>
            <w:pPr>
              <w:pBdr>
                <w:top w:val="single" w:color="999999" w:sz="6"/>
              </w:pBdr>
            </w:pPr>
            <w:r>
              <w:rPr>
                <w:rFonts w:ascii="Calibri" w:cs="Calibri" w:eastAsia="Calibri" w:hAnsi="Calibri"/>
                <w:sz w:val="21"/>
                <w:szCs w:val="21"/>
              </w:rPr>
              <w:t xml:space="preserve">Md. Al-Amin</w:t>
            </w:r>
          </w:p>
          <w:p>
            <w:r>
              <w:rPr>
                <w:rFonts w:ascii="Calibri" w:cs="Calibri" w:eastAsia="Calibri" w:hAnsi="Calibri"/>
                <w:sz w:val="21"/>
                <w:szCs w:val="21"/>
              </w:rPr>
              <w:t xml:space="preserve">Head of Business</w:t>
            </w:r>
          </w:p>
        </w:tc>
      </w:tr>
    </w:tbl>
    <w:sectPr>
      <w:headerReference w:type="default" r:id="rId7"/>
      <w:footerReference w:type="default" r:id="rId8"/>
      <w:pgSz w:w="11906" w:h="16838" w:orient="portrait"/>
      <w:pgMar w:top="1500" w:right="10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49F45" w:val="clear"/>
          <w:tcMar>
            <w:top w:type="dxa" w:w="100"/>
            <w:left w:type="dxa" w:w="300"/>
            <w:bottom w:type="dxa" w:w="100"/>
            <w:right w:type="dxa" w:w="300"/>
          </w:tcMar>
          <w:vAlign w:val="center"/>
        </w:tcPr>
        <w:p>
          <w:pPr>
            <w:tabs>
              <w:tab w:val="left" w:pos="5500"/>
            </w:tabs>
          </w:pPr>
          <w:r>
            <w:rPr>
              <w:rFonts w:ascii="Calibri" w:cs="Calibri" w:eastAsia="Calibri" w:hAnsi="Calibri"/>
              <w:color w:val="FFFFFF"/>
              <w:sz w:val="16"/>
              <w:szCs w:val="16"/>
            </w:rPr>
            <w:t xml:space="preserve">+880 9638885588   |   info@shomvob.com   |   www.shomvob.com</w:t>
          </w:r>
        </w:p>
        <w:p>
          <w:r>
            <w:rPr>
              <w:rFonts w:ascii="Calibri" w:cs="Calibri" w:eastAsia="Calibri" w:hAnsi="Calibri"/>
              <w:color w:val="FFFFFF"/>
              <w:sz w:val="16"/>
              <w:szCs w:val="16"/>
            </w:rPr>
            <w:t xml:space="preserve">House 486, Road 08, Baridhara DOHS, Dhaka - 1212</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4287500">
          <wp:simplePos x="0" y="0"/>
          <wp:positionH relativeFrom="page">
            <wp:posOffset>0</wp:posOffset>
          </wp:positionH>
          <wp:positionV relativeFrom="page">
            <wp:posOffset>0</wp:posOffset>
          </wp:positionV>
          <wp:extent cx="209550" cy="14287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14287500"/>
                  </a:xfrm>
                  <a:prstGeom prst="rect">
                    <a:avLst/>
                  </a:prstGeom>
                </pic:spPr>
              </pic:pic>
            </a:graphicData>
          </a:graphic>
        </wp:anchor>
      </w:drawing>
    </w:r>
    <w:r>
      <w:drawing>
        <wp:anchor distT="0" distB="0" distL="0" distR="0" simplePos="0" allowOverlap="1" behindDoc="0" locked="0" layoutInCell="1" relativeHeight="295275">
          <wp:simplePos x="0" y="0"/>
          <wp:positionH relativeFrom="page">
            <wp:posOffset>457200</wp:posOffset>
          </wp:positionH>
          <wp:positionV relativeFrom="page">
            <wp:posOffset>136525</wp:posOffset>
          </wp:positionV>
          <wp:extent cx="1228725"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28725" cy="2952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41e13081b32953667a2b5108c1b5efb60d53488.png"/><Relationship Id="rId1" Type="http://schemas.openxmlformats.org/officeDocument/2006/relationships/image" Target="media/8fedf9a52c514070637c73880b4c7af9640ddd7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2026-08-26T11:43:49.146Z</dcterms:created>
  <dcterms:modified xsi:type="dcterms:W3CDTF">2026-08-26T11:43:49.146Z</dcterms:modified>
</cp:coreProperties>
</file>

<file path=docProps/custom.xml><?xml version="1.0" encoding="utf-8"?>
<Properties xmlns="http://schemas.openxmlformats.org/officeDocument/2006/custom-properties" xmlns:vt="http://schemas.openxmlformats.org/officeDocument/2006/docPropsVTypes"/>
</file>