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F05066" w:rsidRPr="00B44ECB" w14:paraId="23B8A051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634C6CED" w14:textId="77777777" w:rsidR="00F05066" w:rsidRPr="00B44ECB" w:rsidRDefault="00F05066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05FBAD1F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32D3CC1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19807E53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17AF131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1483EA1A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F05066" w:rsidRPr="00B44ECB" w14:paraId="31485C4C" w14:textId="77777777" w:rsidTr="008758B3">
        <w:trPr>
          <w:tblHeader/>
        </w:trPr>
        <w:tc>
          <w:tcPr>
            <w:tcW w:w="426" w:type="dxa"/>
            <w:vMerge/>
          </w:tcPr>
          <w:p w14:paraId="7CEB1817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6208344C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FCB30E2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611F2FCE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79ECA6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478449D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ED309A" w14:textId="77777777" w:rsidR="00F05066" w:rsidRPr="00B44ECB" w:rsidRDefault="00F05066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A6E3732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F05066" w:rsidRPr="00B44ECB" w14:paraId="18F97F1E" w14:textId="77777777" w:rsidTr="008758B3">
        <w:tc>
          <w:tcPr>
            <w:tcW w:w="426" w:type="dxa"/>
            <w:vAlign w:val="center"/>
          </w:tcPr>
          <w:p w14:paraId="40098F00" w14:textId="77777777" w:rsidR="00F05066" w:rsidRPr="00B44ECB" w:rsidRDefault="00F0506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49BFC01A" w14:textId="77777777" w:rsidR="00F05066" w:rsidRPr="00CA789A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397BC3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244DCB46" w14:textId="77777777" w:rsidR="00F05066" w:rsidRPr="002F4A3D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7BF154" w14:textId="77777777" w:rsidR="00F05066" w:rsidRPr="00B44ECB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E6067F" w14:textId="77777777" w:rsidR="00F05066" w:rsidRPr="00F71E7C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40DF4" w14:textId="77777777" w:rsidR="00F05066" w:rsidRPr="00F71E7C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9E81EFC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F05066" w:rsidRPr="002F4A3D" w14:paraId="51C86BA8" w14:textId="77777777" w:rsidTr="008758B3">
        <w:tc>
          <w:tcPr>
            <w:tcW w:w="426" w:type="dxa"/>
            <w:vAlign w:val="center"/>
          </w:tcPr>
          <w:p w14:paraId="368E6602" w14:textId="77777777" w:rsidR="00F05066" w:rsidRPr="00B44ECB" w:rsidRDefault="00F0506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0FEC38D7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44D48F9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53F5737D" w14:textId="77777777" w:rsidR="00F05066" w:rsidRPr="002F4A3D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A5C6625" w14:textId="77777777" w:rsidR="00F05066" w:rsidRPr="00B44ECB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C743DB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82D4B2" w14:textId="77777777" w:rsidR="00F05066" w:rsidRPr="002F4A3D" w:rsidRDefault="00F0506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E26639D" w14:textId="77777777" w:rsidR="00F05066" w:rsidRPr="002F4A3D" w:rsidRDefault="00F0506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F05066" w:rsidRPr="00F71E7C" w14:paraId="0F52D424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10D6DBFC" w14:textId="77777777" w:rsidR="00F05066" w:rsidRPr="00B44ECB" w:rsidRDefault="00F0506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1DC1FEC2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6571266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45699631" w14:textId="77777777" w:rsidR="00F05066" w:rsidRPr="002F4A3D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EB3A60C" w14:textId="77777777" w:rsidR="00F05066" w:rsidRPr="00B44ECB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F608CE" w14:textId="77777777" w:rsidR="00F05066" w:rsidRPr="002F4A3D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BC96CA" w14:textId="77777777" w:rsidR="00F05066" w:rsidRPr="002F4A3D" w:rsidRDefault="00F0506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EF16F96" w14:textId="77777777" w:rsidR="00F05066" w:rsidRPr="00F71E7C" w:rsidRDefault="00F0506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F05066" w:rsidRPr="002F4A3D" w14:paraId="0506EE97" w14:textId="77777777" w:rsidTr="008758B3">
        <w:tc>
          <w:tcPr>
            <w:tcW w:w="426" w:type="dxa"/>
            <w:vAlign w:val="center"/>
          </w:tcPr>
          <w:p w14:paraId="77A12C49" w14:textId="77777777" w:rsidR="00F05066" w:rsidRPr="00B44ECB" w:rsidRDefault="00F05066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7D2CEA19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F1DAB68" w14:textId="77777777" w:rsidR="00F05066" w:rsidRPr="00B44ECB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70458507" w14:textId="77777777" w:rsidR="00F05066" w:rsidRPr="002F4A3D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60D4BFD" w14:textId="77777777" w:rsidR="00F05066" w:rsidRPr="00B44ECB" w:rsidRDefault="00F05066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28F8DC" w14:textId="77777777" w:rsidR="00F05066" w:rsidRPr="002F4A3D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DFE27E" w14:textId="77777777" w:rsidR="00F05066" w:rsidRPr="002F4A3D" w:rsidRDefault="00F0506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D00DC0E" w14:textId="77777777" w:rsidR="00F05066" w:rsidRPr="002F4A3D" w:rsidRDefault="00F05066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F05066" w:rsidRPr="00F71E7C" w14:paraId="3A8DD5A5" w14:textId="77777777" w:rsidTr="008758B3">
        <w:trPr>
          <w:trHeight w:val="137"/>
        </w:trPr>
        <w:tc>
          <w:tcPr>
            <w:tcW w:w="6663" w:type="dxa"/>
            <w:gridSpan w:val="5"/>
          </w:tcPr>
          <w:p w14:paraId="75FBC0BD" w14:textId="77777777" w:rsidR="00F05066" w:rsidRPr="00395B58" w:rsidRDefault="00F05066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1E011A" w14:textId="77777777" w:rsidR="00F05066" w:rsidRPr="00F71E7C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1D38C2" w14:textId="77777777" w:rsidR="00F05066" w:rsidRPr="00F71E7C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4173D0B" w14:textId="77777777" w:rsidR="00F05066" w:rsidRPr="00F71E7C" w:rsidRDefault="00F05066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3BCE8" w14:textId="77777777" w:rsidR="00C82204" w:rsidRDefault="00C82204">
      <w:pPr>
        <w:spacing w:line="240" w:lineRule="auto"/>
      </w:pPr>
      <w:r>
        <w:separator/>
      </w:r>
    </w:p>
  </w:endnote>
  <w:endnote w:type="continuationSeparator" w:id="0">
    <w:p w14:paraId="4784BD46" w14:textId="77777777" w:rsidR="00C82204" w:rsidRDefault="00C82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10C95114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F05066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13DEC" w14:textId="77777777" w:rsidR="00C82204" w:rsidRDefault="00C82204">
      <w:pPr>
        <w:spacing w:line="240" w:lineRule="auto"/>
      </w:pPr>
      <w:r>
        <w:separator/>
      </w:r>
    </w:p>
  </w:footnote>
  <w:footnote w:type="continuationSeparator" w:id="0">
    <w:p w14:paraId="53857396" w14:textId="77777777" w:rsidR="00C82204" w:rsidRDefault="00C82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A1C35"/>
    <w:rsid w:val="000D244F"/>
    <w:rsid w:val="000D388D"/>
    <w:rsid w:val="00115752"/>
    <w:rsid w:val="001318BE"/>
    <w:rsid w:val="0017363E"/>
    <w:rsid w:val="00196F74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90CFA"/>
    <w:rsid w:val="004D5E0C"/>
    <w:rsid w:val="005B4940"/>
    <w:rsid w:val="0060440E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72E7E"/>
    <w:rsid w:val="00C82204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05066"/>
    <w:rsid w:val="00F15C81"/>
    <w:rsid w:val="00F34153"/>
    <w:rsid w:val="00F75462"/>
    <w:rsid w:val="00F85750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2020-02-13T13:24:00Z</dcterms:modified>
</cp:coreProperties>
</file>