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Modern Challenges: The Impact of High Cost of Living</w:t>
      </w:r>
    </w:p>
    <w:p>
      <w:pPr>
        <w:pStyle w:val="style0"/>
        <w:rPr/>
      </w:pPr>
    </w:p>
    <w:p>
      <w:pPr>
        <w:pStyle w:val="style0"/>
        <w:rPr/>
      </w:pPr>
      <w:r>
        <w:rPr>
          <w:lang w:val="en-US"/>
        </w:rPr>
        <w:t>In today's dynamic landscape, one of the most pressing challenges confronting individuals is the high cost of living. This issue affects and influences how people work, behave, and aspire to thrive. The effects of the high cost of living is seen across economic, educational, and social domains, posing threats to individual prosperity and societal progress.</w:t>
      </w:r>
    </w:p>
    <w:p>
      <w:pPr>
        <w:pStyle w:val="style0"/>
        <w:rPr/>
      </w:pPr>
    </w:p>
    <w:p>
      <w:pPr>
        <w:pStyle w:val="style0"/>
        <w:rPr/>
      </w:pPr>
      <w:r>
        <w:rPr>
          <w:lang w:val="en-US"/>
        </w:rPr>
        <w:t>At the heart of this modern challenge lies the barrier for aspiring entrepreneurs. Initiating a business venture in an economy besieged by soaring living expenses is akin to navigating a treacherous terrain fraught with obstacles. Securing the requisite capital to commence a business endeavor becomes a Herculean task, exacerbated by the prevalence of high-interest rates imposed by financial institutions. Aspiring entrepreneurs find themselves ensnared in a vicious cycle, where access to financial resources remains elusive, impeding their entrepreneurial ambitions and stifling economic growth and innovation.</w:t>
      </w:r>
    </w:p>
    <w:p>
      <w:pPr>
        <w:pStyle w:val="style0"/>
        <w:rPr/>
      </w:pPr>
    </w:p>
    <w:p>
      <w:pPr>
        <w:pStyle w:val="style0"/>
        <w:rPr/>
      </w:pPr>
      <w:r>
        <w:rPr>
          <w:lang w:val="en-US"/>
        </w:rPr>
        <w:t>Furthermore, the specter of astronomical tuition fees casts a long shadow over the pursuit of higher education, exacerbating the burden of the high cost of living. University education, once heralded as a pathway to upward mobility, has increasingly become financially prohibitive, rendering it inaccessible to many aspiring scholars. The implementation of Higher Education Funding (HEF) mechanisms ostensibly aimed at alleviating financial burdens often proves to be a double-edged sword. While ostensibly providing financial assistance, the accumulation of debt burdens students upon graduation, outweighing the perceived value of their education. Consequently, many individuals are forced to forego pursuing higher education or incur substantial debt, further perpetuating socioeconomic disparities and impeding social mobility.</w:t>
      </w:r>
    </w:p>
    <w:p>
      <w:pPr>
        <w:pStyle w:val="style0"/>
        <w:rPr/>
      </w:pPr>
    </w:p>
    <w:p>
      <w:pPr>
        <w:pStyle w:val="style0"/>
        <w:rPr/>
      </w:pPr>
      <w:r>
        <w:rPr>
          <w:lang w:val="en-US"/>
        </w:rPr>
        <w:t>Moreover, the impact of the high cost of living extends its tendrils into the realm of employment opportunities, exacerbating the scourge of unemployment. With job markets beleaguered by stagnation and scarcity, individuals encounter formidable barriers to securing stable employment. The allure of entrepreneurship or engaging in menial labor becomes increasingly enticing, as traditional avenues of employment remain fraught with uncertainty and instability. Consequently, a proliferation of informal sector activities and precarious employment arrangements ensue, further entrenching societal inequalities and economic vulnerabilities.</w:t>
      </w:r>
    </w:p>
    <w:p>
      <w:pPr>
        <w:pStyle w:val="style0"/>
        <w:rPr/>
      </w:pPr>
    </w:p>
    <w:p>
      <w:pPr>
        <w:pStyle w:val="style0"/>
        <w:rPr/>
      </w:pPr>
      <w:r>
        <w:rPr>
          <w:lang w:val="en-US"/>
        </w:rPr>
        <w:t>In addition to economic ramifications, the high cost of living exerts a profound influence on basic sustenance and nutritional well-being. The disparity between the prices of groceries and supermarket commodities underscores the socioeconomic disparities pervading contemporary societies. Vulnerable populations, grappling with constrained financial resources, are compelled to make trade-offs between nutritional adequacy and financial constraints. The burgeoning prevalence of food insecurity underscores the urgent imperative to address the structural inequities underpinning access to basic necessities.</w:t>
      </w:r>
    </w:p>
    <w:p>
      <w:pPr>
        <w:pStyle w:val="style0"/>
        <w:rPr/>
      </w:pPr>
    </w:p>
    <w:p>
      <w:pPr>
        <w:pStyle w:val="style0"/>
        <w:rPr/>
      </w:pPr>
      <w:r>
        <w:rPr>
          <w:lang w:val="en-US"/>
        </w:rPr>
        <w:t>In conclusion, the high cost of living emerges as a formidable modern challenge, exerting a profound and multifaceted impact on individuals and societies. Its ramifications extend beyond economic spheres, permeating educational, employment, and social domains. Addressing this pervasive challenge necessitates concerted efforts to redress systemic inequities, foster economic inclusivity, and prioritize social welfare. Only through collective action and innovative policy interventions can societies navigate the turbulent currents of contemporary existence and forge a path towards equitable prosperity and societal flourishing.</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496</Words>
  <Pages>1</Pages>
  <Characters>3241</Characters>
  <Application>WPS Office</Application>
  <DocSecurity>0</DocSecurity>
  <Paragraphs>17</Paragraphs>
  <ScaleCrop>false</ScaleCrop>
  <LinksUpToDate>false</LinksUpToDate>
  <CharactersWithSpaces>3730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2024-03-28T05:15:00Z</dcterms:created>
  <dc:creator>ADM</dc:creator>
  <lastModifiedBy>DUB-LX1</lastModifiedBy>
  <dcterms:modified xsi:type="dcterms:W3CDTF">2024-04-04T15:34:01Z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d183a7f9f061497796b2c8e5bf4690fc</vt:lpwstr>
  </property>
</Properties>
</file>