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54844">
      <w:pPr>
        <w:keepNext/>
        <w:spacing w:line="560" w:lineRule="exac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2.1.</w:t>
      </w:r>
      <w:r>
        <w:rPr>
          <w:rFonts w:hint="eastAsia" w:ascii="Times New Roman" w:hAnsi="Times New Roman" w:eastAsia="仿宋" w:cs="Times New Roman"/>
          <w:sz w:val="28"/>
          <w:szCs w:val="28"/>
        </w:rPr>
        <w:t>4</w:t>
      </w:r>
      <w:r>
        <w:rPr>
          <w:rFonts w:ascii="Times New Roman" w:hAnsi="Times New Roman" w:eastAsia="仿宋" w:cs="Times New Roman"/>
          <w:sz w:val="28"/>
          <w:szCs w:val="28"/>
        </w:rPr>
        <w:t xml:space="preserve"> BIM应用工程量</w:t>
      </w:r>
      <w:r>
        <w:rPr>
          <w:rFonts w:hint="eastAsia" w:ascii="Times New Roman" w:hAnsi="Times New Roman" w:eastAsia="仿宋" w:cs="Times New Roman"/>
          <w:sz w:val="28"/>
          <w:szCs w:val="28"/>
        </w:rPr>
        <w:t>清单：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943"/>
        <w:gridCol w:w="4078"/>
        <w:gridCol w:w="881"/>
        <w:gridCol w:w="997"/>
      </w:tblGrid>
      <w:tr w14:paraId="3465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tblHeader/>
        </w:trPr>
        <w:tc>
          <w:tcPr>
            <w:tcW w:w="397" w:type="dxa"/>
            <w:shd w:val="clear" w:color="000000" w:fill="FFFFFF"/>
            <w:vAlign w:val="center"/>
          </w:tcPr>
          <w:p w14:paraId="7C922C09">
            <w:pPr>
              <w:keepNext/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0EB05686">
            <w:pPr>
              <w:keepNext/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分部分项工程名称材料及部位说明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1DF412E5">
            <w:pPr>
              <w:keepNext/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技术规格、服务内容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3785A838">
            <w:pPr>
              <w:keepNext/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价格（元）</w:t>
            </w:r>
          </w:p>
        </w:tc>
        <w:tc>
          <w:tcPr>
            <w:tcW w:w="997" w:type="dxa"/>
            <w:shd w:val="clear" w:color="000000" w:fill="FFFFFF"/>
            <w:vAlign w:val="center"/>
          </w:tcPr>
          <w:p w14:paraId="1D933BB2">
            <w:pPr>
              <w:keepNext/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</w:tr>
      <w:tr w14:paraId="4B9A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42D67215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37E37622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主体及附属结构三维模型（LOD400）。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2C37BC69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1.立交BIM施工深化模型。2.细化模型粒度、补充编码等属性信息。3.满足发包人BIM平台的数据需要。</w:t>
            </w:r>
          </w:p>
        </w:tc>
        <w:tc>
          <w:tcPr>
            <w:tcW w:w="881" w:type="dxa"/>
            <w:vMerge w:val="restart"/>
            <w:shd w:val="clear" w:color="000000" w:fill="FFFFFF"/>
            <w:vAlign w:val="center"/>
          </w:tcPr>
          <w:p w14:paraId="7143DB9D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534CFD36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6AFA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397" w:type="dxa"/>
            <w:shd w:val="clear" w:color="000000" w:fill="FFFFFF"/>
            <w:vAlign w:val="center"/>
          </w:tcPr>
          <w:p w14:paraId="0F6DC429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010B18F6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根据施工现场进度模型每周进行更新，直到项目竣工交付竣工模型（LOD400）。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21C95475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1.竣工模型与现场一致；2.竣工模型包含路基、结构、桥梁、建筑等专业的全线竣工模型；3.相关资料进行数字化交付。</w:t>
            </w:r>
          </w:p>
        </w:tc>
        <w:tc>
          <w:tcPr>
            <w:tcW w:w="881" w:type="dxa"/>
            <w:vMerge w:val="continue"/>
            <w:vAlign w:val="center"/>
          </w:tcPr>
          <w:p w14:paraId="43B9E419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4D705F05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4D00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1B912385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2A0C69BA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临建布置及动态场地布置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3940D831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通过BIM场布模块，建立施工场地布置模型，提前规划现场生产设施、施工区域、施工通道、临时水电、安全文明标识、现场办公及生活区域、施工临边防护、外防脚手架等防护设施的布置，通过场景漫游，提前发现安全隐患或者事故易发点，减少不安全因素，从而实现基于BIM模型的安全管理。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07B29E8E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6A795D63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44D8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2B404DCC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5CF546FA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危大工程专项方案模拟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48B0C3AE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针对危大工程（深基坑、钢箱梁安装、现浇箱梁支架、暗挖隧道）安全专项方案模拟，验证方案的可行性，同时对方案进行合理优化。规范和协助各施工方合理组织施工，并进行可视化技术交底，从而进行有效的施工专项管理。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404FC267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center"/>
          </w:tcPr>
          <w:p w14:paraId="4EE1BB3D">
            <w:pPr>
              <w:pStyle w:val="17"/>
              <w:spacing w:after="0"/>
              <w:jc w:val="center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根据项目需求只做一个</w:t>
            </w:r>
          </w:p>
        </w:tc>
      </w:tr>
      <w:tr w14:paraId="739C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vAlign w:val="center"/>
          </w:tcPr>
          <w:p w14:paraId="32D58389">
            <w:pPr>
              <w:pStyle w:val="17"/>
              <w:spacing w:after="0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943" w:type="dxa"/>
            <w:vAlign w:val="center"/>
          </w:tcPr>
          <w:p w14:paraId="4423E4FA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交通导改模拟</w:t>
            </w:r>
          </w:p>
        </w:tc>
        <w:tc>
          <w:tcPr>
            <w:tcW w:w="4078" w:type="dxa"/>
            <w:vAlign w:val="center"/>
          </w:tcPr>
          <w:p w14:paraId="30142C3A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利用BIM技术进行交通导改模拟，将空间与时间进行联立，对导改各工况进行模拟，优化施工方案。</w:t>
            </w:r>
          </w:p>
        </w:tc>
        <w:tc>
          <w:tcPr>
            <w:tcW w:w="881" w:type="dxa"/>
            <w:vAlign w:val="center"/>
          </w:tcPr>
          <w:p w14:paraId="10F18C02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1D94E186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1F88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71D3F7A4">
            <w:pPr>
              <w:pStyle w:val="17"/>
              <w:spacing w:after="0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6BD03108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工程进度模拟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2CF5F3D2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基于设计单位提供的设计阶段的BIM模型、施工场地模型和相关的周边环境模型，结合施工组织设计、应用实施方案等，根据工程施工进度计划，开展基于BIM的施工进度模拟，便于发包人和项目部对施工进度的理解和掌握。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72979920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3CDA58A9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2511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015FCB75">
            <w:pPr>
              <w:pStyle w:val="17"/>
              <w:spacing w:after="0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530CEB9E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倾斜摄影模型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31B7FB5F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1、基于计算机视觉原理进行高精度三维重建的航空遥感技术。用无人机从垂直、倾斜等多个视角获取高重叠度的影像序列，通过空三加密、密集匹配与纹理映射，自动化生成具有真实纹理、可量测、高精度的实景三维模型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2、相对航高不超过300m，航摄精度GSD为≤8cm；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 xml:space="preserve">3、航摄线位航带参数设置需满足成果精度要求，航向重叠率80%以上，旁向重叠率75%以上. 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color w:val="auto"/>
                <w:sz w:val="18"/>
                <w:szCs w:val="18"/>
                <w:lang w:eastAsia="zh-CN" w:bidi="ar"/>
              </w:rPr>
              <w:t>4、外业像控点每平方公里布设不得少于4个，相邻图幅公共像控点不少于2个；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5、航飞POS差分解算应满足要求且质量合格，PDOP差分数值2以内，HRMS、VRMS≤0.1；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6、分段模型计算建模时需统一使用同一切块原点坐标和分块原点坐标，所有分块需保持统一分块尺寸；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7、模型坐标信息、投影信息、外业像控点坐标信息、投影信息应与平台方商定统一。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7A332AD3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17FECD27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5CA1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1902FE95">
            <w:pPr>
              <w:pStyle w:val="17"/>
              <w:spacing w:after="0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22ED528D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BIM＋GIS实景融合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0584BC73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采用高渲平台（UE5）进行BIM技术与无人机倾斜摄影技术融合，构建BIM＋GIS实景融合场景（包含场景搭建、环境设置、灯光布置、场景特效制作），最终在场地规划布置、三维可视化交底、施工进度管理等方面进行应用。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503E375B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7DDE8502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2456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397" w:type="dxa"/>
            <w:shd w:val="clear" w:color="000000" w:fill="FFFFFF"/>
            <w:vAlign w:val="center"/>
          </w:tcPr>
          <w:p w14:paraId="0C1E8471">
            <w:pPr>
              <w:pStyle w:val="17"/>
              <w:spacing w:after="0"/>
              <w:rPr>
                <w:rFonts w:hint="default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1943" w:type="dxa"/>
            <w:shd w:val="clear" w:color="000000" w:fill="FFFFFF"/>
            <w:vAlign w:val="center"/>
          </w:tcPr>
          <w:p w14:paraId="09CB9628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数字沙盘</w:t>
            </w:r>
          </w:p>
        </w:tc>
        <w:tc>
          <w:tcPr>
            <w:tcW w:w="4078" w:type="dxa"/>
            <w:shd w:val="clear" w:color="000000" w:fill="FFFFFF"/>
            <w:vAlign w:val="center"/>
          </w:tcPr>
          <w:p w14:paraId="624C2B5C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1.通过UE引擎，完成高性能数字沙盘，整合倾斜摄影（根据空域申请相关，如不进行倾斜摄影，则考虑叠加地图）、BIM模型及GIS地图、全景影像等进行叠加，实现高质量渲染和功能交互，用于指挥中心展示。包含质量、进度、安全等功能，实现三维实景进度对比与管理。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2.主要包含工程信息概况、项目重难点、进度模拟、施工方案展示、主要交通组织情况（2-3个节段）、实景影像数据等。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3.采用的交互形式包含模型查看、模型作色、点位绑定、视点切换等；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4.平台使用安排专人进行孪生程序进行使用培训，培训次数不低于3次；</w:t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  <w:t>5.更新：</w:t>
            </w:r>
          </w:p>
        </w:tc>
        <w:tc>
          <w:tcPr>
            <w:tcW w:w="881" w:type="dxa"/>
            <w:shd w:val="clear" w:color="000000" w:fill="FFFFFF"/>
            <w:vAlign w:val="center"/>
          </w:tcPr>
          <w:p w14:paraId="1F28566B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  <w:tc>
          <w:tcPr>
            <w:tcW w:w="997" w:type="dxa"/>
            <w:noWrap/>
            <w:vAlign w:val="bottom"/>
          </w:tcPr>
          <w:p w14:paraId="69881339">
            <w:pPr>
              <w:pStyle w:val="17"/>
              <w:spacing w:after="0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</w:p>
        </w:tc>
      </w:tr>
      <w:tr w14:paraId="6CCE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296" w:type="dxa"/>
            <w:gridSpan w:val="5"/>
            <w:shd w:val="clear" w:color="000000" w:fill="FFFFFF"/>
            <w:vAlign w:val="center"/>
          </w:tcPr>
          <w:p w14:paraId="3254730C">
            <w:pPr>
              <w:keepNext/>
              <w:spacing w:before="88" w:line="221" w:lineRule="auto"/>
              <w:ind w:left="663"/>
              <w:rPr>
                <w:rFonts w:hint="default" w:ascii="仿宋" w:hAnsi="仿宋" w:eastAsia="仿宋" w:cs="仿宋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 w:bidi="ar"/>
              </w:rPr>
              <w:t>可能需要BIM工程师驻场，需要把把费用计算进去，按月报</w:t>
            </w:r>
          </w:p>
        </w:tc>
      </w:tr>
      <w:tr w14:paraId="5BBC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296" w:type="dxa"/>
            <w:gridSpan w:val="5"/>
            <w:shd w:val="clear" w:color="000000" w:fill="FFFFFF"/>
            <w:vAlign w:val="center"/>
          </w:tcPr>
          <w:p w14:paraId="7C03190B">
            <w:pPr>
              <w:keepNext/>
              <w:widowControl/>
              <w:snapToGrid w:val="0"/>
              <w:spacing w:after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说明：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1、派驻BIM工程师到现场跟踪服务（暂定36个月*人），配合项目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部开展BIM相关工作，相关费用包含在以上清单中。</w:t>
            </w:r>
          </w:p>
          <w:p w14:paraId="1DE4BB33">
            <w:pPr>
              <w:keepNext/>
              <w:widowControl/>
              <w:snapToGrid w:val="0"/>
              <w:spacing w:after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2、建立专职BIM团队，设BIM负责人1人，BIM专业人员不少于3人，负责人具有高级及以上技术职称，专业人员具有中级及以上技术职称。</w:t>
            </w:r>
          </w:p>
          <w:p w14:paraId="5B40B069">
            <w:pPr>
              <w:keepNext/>
              <w:widowControl/>
              <w:snapToGrid w:val="0"/>
              <w:spacing w:after="0"/>
              <w:jc w:val="left"/>
              <w:textAlignment w:val="center"/>
              <w:rPr>
                <w:rFonts w:hint="eastAsia" w:ascii="仿宋" w:hAnsi="仿宋" w:eastAsia="仿宋" w:cs="仿宋"/>
                <w:snapToGrid/>
                <w:sz w:val="18"/>
                <w:szCs w:val="18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3、组织项目总包方参与人员进行BIM技术应用培训和项目BIM应用体系培训，不少于300小时，相关费用包含在以上清单中。</w:t>
            </w:r>
          </w:p>
        </w:tc>
      </w:tr>
    </w:tbl>
    <w:p w14:paraId="61B99A63">
      <w:pPr>
        <w:jc w:val="both"/>
        <w:rPr>
          <w:rFonts w:ascii="Times New Roman" w:hAnsi="Times New Roman" w:eastAsia="方正仿宋_GBK" w:cs="Times New Roman"/>
          <w:sz w:val="28"/>
          <w:szCs w:val="28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vent Pro">
    <w:altName w:val="AmdtSymbols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B0BEE124-71F4-4C44-AB98-6DC9824F829B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A5D4EA9C-A537-4F89-A771-11D7568EAAD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30DC">
    <w:pPr>
      <w:pStyle w:val="5"/>
      <w:jc w:val="right"/>
      <w:rPr>
        <w:rFonts w:hint="eastAsia" w:ascii="宋体" w:hAnsi="宋体" w:eastAsia="宋体" w:cs="宋体"/>
        <w:sz w:val="28"/>
      </w:rPr>
    </w:pPr>
    <w:r>
      <w:rPr>
        <w:rFonts w:hint="eastAsia" w:ascii="宋体" w:hAnsi="宋体" w:eastAsia="宋体" w:cs="宋体"/>
        <w:sz w:val="28"/>
      </w:rPr>
      <w:t xml:space="preserve">— </w:t>
    </w:r>
    <w:r>
      <w:rPr>
        <w:rFonts w:hint="eastAsia" w:ascii="宋体" w:hAnsi="宋体" w:eastAsia="宋体" w:cs="宋体"/>
        <w:sz w:val="28"/>
      </w:rPr>
      <w:fldChar w:fldCharType="begin"/>
    </w:r>
    <w:r>
      <w:rPr>
        <w:rFonts w:hint="eastAsia" w:ascii="宋体" w:hAnsi="宋体" w:eastAsia="宋体" w:cs="宋体"/>
        <w:sz w:val="28"/>
      </w:rPr>
      <w:instrText xml:space="preserve"> PAGE \* Arabic \* MERGEFORMAT </w:instrText>
    </w:r>
    <w:r>
      <w:rPr>
        <w:rFonts w:hint="eastAsia" w:ascii="宋体" w:hAnsi="宋体" w:eastAsia="宋体" w:cs="宋体"/>
        <w:sz w:val="28"/>
      </w:rPr>
      <w:fldChar w:fldCharType="separate"/>
    </w:r>
    <w:r>
      <w:rPr>
        <w:rFonts w:hint="eastAsia" w:ascii="宋体" w:hAnsi="宋体" w:eastAsia="宋体" w:cs="宋体"/>
        <w:sz w:val="28"/>
      </w:rPr>
      <w:t>1</w:t>
    </w:r>
    <w:r>
      <w:rPr>
        <w:rFonts w:hint="eastAsia" w:ascii="宋体" w:hAnsi="宋体" w:eastAsia="宋体" w:cs="宋体"/>
        <w:sz w:val="28"/>
      </w:rPr>
      <w:fldChar w:fldCharType="end"/>
    </w:r>
    <w:r>
      <w:rPr>
        <w:rFonts w:hint="eastAsia" w:ascii="宋体" w:hAnsi="宋体" w:eastAsia="宋体" w:cs="宋体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wYjlmYjAyZDg2YjE3NGU4MDc0M2ViZGFiMDI4NDMifQ=="/>
  </w:docVars>
  <w:rsids>
    <w:rsidRoot w:val="651B7433"/>
    <w:rsid w:val="0004086F"/>
    <w:rsid w:val="00057C4E"/>
    <w:rsid w:val="000B1B1B"/>
    <w:rsid w:val="000D1BB1"/>
    <w:rsid w:val="000F07E9"/>
    <w:rsid w:val="00125808"/>
    <w:rsid w:val="001D46B5"/>
    <w:rsid w:val="00222798"/>
    <w:rsid w:val="00233070"/>
    <w:rsid w:val="002A6E56"/>
    <w:rsid w:val="002B0DB4"/>
    <w:rsid w:val="002F0558"/>
    <w:rsid w:val="00367D41"/>
    <w:rsid w:val="00386026"/>
    <w:rsid w:val="00413EFD"/>
    <w:rsid w:val="004579CB"/>
    <w:rsid w:val="004728F6"/>
    <w:rsid w:val="004B7BCF"/>
    <w:rsid w:val="004C2844"/>
    <w:rsid w:val="004D201A"/>
    <w:rsid w:val="004D2D9E"/>
    <w:rsid w:val="005066AC"/>
    <w:rsid w:val="00514335"/>
    <w:rsid w:val="00536B5A"/>
    <w:rsid w:val="00583475"/>
    <w:rsid w:val="00584762"/>
    <w:rsid w:val="005A6A80"/>
    <w:rsid w:val="00647EB2"/>
    <w:rsid w:val="006810B6"/>
    <w:rsid w:val="00697578"/>
    <w:rsid w:val="006B100E"/>
    <w:rsid w:val="006B358A"/>
    <w:rsid w:val="006B373E"/>
    <w:rsid w:val="006B3CA1"/>
    <w:rsid w:val="006B4003"/>
    <w:rsid w:val="006D3CFE"/>
    <w:rsid w:val="006E0539"/>
    <w:rsid w:val="006E29D9"/>
    <w:rsid w:val="006F1075"/>
    <w:rsid w:val="00715E1E"/>
    <w:rsid w:val="00736702"/>
    <w:rsid w:val="00783638"/>
    <w:rsid w:val="00784E7C"/>
    <w:rsid w:val="007D6F2C"/>
    <w:rsid w:val="007E464B"/>
    <w:rsid w:val="007E5494"/>
    <w:rsid w:val="007F47F2"/>
    <w:rsid w:val="00837ECA"/>
    <w:rsid w:val="008522FD"/>
    <w:rsid w:val="00883D7F"/>
    <w:rsid w:val="008B7BA1"/>
    <w:rsid w:val="008F2C84"/>
    <w:rsid w:val="0090049A"/>
    <w:rsid w:val="00912E2B"/>
    <w:rsid w:val="009737A2"/>
    <w:rsid w:val="009764B4"/>
    <w:rsid w:val="009943F1"/>
    <w:rsid w:val="009C71A8"/>
    <w:rsid w:val="00A16E8B"/>
    <w:rsid w:val="00A377F9"/>
    <w:rsid w:val="00A50DB4"/>
    <w:rsid w:val="00A60CFF"/>
    <w:rsid w:val="00A825BA"/>
    <w:rsid w:val="00AE21D2"/>
    <w:rsid w:val="00AE31D8"/>
    <w:rsid w:val="00B05FFB"/>
    <w:rsid w:val="00B171A1"/>
    <w:rsid w:val="00B43AEF"/>
    <w:rsid w:val="00B72CFB"/>
    <w:rsid w:val="00BA1A13"/>
    <w:rsid w:val="00BC0A80"/>
    <w:rsid w:val="00C05171"/>
    <w:rsid w:val="00C32591"/>
    <w:rsid w:val="00C805DE"/>
    <w:rsid w:val="00DA3A54"/>
    <w:rsid w:val="00DE1972"/>
    <w:rsid w:val="00DE4338"/>
    <w:rsid w:val="00E02A42"/>
    <w:rsid w:val="00E5388B"/>
    <w:rsid w:val="00EB48C9"/>
    <w:rsid w:val="00EC0229"/>
    <w:rsid w:val="00FD4806"/>
    <w:rsid w:val="00FE5D21"/>
    <w:rsid w:val="00FF67F9"/>
    <w:rsid w:val="02CE41AB"/>
    <w:rsid w:val="03325520"/>
    <w:rsid w:val="03E6529E"/>
    <w:rsid w:val="067627F9"/>
    <w:rsid w:val="06E97643"/>
    <w:rsid w:val="0C7B3D12"/>
    <w:rsid w:val="0D64104C"/>
    <w:rsid w:val="0ED32A17"/>
    <w:rsid w:val="10F320DF"/>
    <w:rsid w:val="11036AF6"/>
    <w:rsid w:val="110A7E8F"/>
    <w:rsid w:val="11CD65C0"/>
    <w:rsid w:val="133F6E56"/>
    <w:rsid w:val="16727FF1"/>
    <w:rsid w:val="16831F67"/>
    <w:rsid w:val="16D76910"/>
    <w:rsid w:val="17366DAC"/>
    <w:rsid w:val="17490D81"/>
    <w:rsid w:val="17825CA6"/>
    <w:rsid w:val="194E5EC6"/>
    <w:rsid w:val="1A412D82"/>
    <w:rsid w:val="1BD50AEF"/>
    <w:rsid w:val="1FC365C4"/>
    <w:rsid w:val="203A1D56"/>
    <w:rsid w:val="20757FE0"/>
    <w:rsid w:val="253B4EB7"/>
    <w:rsid w:val="275A1C1F"/>
    <w:rsid w:val="2A8039A5"/>
    <w:rsid w:val="2AF51127"/>
    <w:rsid w:val="2B2753F5"/>
    <w:rsid w:val="2BFFE415"/>
    <w:rsid w:val="2C021D78"/>
    <w:rsid w:val="2DA773F1"/>
    <w:rsid w:val="2EA61B88"/>
    <w:rsid w:val="2FAB8A5A"/>
    <w:rsid w:val="309840E2"/>
    <w:rsid w:val="34886CDE"/>
    <w:rsid w:val="35AD3A5F"/>
    <w:rsid w:val="363B10E4"/>
    <w:rsid w:val="37FBE675"/>
    <w:rsid w:val="3F9209B0"/>
    <w:rsid w:val="426A2655"/>
    <w:rsid w:val="434C33EF"/>
    <w:rsid w:val="46472DBA"/>
    <w:rsid w:val="4904684F"/>
    <w:rsid w:val="4CB63785"/>
    <w:rsid w:val="54354367"/>
    <w:rsid w:val="559152CB"/>
    <w:rsid w:val="57EFAC79"/>
    <w:rsid w:val="58A24051"/>
    <w:rsid w:val="596E00D8"/>
    <w:rsid w:val="5E3D9082"/>
    <w:rsid w:val="5E557D3E"/>
    <w:rsid w:val="5E7D0A09"/>
    <w:rsid w:val="5FCB1ABC"/>
    <w:rsid w:val="5FF14304"/>
    <w:rsid w:val="5FFB8B58"/>
    <w:rsid w:val="5FFEF234"/>
    <w:rsid w:val="619F5CFF"/>
    <w:rsid w:val="631641DB"/>
    <w:rsid w:val="63B92CFC"/>
    <w:rsid w:val="651B7433"/>
    <w:rsid w:val="6BD18065"/>
    <w:rsid w:val="6C071688"/>
    <w:rsid w:val="6CC809AF"/>
    <w:rsid w:val="6DFF2F6B"/>
    <w:rsid w:val="6E780FCC"/>
    <w:rsid w:val="6EAC2B9F"/>
    <w:rsid w:val="6F7C6E3F"/>
    <w:rsid w:val="6FBFC26C"/>
    <w:rsid w:val="6FE07E4B"/>
    <w:rsid w:val="702D3A3E"/>
    <w:rsid w:val="741E2752"/>
    <w:rsid w:val="744F2130"/>
    <w:rsid w:val="74F75EDE"/>
    <w:rsid w:val="772E040F"/>
    <w:rsid w:val="7737F856"/>
    <w:rsid w:val="79F5148C"/>
    <w:rsid w:val="7A3BA15B"/>
    <w:rsid w:val="7A8B326F"/>
    <w:rsid w:val="7C7FE643"/>
    <w:rsid w:val="7EA3146E"/>
    <w:rsid w:val="7EF6044D"/>
    <w:rsid w:val="7EFBB00A"/>
    <w:rsid w:val="B776C458"/>
    <w:rsid w:val="D3BE1095"/>
    <w:rsid w:val="DEBEF440"/>
    <w:rsid w:val="DF1FBBD4"/>
    <w:rsid w:val="DFBD18CB"/>
    <w:rsid w:val="DFDF8398"/>
    <w:rsid w:val="EFFD648B"/>
    <w:rsid w:val="EFFDB4B5"/>
    <w:rsid w:val="FAA75103"/>
    <w:rsid w:val="FB50ED3F"/>
    <w:rsid w:val="FB6C62DA"/>
    <w:rsid w:val="FB779495"/>
    <w:rsid w:val="FBDFC22B"/>
    <w:rsid w:val="FEBF22A9"/>
    <w:rsid w:val="FFBD1008"/>
    <w:rsid w:val="FFDFE7B3"/>
    <w:rsid w:val="FFED326E"/>
    <w:rsid w:val="FFF7E0D5"/>
    <w:rsid w:val="FFFFB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 w:cs="Times New Roman"/>
      <w:snapToGrid w:val="0"/>
      <w:kern w:val="0"/>
      <w:sz w:val="24"/>
      <w:szCs w:val="20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unhideWhenUsed/>
    <w:qFormat/>
    <w:uiPriority w:val="99"/>
    <w:pPr>
      <w:tabs>
        <w:tab w:val="left" w:leader="dot" w:pos="480"/>
      </w:tabs>
      <w:autoSpaceDE w:val="0"/>
      <w:autoSpaceDN w:val="0"/>
      <w:spacing w:after="120" w:line="360" w:lineRule="auto"/>
      <w:textAlignment w:val="baseline"/>
    </w:pPr>
    <w:rPr>
      <w:rFonts w:ascii="Advent Pro" w:hAnsi="Advent Pro"/>
      <w:kern w:val="0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无"/>
    <w:qFormat/>
    <w:uiPriority w:val="0"/>
    <w:rPr>
      <w:lang w:val="zh-TW" w:eastAsia="zh-TW"/>
    </w:rPr>
  </w:style>
  <w:style w:type="paragraph" w:customStyle="1" w:styleId="14">
    <w:name w:val="Arial+Yahei"/>
    <w:basedOn w:val="1"/>
    <w:qFormat/>
    <w:uiPriority w:val="99"/>
    <w:pPr>
      <w:ind w:left="1843" w:right="-85"/>
    </w:pPr>
    <w:rPr>
      <w:rFonts w:ascii="Arial" w:hAnsi="Arial" w:eastAsia="宋体" w:cs="Arial"/>
      <w:color w:val="000000"/>
      <w:sz w:val="22"/>
      <w:szCs w:val="22"/>
      <w:lang w:val="en-GB"/>
    </w:rPr>
  </w:style>
  <w:style w:type="character" w:customStyle="1" w:styleId="15">
    <w:name w:val="font4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6">
    <w:name w:val="font81"/>
    <w:basedOn w:val="11"/>
    <w:qFormat/>
    <w:uiPriority w:val="0"/>
    <w:rPr>
      <w:rFonts w:hint="eastAsia" w:ascii="仿宋" w:hAnsi="仿宋" w:eastAsia="仿宋" w:cs="仿宋"/>
      <w:color w:val="000000"/>
      <w:sz w:val="18"/>
      <w:szCs w:val="18"/>
      <w:u w:val="none"/>
    </w:rPr>
  </w:style>
  <w:style w:type="paragraph" w:customStyle="1" w:styleId="17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19"/>
      <w:szCs w:val="19"/>
      <w:lang w:eastAsia="en-US"/>
    </w:rPr>
  </w:style>
  <w:style w:type="table" w:customStyle="1" w:styleId="18">
    <w:name w:val="Table Normal"/>
    <w:semiHidden/>
    <w:unhideWhenUsed/>
    <w:qFormat/>
    <w:uiPriority w:val="0"/>
    <w:rPr>
      <w:rFonts w:ascii="Arial" w:hAnsi="Arial" w:cs="Arial" w:eastAsiaTheme="minorEastAsia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6920</Words>
  <Characters>8084</Characters>
  <Lines>1045</Lines>
  <Paragraphs>833</Paragraphs>
  <TotalTime>72</TotalTime>
  <ScaleCrop>false</ScaleCrop>
  <LinksUpToDate>false</LinksUpToDate>
  <CharactersWithSpaces>8149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2026-04-17T07:26:00Z</dcterms:created>
  <dc:creator>VINCENT</dc:creator>
  <cp:lastModifiedBy>ZZJ</cp:lastModifiedBy>
  <cp:lastPrinted>2022-09-22T01:13:00Z</cp:lastPrinted>
  <dcterms:modified xsi:type="dcterms:W3CDTF">2026-06-23T01:47:05Z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7BFDC17B8D6D4A84BAD73D28C491F0D2_13</vt:lpwstr>
  </property>
  <property fmtid="{D5CDD505-2E9C-101B-9397-08002B2CF9AE}" pid="4" name="KSOTemplateDocerSaveRecord">
    <vt:lpwstr>eyJoZGlkIjoiYTYxYWIwNDM3NGI0Yjc4MmRjYWM2NGFmMzIwNzNkZTQiLCJ1c2VySWQiOiIxNzAzMjY4NzY2In0=</vt:lpwstr>
  </property>
</Properties>
</file>