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bidi w:val="1"/>
      </w:pPr>
      <w:r>
        <w:rPr>
          <w:rFonts w:ascii="Arial" w:hAnsi="Arial" w:cs="Arial" w:eastAsia="Arial"/>
          <w:b/>
          <w:color w:val="1F4E79"/>
          <w:sz w:val="50"/>
          <w:rtl w:val="1"/>
        </w:rPr>
        <w:t>تحليل الطلب على الوجبات والتنبؤ به</w:t>
        <w:br/>
        <w:t>باستخدام تحليل البيانات والتعلم الآلي</w:t>
      </w:r>
    </w:p>
    <w:p/>
    <w:p/>
    <w:p>
      <w:pPr>
        <w:jc w:val="center"/>
        <w:bidi w:val="1"/>
      </w:pPr>
      <w:r>
        <w:rPr>
          <w:rFonts w:ascii="Arial" w:hAnsi="Arial" w:cs="Arial" w:eastAsia="Arial"/>
          <w:b/>
          <w:color w:val="4472C4"/>
          <w:sz w:val="32"/>
          <w:rtl w:val="1"/>
        </w:rPr>
        <w:t>تقرير تحليلي نهائي</w:t>
      </w:r>
    </w:p>
    <w:p>
      <w:pPr>
        <w:jc w:val="center"/>
        <w:bidi w:val="1"/>
      </w:pPr>
      <w:r>
        <w:rPr>
          <w:rFonts w:ascii="Arial" w:hAnsi="Arial" w:cs="Arial" w:eastAsia="Arial"/>
          <w:b w:val="0"/>
          <w:sz w:val="24"/>
          <w:rtl w:val="1"/>
        </w:rPr>
        <w:t>اسم المشروع: food-demand-analysis</w:t>
      </w:r>
    </w:p>
    <w:p>
      <w:pPr>
        <w:jc w:val="center"/>
        <w:bidi w:val="1"/>
      </w:pPr>
      <w:r>
        <w:rPr>
          <w:rFonts w:ascii="Arial" w:hAnsi="Arial" w:cs="Arial" w:eastAsia="Arial"/>
          <w:b w:val="0"/>
          <w:sz w:val="24"/>
          <w:rtl w:val="1"/>
        </w:rPr>
        <w:t>تاريخ إعداد التقرير: 25 أكتوبر 2026</w:t>
      </w:r>
    </w:p>
    <w:p>
      <w:pPr>
        <w:jc w:val="center"/>
        <w:bidi w:val="1"/>
      </w:pPr>
      <w:r>
        <w:rPr>
          <w:rFonts w:ascii="Arial" w:hAnsi="Arial" w:cs="Arial" w:eastAsia="Arial"/>
          <w:b w:val="0"/>
          <w:sz w:val="24"/>
          <w:rtl w:val="1"/>
        </w:rPr>
        <w:t>الهدف: وصف أنماط الطلب الفعلية، والتحقق من أداء التنبؤ، وتقديم توصيات تشغيلية مستندة إلى البيانات.</w:t>
      </w:r>
    </w:p>
    <w:p>
      <w:r>
        <w:br w:type="page"/>
      </w:r>
    </w:p>
    <w:p>
      <w:pPr>
        <w:pStyle w:val="Heading1"/>
        <w:jc w:val="right"/>
        <w:bidi w:val="1"/>
      </w:pPr>
      <w:r>
        <w:rPr>
          <w:rFonts w:ascii="Arial" w:hAnsi="Arial" w:cs="Arial" w:eastAsia="Arial"/>
          <w:b/>
          <w:color w:val="1F4E79"/>
          <w:sz w:val="32"/>
          <w:rtl w:val="1"/>
        </w:rPr>
        <w:t>1. الملخص التنفيذي</w:t>
      </w:r>
    </w:p>
    <w:p>
      <w:pPr>
        <w:jc w:val="right"/>
        <w:bidi w:val="1"/>
      </w:pPr>
      <w:r>
        <w:rPr>
          <w:rFonts w:ascii="Arial" w:hAnsi="Arial" w:cs="Arial" w:eastAsia="Arial"/>
          <w:b w:val="0"/>
          <w:sz w:val="20"/>
          <w:rtl w:val="1"/>
        </w:rPr>
        <w:t>حلل المشروع 456,548 سجل تدريب، بإجمالي 119,557,485 طلبًا على مدى 145 أسبوعًا مرصودًا. الأسابيع أرقام مرتبة وليست تواريخ تقويمية.</w:t>
      </w:r>
    </w:p>
    <w:p>
      <w:pPr>
        <w:pStyle w:val="ListBullet"/>
        <w:jc w:val="right"/>
        <w:bidi w:val="1"/>
      </w:pPr>
      <w:r>
        <w:rPr>
          <w:rFonts w:ascii="Arial" w:hAnsi="Arial" w:cs="Arial" w:eastAsia="Arial"/>
          <w:b w:val="0"/>
          <w:sz w:val="19"/>
          <w:rtl w:val="1"/>
        </w:rPr>
        <w:t>خمس فئات (المشروبات، أطباق الأرز، السندويتش، السلطة، البيتزا) تمثل 81.40% من الطلب؛ والوجبة 2290 الأعلى بـ9,770,303 طلبات.</w:t>
      </w:r>
    </w:p>
    <w:p>
      <w:pPr>
        <w:pStyle w:val="ListBullet"/>
        <w:jc w:val="right"/>
        <w:bidi w:val="1"/>
      </w:pPr>
      <w:r>
        <w:rPr>
          <w:rFonts w:ascii="Arial" w:hAnsi="Arial" w:cs="Arial" w:eastAsia="Arial"/>
          <w:b w:val="0"/>
          <w:sz w:val="19"/>
          <w:rtl w:val="1"/>
        </w:rPr>
        <w:t>أعلى إجمالي أسبوعي كان 1,303,457 في الأسبوع 48، وأدناه 380,065 في الأسبوع 62. التغير من الأسبوع 1 إلى 145 هو -15.19% وصفيًا، ولا يثبت اتجاهًا أو سببًا.</w:t>
      </w:r>
    </w:p>
    <w:p>
      <w:pPr>
        <w:pStyle w:val="ListBullet"/>
        <w:jc w:val="right"/>
        <w:bidi w:val="1"/>
      </w:pPr>
      <w:r>
        <w:rPr>
          <w:rFonts w:ascii="Arial" w:hAnsi="Arial" w:cs="Arial" w:eastAsia="Arial"/>
          <w:b w:val="0"/>
          <w:sz w:val="19"/>
          <w:rtl w:val="1"/>
        </w:rPr>
        <w:t>ارتبطت ملاحظات البريد والظهور بمتوسطات أعلى، وكان ارتباط الخصم بالطلب موجبًا ضعيفًا (Spearman ρ=0.1218). هذه نتائج ارتباطية لا تثبت السببية.</w:t>
      </w:r>
    </w:p>
    <w:p>
      <w:pPr>
        <w:pStyle w:val="ListBullet"/>
        <w:jc w:val="right"/>
        <w:bidi w:val="1"/>
      </w:pPr>
      <w:r>
        <w:rPr>
          <w:rFonts w:ascii="Arial" w:hAnsi="Arial" w:cs="Arial" w:eastAsia="Arial"/>
          <w:b w:val="0"/>
          <w:sz w:val="19"/>
          <w:rtl w:val="1"/>
        </w:rPr>
        <w:t>على 31,245 صفًا مشتركًا في التحقق الزمني: MAE خط الأسبوع السابق 81.78 طلبًا/صف، وRandom Forest 89.51، وLinear Regression 126.57. فاز الخط البسيط؛ وRandom Forest أفضل نموذج متعلم فقط.</w:t>
      </w:r>
    </w:p>
    <w:p>
      <w:pPr>
        <w:pStyle w:val="ListBullet"/>
        <w:jc w:val="right"/>
        <w:bidi w:val="1"/>
      </w:pPr>
      <w:r>
        <w:rPr>
          <w:rFonts w:ascii="Arial" w:hAnsi="Arial" w:cs="Arial" w:eastAsia="Arial"/>
          <w:b w:val="0"/>
          <w:sz w:val="19"/>
          <w:rtl w:val="1"/>
        </w:rPr>
        <w:t>يوجد ملف تنبؤات RF لـ32,573 صف اختبار (الأسابيع 146–155). لا يحتوي test.csv قيم الطلب الفعلية، لذلك لا يمكن تقييم MAE عليه.</w:t>
      </w:r>
    </w:p>
    <w:p>
      <w:pPr>
        <w:jc w:val="right"/>
        <w:bidi w:val="1"/>
      </w:pPr>
      <w:r>
        <w:rPr>
          <w:rFonts w:ascii="Arial" w:hAnsi="Arial" w:cs="Arial" w:eastAsia="Arial"/>
          <w:b/>
          <w:sz w:val="20"/>
          <w:rtl w:val="1"/>
        </w:rPr>
        <w:t>استخدم البيانات لتحديد أولويات المتابعة، لا كضمان للتوريد. لا تُحوّل الطلبات إلى كميات مكونات دون وصفات ومقادير موثوقة.</w:t>
      </w:r>
    </w:p>
    <w:p>
      <w:pPr>
        <w:pStyle w:val="Heading1"/>
        <w:jc w:val="right"/>
        <w:bidi w:val="1"/>
      </w:pPr>
      <w:r>
        <w:rPr>
          <w:rFonts w:ascii="Arial" w:hAnsi="Arial" w:cs="Arial" w:eastAsia="Arial"/>
          <w:b/>
          <w:color w:val="1F4E79"/>
          <w:sz w:val="32"/>
          <w:rtl w:val="1"/>
        </w:rPr>
        <w:t>2. مشكلة العمل وأهداف التحليل</w:t>
      </w:r>
    </w:p>
    <w:p>
      <w:pPr>
        <w:jc w:val="right"/>
        <w:bidi w:val="1"/>
      </w:pPr>
      <w:r>
        <w:rPr>
          <w:rFonts w:ascii="Arial" w:hAnsi="Arial" w:cs="Arial" w:eastAsia="Arial"/>
          <w:b w:val="0"/>
          <w:sz w:val="20"/>
          <w:rtl w:val="1"/>
        </w:rPr>
        <w:t>يستهدف المشروع دعم تخطيط المخزون والإنتاج وتوزيع الوجبات على مراكز التوزيع، عبر وصف حجم الطلب وتغيره وتحديد الأصناف ذات التركّز أو التقلب الملحوظ. كما يقارن التنبؤات المحسوبة على بيانات تاريخية محجوبة زمنيًا، ويفصل النتائج المحسوبة عن التفسيرات.</w:t>
      </w:r>
    </w:p>
    <w:p>
      <w:pPr>
        <w:pStyle w:val="Heading1"/>
        <w:jc w:val="right"/>
        <w:bidi w:val="1"/>
      </w:pPr>
      <w:r>
        <w:rPr>
          <w:rFonts w:ascii="Arial" w:hAnsi="Arial" w:cs="Arial" w:eastAsia="Arial"/>
          <w:b/>
          <w:color w:val="1F4E79"/>
          <w:sz w:val="32"/>
          <w:rtl w:val="1"/>
        </w:rPr>
        <w:t>3. البيانات ومنهجية العمل</w:t>
      </w:r>
    </w:p>
    <w:p>
      <w:pPr>
        <w:jc w:val="right"/>
        <w:bidi w:val="1"/>
      </w:pPr>
      <w:r>
        <w:rPr>
          <w:rFonts w:ascii="Arial" w:hAnsi="Arial" w:cs="Arial" w:eastAsia="Arial"/>
          <w:b w:val="0"/>
          <w:sz w:val="20"/>
          <w:rtl w:val="1"/>
        </w:rPr>
        <w:t>فُحصت ملفات CSV الأصلية في data/raw/ دون تعديلها. أحجام الجداول ومحتواها:</w:t>
      </w:r>
    </w:p>
    <w:tbl>
      <w:tblPr>
        <w:tblStyle w:val="TableGrid"/>
        <w:tblW w:type="auto" w:w="0"/>
        <w:jc w:val="center"/>
        <w:tblLayout w:type="autofit"/>
        <w:tblLook w:firstColumn="1" w:firstRow="1" w:lastColumn="0" w:lastRow="0" w:noHBand="0" w:noVBand="1" w:val="04A0"/>
        <w:bidiVisual w:val="1"/>
      </w:tblPr>
      <w:tblGrid>
        <w:gridCol w:w="3408"/>
        <w:gridCol w:w="3408"/>
        <w:gridCol w:w="3408"/>
      </w:tblGrid>
      <w:tr>
        <w:trPr>
          <w:tblHeader w:val="true"/>
        </w:trPr>
        <w:tc>
          <w:tcPr>
            <w:tcW w:type="dxa" w:w="3408"/>
            <w:shd w:fill="1F4E78"/>
          </w:tcPr>
          <w:p>
            <w:pPr>
              <w:jc w:val="right"/>
              <w:bidi w:val="1"/>
            </w:pPr>
            <w:r>
              <w:rPr>
                <w:rFonts w:ascii="Arial" w:hAnsi="Arial" w:cs="Arial" w:eastAsia="Arial"/>
                <w:b/>
                <w:color w:val="FFFFFF"/>
                <w:sz w:val="16"/>
                <w:rtl w:val="1"/>
              </w:rPr>
              <w:t>الملف</w:t>
            </w:r>
          </w:p>
        </w:tc>
        <w:tc>
          <w:tcPr>
            <w:tcW w:type="dxa" w:w="3408"/>
            <w:shd w:fill="1F4E78"/>
          </w:tcPr>
          <w:p>
            <w:pPr>
              <w:jc w:val="right"/>
              <w:bidi w:val="1"/>
            </w:pPr>
            <w:r>
              <w:rPr>
                <w:rFonts w:ascii="Arial" w:hAnsi="Arial" w:cs="Arial" w:eastAsia="Arial"/>
                <w:b/>
                <w:color w:val="FFFFFF"/>
                <w:sz w:val="16"/>
                <w:rtl w:val="1"/>
              </w:rPr>
              <w:t>الصفوف × الأعمدة</w:t>
            </w:r>
          </w:p>
        </w:tc>
        <w:tc>
          <w:tcPr>
            <w:tcW w:type="dxa" w:w="3408"/>
            <w:shd w:fill="1F4E78"/>
          </w:tcPr>
          <w:p>
            <w:pPr>
              <w:jc w:val="right"/>
              <w:bidi w:val="1"/>
            </w:pPr>
            <w:r>
              <w:rPr>
                <w:rFonts w:ascii="Arial" w:hAnsi="Arial" w:cs="Arial" w:eastAsia="Arial"/>
                <w:b/>
                <w:color w:val="FFFFFF"/>
                <w:sz w:val="16"/>
                <w:rtl w:val="1"/>
              </w:rPr>
              <w:t>المحتوى</w:t>
            </w:r>
          </w:p>
        </w:tc>
      </w:tr>
      <w:tr>
        <w:tc>
          <w:tcPr>
            <w:tcW w:type="dxa" w:w="3408"/>
            <w:vAlign w:val="center"/>
          </w:tcPr>
          <w:p>
            <w:pPr>
              <w:jc w:val="right"/>
              <w:bidi w:val="1"/>
            </w:pPr>
            <w:r>
              <w:rPr>
                <w:rFonts w:ascii="Arial" w:hAnsi="Arial" w:cs="Arial" w:eastAsia="Arial"/>
                <w:b w:val="0"/>
                <w:sz w:val="16"/>
                <w:rtl w:val="1"/>
              </w:rPr>
              <w:t>train.csv</w:t>
            </w:r>
          </w:p>
        </w:tc>
        <w:tc>
          <w:tcPr>
            <w:tcW w:type="dxa" w:w="3408"/>
            <w:vAlign w:val="center"/>
          </w:tcPr>
          <w:p>
            <w:pPr>
              <w:jc w:val="right"/>
              <w:bidi w:val="1"/>
            </w:pPr>
            <w:r>
              <w:rPr>
                <w:rFonts w:ascii="Arial" w:hAnsi="Arial" w:cs="Arial" w:eastAsia="Arial"/>
                <w:b w:val="0"/>
                <w:sz w:val="16"/>
                <w:rtl w:val="1"/>
              </w:rPr>
              <w:t>456,548 × 9</w:t>
            </w:r>
          </w:p>
        </w:tc>
        <w:tc>
          <w:tcPr>
            <w:tcW w:type="dxa" w:w="3408"/>
            <w:vAlign w:val="center"/>
          </w:tcPr>
          <w:p>
            <w:pPr>
              <w:jc w:val="right"/>
              <w:bidi w:val="1"/>
            </w:pPr>
            <w:r>
              <w:rPr>
                <w:rFonts w:ascii="Arial" w:hAnsi="Arial" w:cs="Arial" w:eastAsia="Arial"/>
                <w:b w:val="0"/>
                <w:sz w:val="16"/>
                <w:rtl w:val="1"/>
              </w:rPr>
              <w:t>الطلب الأسبوعي والأسعار ومؤشرات الترويج والهدف num_orders.</w:t>
            </w:r>
          </w:p>
        </w:tc>
      </w:tr>
      <w:tr>
        <w:tc>
          <w:tcPr>
            <w:tcW w:type="dxa" w:w="3408"/>
            <w:vAlign w:val="center"/>
          </w:tcPr>
          <w:p>
            <w:pPr>
              <w:jc w:val="right"/>
              <w:bidi w:val="1"/>
            </w:pPr>
            <w:r>
              <w:rPr>
                <w:rFonts w:ascii="Arial" w:hAnsi="Arial" w:cs="Arial" w:eastAsia="Arial"/>
                <w:b w:val="0"/>
                <w:sz w:val="16"/>
                <w:rtl w:val="1"/>
              </w:rPr>
              <w:t>test.csv</w:t>
            </w:r>
          </w:p>
        </w:tc>
        <w:tc>
          <w:tcPr>
            <w:tcW w:type="dxa" w:w="3408"/>
            <w:vAlign w:val="center"/>
          </w:tcPr>
          <w:p>
            <w:pPr>
              <w:jc w:val="right"/>
              <w:bidi w:val="1"/>
            </w:pPr>
            <w:r>
              <w:rPr>
                <w:rFonts w:ascii="Arial" w:hAnsi="Arial" w:cs="Arial" w:eastAsia="Arial"/>
                <w:b w:val="0"/>
                <w:sz w:val="16"/>
                <w:rtl w:val="1"/>
              </w:rPr>
              <w:t>32,573 × 8</w:t>
            </w:r>
          </w:p>
        </w:tc>
        <w:tc>
          <w:tcPr>
            <w:tcW w:type="dxa" w:w="3408"/>
            <w:vAlign w:val="center"/>
          </w:tcPr>
          <w:p>
            <w:pPr>
              <w:jc w:val="right"/>
              <w:bidi w:val="1"/>
            </w:pPr>
            <w:r>
              <w:rPr>
                <w:rFonts w:ascii="Arial" w:hAnsi="Arial" w:cs="Arial" w:eastAsia="Arial"/>
                <w:b w:val="0"/>
                <w:sz w:val="16"/>
                <w:rtl w:val="1"/>
              </w:rPr>
              <w:t>خصائص صفوف الاختبار؛ بلا num_orders.</w:t>
            </w:r>
          </w:p>
        </w:tc>
      </w:tr>
      <w:tr>
        <w:tc>
          <w:tcPr>
            <w:tcW w:type="dxa" w:w="3408"/>
            <w:vAlign w:val="center"/>
          </w:tcPr>
          <w:p>
            <w:pPr>
              <w:jc w:val="right"/>
              <w:bidi w:val="1"/>
            </w:pPr>
            <w:r>
              <w:rPr>
                <w:rFonts w:ascii="Arial" w:hAnsi="Arial" w:cs="Arial" w:eastAsia="Arial"/>
                <w:b w:val="0"/>
                <w:sz w:val="16"/>
                <w:rtl w:val="1"/>
              </w:rPr>
              <w:t>meal_info.csv</w:t>
            </w:r>
          </w:p>
        </w:tc>
        <w:tc>
          <w:tcPr>
            <w:tcW w:type="dxa" w:w="3408"/>
            <w:vAlign w:val="center"/>
          </w:tcPr>
          <w:p>
            <w:pPr>
              <w:jc w:val="right"/>
              <w:bidi w:val="1"/>
            </w:pPr>
            <w:r>
              <w:rPr>
                <w:rFonts w:ascii="Arial" w:hAnsi="Arial" w:cs="Arial" w:eastAsia="Arial"/>
                <w:b w:val="0"/>
                <w:sz w:val="16"/>
                <w:rtl w:val="1"/>
              </w:rPr>
              <w:t>51 × 3</w:t>
            </w:r>
          </w:p>
        </w:tc>
        <w:tc>
          <w:tcPr>
            <w:tcW w:type="dxa" w:w="3408"/>
            <w:vAlign w:val="center"/>
          </w:tcPr>
          <w:p>
            <w:pPr>
              <w:jc w:val="right"/>
              <w:bidi w:val="1"/>
            </w:pPr>
            <w:r>
              <w:rPr>
                <w:rFonts w:ascii="Arial" w:hAnsi="Arial" w:cs="Arial" w:eastAsia="Arial"/>
                <w:b w:val="0"/>
                <w:sz w:val="16"/>
                <w:rtl w:val="1"/>
              </w:rPr>
              <w:t>معرّف الوجبة والفئة والمطبخ.</w:t>
            </w:r>
          </w:p>
        </w:tc>
      </w:tr>
      <w:tr>
        <w:tc>
          <w:tcPr>
            <w:tcW w:type="dxa" w:w="3408"/>
            <w:vAlign w:val="center"/>
          </w:tcPr>
          <w:p>
            <w:pPr>
              <w:jc w:val="right"/>
              <w:bidi w:val="1"/>
            </w:pPr>
            <w:r>
              <w:rPr>
                <w:rFonts w:ascii="Arial" w:hAnsi="Arial" w:cs="Arial" w:eastAsia="Arial"/>
                <w:b w:val="0"/>
                <w:sz w:val="16"/>
                <w:rtl w:val="1"/>
              </w:rPr>
              <w:t>fulfilment_center_info.csv</w:t>
            </w:r>
          </w:p>
        </w:tc>
        <w:tc>
          <w:tcPr>
            <w:tcW w:type="dxa" w:w="3408"/>
            <w:vAlign w:val="center"/>
          </w:tcPr>
          <w:p>
            <w:pPr>
              <w:jc w:val="right"/>
              <w:bidi w:val="1"/>
            </w:pPr>
            <w:r>
              <w:rPr>
                <w:rFonts w:ascii="Arial" w:hAnsi="Arial" w:cs="Arial" w:eastAsia="Arial"/>
                <w:b w:val="0"/>
                <w:sz w:val="16"/>
                <w:rtl w:val="1"/>
              </w:rPr>
              <w:t>77 × 5</w:t>
            </w:r>
          </w:p>
        </w:tc>
        <w:tc>
          <w:tcPr>
            <w:tcW w:type="dxa" w:w="3408"/>
            <w:vAlign w:val="center"/>
          </w:tcPr>
          <w:p>
            <w:pPr>
              <w:jc w:val="right"/>
              <w:bidi w:val="1"/>
            </w:pPr>
            <w:r>
              <w:rPr>
                <w:rFonts w:ascii="Arial" w:hAnsi="Arial" w:cs="Arial" w:eastAsia="Arial"/>
                <w:b w:val="0"/>
                <w:sz w:val="16"/>
                <w:rtl w:val="1"/>
              </w:rPr>
              <w:t>المركز ورموزه ونوعه ومساحة التشغيل.</w:t>
            </w:r>
          </w:p>
        </w:tc>
      </w:tr>
      <w:tr>
        <w:tc>
          <w:tcPr>
            <w:tcW w:type="dxa" w:w="3408"/>
            <w:vAlign w:val="center"/>
          </w:tcPr>
          <w:p>
            <w:pPr>
              <w:jc w:val="right"/>
              <w:bidi w:val="1"/>
            </w:pPr>
            <w:r>
              <w:rPr>
                <w:rFonts w:ascii="Arial" w:hAnsi="Arial" w:cs="Arial" w:eastAsia="Arial"/>
                <w:b w:val="0"/>
                <w:sz w:val="16"/>
                <w:rtl w:val="1"/>
              </w:rPr>
              <w:t>prepared_train.csv</w:t>
            </w:r>
          </w:p>
        </w:tc>
        <w:tc>
          <w:tcPr>
            <w:tcW w:type="dxa" w:w="3408"/>
            <w:vAlign w:val="center"/>
          </w:tcPr>
          <w:p>
            <w:pPr>
              <w:jc w:val="right"/>
              <w:bidi w:val="1"/>
            </w:pPr>
            <w:r>
              <w:rPr>
                <w:rFonts w:ascii="Arial" w:hAnsi="Arial" w:cs="Arial" w:eastAsia="Arial"/>
                <w:b w:val="0"/>
                <w:sz w:val="16"/>
                <w:rtl w:val="1"/>
              </w:rPr>
              <w:t>456,548 × 15</w:t>
            </w:r>
          </w:p>
        </w:tc>
        <w:tc>
          <w:tcPr>
            <w:tcW w:type="dxa" w:w="3408"/>
            <w:vAlign w:val="center"/>
          </w:tcPr>
          <w:p>
            <w:pPr>
              <w:jc w:val="right"/>
              <w:bidi w:val="1"/>
            </w:pPr>
            <w:r>
              <w:rPr>
                <w:rFonts w:ascii="Arial" w:hAnsi="Arial" w:cs="Arial" w:eastAsia="Arial"/>
                <w:b w:val="0"/>
                <w:sz w:val="16"/>
                <w:rtl w:val="1"/>
              </w:rPr>
              <w:t>بيانات التدريب بعد إضافة وصف الوجبة والمركز.</w:t>
            </w:r>
          </w:p>
        </w:tc>
      </w:tr>
    </w:tbl>
    <w:p>
      <w:pPr>
        <w:jc w:val="right"/>
        <w:bidi w:val="1"/>
      </w:pPr>
    </w:p>
    <w:p>
      <w:pPr>
        <w:jc w:val="right"/>
        <w:bidi w:val="1"/>
      </w:pPr>
      <w:r>
        <w:rPr>
          <w:rFonts w:ascii="Arial" w:hAnsi="Arial" w:cs="Arial" w:eastAsia="Arial"/>
          <w:b w:val="0"/>
          <w:sz w:val="20"/>
          <w:rtl w:val="1"/>
        </w:rPr>
        <w:t>يغطي التدريب الأسابيع 1–145 والاختبار 146–155. الهدف num_orders هو عدد الطلبات لكل سجل وجبة-مركز-أسبوع. لا توفر البيانات تاريخًا تقويميًا أو منطقة زمنية.</w:t>
      </w:r>
    </w:p>
    <w:p>
      <w:pPr>
        <w:pStyle w:val="Heading2"/>
        <w:jc w:val="right"/>
        <w:bidi w:val="1"/>
      </w:pPr>
      <w:r>
        <w:rPr>
          <w:rFonts w:ascii="Arial" w:hAnsi="Arial" w:cs="Arial" w:eastAsia="Arial"/>
          <w:b/>
          <w:color w:val="1F4E79"/>
          <w:sz w:val="26"/>
          <w:rtl w:val="1"/>
        </w:rPr>
        <w:t>فحص الجودة وقرارات التنظيف</w:t>
      </w:r>
    </w:p>
    <w:tbl>
      <w:tblPr>
        <w:tblStyle w:val="TableGrid"/>
        <w:tblW w:type="auto" w:w="0"/>
        <w:jc w:val="center"/>
        <w:tblLayout w:type="autofit"/>
        <w:tblLook w:firstColumn="1" w:firstRow="1" w:lastColumn="0" w:lastRow="0" w:noHBand="0" w:noVBand="1" w:val="04A0"/>
        <w:bidiVisual w:val="1"/>
      </w:tblPr>
      <w:tblGrid>
        <w:gridCol w:w="3408"/>
        <w:gridCol w:w="3408"/>
        <w:gridCol w:w="3408"/>
      </w:tblGrid>
      <w:tr>
        <w:trPr>
          <w:tblHeader w:val="true"/>
        </w:trPr>
        <w:tc>
          <w:tcPr>
            <w:tcW w:type="dxa" w:w="3408"/>
            <w:shd w:fill="1F4E78"/>
          </w:tcPr>
          <w:p>
            <w:pPr>
              <w:jc w:val="right"/>
              <w:bidi w:val="1"/>
            </w:pPr>
            <w:r>
              <w:rPr>
                <w:rFonts w:ascii="Arial" w:hAnsi="Arial" w:cs="Arial" w:eastAsia="Arial"/>
                <w:b/>
                <w:color w:val="FFFFFF"/>
                <w:sz w:val="16"/>
                <w:rtl w:val="1"/>
              </w:rPr>
              <w:t>الفحص</w:t>
            </w:r>
          </w:p>
        </w:tc>
        <w:tc>
          <w:tcPr>
            <w:tcW w:type="dxa" w:w="3408"/>
            <w:shd w:fill="1F4E78"/>
          </w:tcPr>
          <w:p>
            <w:pPr>
              <w:jc w:val="right"/>
              <w:bidi w:val="1"/>
            </w:pPr>
            <w:r>
              <w:rPr>
                <w:rFonts w:ascii="Arial" w:hAnsi="Arial" w:cs="Arial" w:eastAsia="Arial"/>
                <w:b/>
                <w:color w:val="FFFFFF"/>
                <w:sz w:val="16"/>
                <w:rtl w:val="1"/>
              </w:rPr>
              <w:t>النتيجة</w:t>
            </w:r>
          </w:p>
        </w:tc>
        <w:tc>
          <w:tcPr>
            <w:tcW w:type="dxa" w:w="3408"/>
            <w:shd w:fill="1F4E78"/>
          </w:tcPr>
          <w:p>
            <w:pPr>
              <w:jc w:val="right"/>
              <w:bidi w:val="1"/>
            </w:pPr>
            <w:r>
              <w:rPr>
                <w:rFonts w:ascii="Arial" w:hAnsi="Arial" w:cs="Arial" w:eastAsia="Arial"/>
                <w:b/>
                <w:color w:val="FFFFFF"/>
                <w:sz w:val="16"/>
                <w:rtl w:val="1"/>
              </w:rPr>
              <w:t>القرار</w:t>
            </w:r>
          </w:p>
        </w:tc>
      </w:tr>
      <w:tr>
        <w:tc>
          <w:tcPr>
            <w:tcW w:type="dxa" w:w="3408"/>
            <w:vAlign w:val="center"/>
          </w:tcPr>
          <w:p>
            <w:pPr>
              <w:jc w:val="right"/>
              <w:bidi w:val="1"/>
            </w:pPr>
            <w:r>
              <w:rPr>
                <w:rFonts w:ascii="Arial" w:hAnsi="Arial" w:cs="Arial" w:eastAsia="Arial"/>
                <w:b w:val="0"/>
                <w:sz w:val="16"/>
                <w:rtl w:val="1"/>
              </w:rPr>
              <w:t>القيم المفقودة والأنواع</w:t>
            </w:r>
          </w:p>
        </w:tc>
        <w:tc>
          <w:tcPr>
            <w:tcW w:type="dxa" w:w="3408"/>
            <w:vAlign w:val="center"/>
          </w:tcPr>
          <w:p>
            <w:pPr>
              <w:jc w:val="right"/>
              <w:bidi w:val="1"/>
            </w:pPr>
            <w:r>
              <w:rPr>
                <w:rFonts w:ascii="Arial" w:hAnsi="Arial" w:cs="Arial" w:eastAsia="Arial"/>
                <w:b w:val="0"/>
                <w:sz w:val="16"/>
                <w:rtl w:val="1"/>
              </w:rPr>
              <w:t>لا قيم مفقودة في train/test والبيانات الوصفية؛ الأنواع متسقة.</w:t>
            </w:r>
          </w:p>
        </w:tc>
        <w:tc>
          <w:tcPr>
            <w:tcW w:type="dxa" w:w="3408"/>
            <w:vAlign w:val="center"/>
          </w:tcPr>
          <w:p>
            <w:pPr>
              <w:jc w:val="right"/>
              <w:bidi w:val="1"/>
            </w:pPr>
            <w:r>
              <w:rPr>
                <w:rFonts w:ascii="Arial" w:hAnsi="Arial" w:cs="Arial" w:eastAsia="Arial"/>
                <w:b w:val="0"/>
                <w:sz w:val="16"/>
                <w:rtl w:val="1"/>
              </w:rPr>
              <w:t>لا تعويض أو حذف.</w:t>
            </w:r>
          </w:p>
        </w:tc>
      </w:tr>
      <w:tr>
        <w:tc>
          <w:tcPr>
            <w:tcW w:type="dxa" w:w="3408"/>
            <w:vAlign w:val="center"/>
          </w:tcPr>
          <w:p>
            <w:pPr>
              <w:jc w:val="right"/>
              <w:bidi w:val="1"/>
            </w:pPr>
            <w:r>
              <w:rPr>
                <w:rFonts w:ascii="Arial" w:hAnsi="Arial" w:cs="Arial" w:eastAsia="Arial"/>
                <w:b w:val="0"/>
                <w:sz w:val="16"/>
                <w:rtl w:val="1"/>
              </w:rPr>
              <w:t>التكرارات والمفاتيح</w:t>
            </w:r>
          </w:p>
        </w:tc>
        <w:tc>
          <w:tcPr>
            <w:tcW w:type="dxa" w:w="3408"/>
            <w:vAlign w:val="center"/>
          </w:tcPr>
          <w:p>
            <w:pPr>
              <w:jc w:val="right"/>
              <w:bidi w:val="1"/>
            </w:pPr>
            <w:r>
              <w:rPr>
                <w:rFonts w:ascii="Arial" w:hAnsi="Arial" w:cs="Arial" w:eastAsia="Arial"/>
                <w:b w:val="0"/>
                <w:sz w:val="16"/>
                <w:rtl w:val="1"/>
              </w:rPr>
              <w:t>لا تكرار مطابق ولا تكرار لمفتاح week-center-meal في التدريب؛ مفاتيح الأبعاد فريدة.</w:t>
            </w:r>
          </w:p>
        </w:tc>
        <w:tc>
          <w:tcPr>
            <w:tcW w:type="dxa" w:w="3408"/>
            <w:vAlign w:val="center"/>
          </w:tcPr>
          <w:p>
            <w:pPr>
              <w:jc w:val="right"/>
              <w:bidi w:val="1"/>
            </w:pPr>
            <w:r>
              <w:rPr>
                <w:rFonts w:ascii="Arial" w:hAnsi="Arial" w:cs="Arial" w:eastAsia="Arial"/>
                <w:b w:val="0"/>
                <w:sz w:val="16"/>
                <w:rtl w:val="1"/>
              </w:rPr>
              <w:t>احتفاظ بكل السجلات.</w:t>
            </w:r>
          </w:p>
        </w:tc>
      </w:tr>
      <w:tr>
        <w:tc>
          <w:tcPr>
            <w:tcW w:type="dxa" w:w="3408"/>
            <w:vAlign w:val="center"/>
          </w:tcPr>
          <w:p>
            <w:pPr>
              <w:jc w:val="right"/>
              <w:bidi w:val="1"/>
            </w:pPr>
            <w:r>
              <w:rPr>
                <w:rFonts w:ascii="Arial" w:hAnsi="Arial" w:cs="Arial" w:eastAsia="Arial"/>
                <w:b w:val="0"/>
                <w:sz w:val="16"/>
                <w:rtl w:val="1"/>
              </w:rPr>
              <w:t>سلامة الربط</w:t>
            </w:r>
          </w:p>
        </w:tc>
        <w:tc>
          <w:tcPr>
            <w:tcW w:type="dxa" w:w="3408"/>
            <w:vAlign w:val="center"/>
          </w:tcPr>
          <w:p>
            <w:pPr>
              <w:jc w:val="right"/>
              <w:bidi w:val="1"/>
            </w:pPr>
            <w:r>
              <w:rPr>
                <w:rFonts w:ascii="Arial" w:hAnsi="Arial" w:cs="Arial" w:eastAsia="Arial"/>
                <w:b w:val="0"/>
                <w:sz w:val="16"/>
                <w:rtl w:val="1"/>
              </w:rPr>
              <w:t>دمج many-to-one على center_id وmeal_id؛ قبل/بعد الدمج 456,548 صفًا و119,557,485 طلبًا. لا مفاتيح غير متطابقة.</w:t>
            </w:r>
          </w:p>
        </w:tc>
        <w:tc>
          <w:tcPr>
            <w:tcW w:type="dxa" w:w="3408"/>
            <w:vAlign w:val="center"/>
          </w:tcPr>
          <w:p>
            <w:pPr>
              <w:jc w:val="right"/>
              <w:bidi w:val="1"/>
            </w:pPr>
            <w:r>
              <w:rPr>
                <w:rFonts w:ascii="Arial" w:hAnsi="Arial" w:cs="Arial" w:eastAsia="Arial"/>
                <w:b w:val="0"/>
                <w:sz w:val="16"/>
                <w:rtl w:val="1"/>
              </w:rPr>
              <w:t>لا إسقاط أو تضاعف للصفوف.</w:t>
            </w:r>
          </w:p>
        </w:tc>
      </w:tr>
      <w:tr>
        <w:tc>
          <w:tcPr>
            <w:tcW w:type="dxa" w:w="3408"/>
            <w:vAlign w:val="center"/>
          </w:tcPr>
          <w:p>
            <w:pPr>
              <w:jc w:val="right"/>
              <w:bidi w:val="1"/>
            </w:pPr>
            <w:r>
              <w:rPr>
                <w:rFonts w:ascii="Arial" w:hAnsi="Arial" w:cs="Arial" w:eastAsia="Arial"/>
                <w:b w:val="0"/>
                <w:sz w:val="16"/>
                <w:rtl w:val="1"/>
              </w:rPr>
              <w:t>قيم num_orders المتطرفة</w:t>
            </w:r>
          </w:p>
        </w:tc>
        <w:tc>
          <w:tcPr>
            <w:tcW w:type="dxa" w:w="3408"/>
            <w:vAlign w:val="center"/>
          </w:tcPr>
          <w:p>
            <w:pPr>
              <w:jc w:val="right"/>
              <w:bidi w:val="1"/>
            </w:pPr>
            <w:r>
              <w:rPr>
                <w:rFonts w:ascii="Arial" w:hAnsi="Arial" w:cs="Arial" w:eastAsia="Arial"/>
                <w:b w:val="0"/>
                <w:sz w:val="16"/>
                <w:rtl w:val="1"/>
              </w:rPr>
              <w:t>IQR: Q1=54 وQ3=324 وحدود -351 و729؛ 32,937 سجلًا (7.21%) موسومًا.</w:t>
            </w:r>
          </w:p>
        </w:tc>
        <w:tc>
          <w:tcPr>
            <w:tcW w:type="dxa" w:w="3408"/>
            <w:vAlign w:val="center"/>
          </w:tcPr>
          <w:p>
            <w:pPr>
              <w:jc w:val="right"/>
              <w:bidi w:val="1"/>
            </w:pPr>
            <w:r>
              <w:rPr>
                <w:rFonts w:ascii="Arial" w:hAnsi="Arial" w:cs="Arial" w:eastAsia="Arial"/>
                <w:b w:val="0"/>
                <w:sz w:val="16"/>
                <w:rtl w:val="1"/>
              </w:rPr>
              <w:t>احتفاظ؛ علامة إحصائية لا دليل خطأ.</w:t>
            </w:r>
          </w:p>
        </w:tc>
      </w:tr>
      <w:tr>
        <w:tc>
          <w:tcPr>
            <w:tcW w:type="dxa" w:w="3408"/>
            <w:vAlign w:val="center"/>
          </w:tcPr>
          <w:p>
            <w:pPr>
              <w:jc w:val="right"/>
              <w:bidi w:val="1"/>
            </w:pPr>
            <w:r>
              <w:rPr>
                <w:rFonts w:ascii="Arial" w:hAnsi="Arial" w:cs="Arial" w:eastAsia="Arial"/>
                <w:b w:val="0"/>
                <w:sz w:val="16"/>
                <w:rtl w:val="1"/>
              </w:rPr>
              <w:t>checkout_price &gt; base_price</w:t>
            </w:r>
          </w:p>
        </w:tc>
        <w:tc>
          <w:tcPr>
            <w:tcW w:type="dxa" w:w="3408"/>
            <w:vAlign w:val="center"/>
          </w:tcPr>
          <w:p>
            <w:pPr>
              <w:jc w:val="right"/>
              <w:bidi w:val="1"/>
            </w:pPr>
            <w:r>
              <w:rPr>
                <w:rFonts w:ascii="Arial" w:hAnsi="Arial" w:cs="Arial" w:eastAsia="Arial"/>
                <w:b w:val="0"/>
                <w:sz w:val="16"/>
                <w:rtl w:val="1"/>
              </w:rPr>
              <w:t>116,101 سجلًا (25.43%).</w:t>
            </w:r>
          </w:p>
        </w:tc>
        <w:tc>
          <w:tcPr>
            <w:tcW w:type="dxa" w:w="3408"/>
            <w:vAlign w:val="center"/>
          </w:tcPr>
          <w:p>
            <w:pPr>
              <w:jc w:val="right"/>
              <w:bidi w:val="1"/>
            </w:pPr>
            <w:r>
              <w:rPr>
                <w:rFonts w:ascii="Arial" w:hAnsi="Arial" w:cs="Arial" w:eastAsia="Arial"/>
                <w:b w:val="0"/>
                <w:sz w:val="16"/>
                <w:rtl w:val="1"/>
              </w:rPr>
              <w:t>احتفاظ؛ لا يثبت ذلك خصمًا أو قاعدة تسعير.</w:t>
            </w:r>
          </w:p>
        </w:tc>
      </w:tr>
      <w:tr>
        <w:tc>
          <w:tcPr>
            <w:tcW w:type="dxa" w:w="3408"/>
            <w:vAlign w:val="center"/>
          </w:tcPr>
          <w:p>
            <w:pPr>
              <w:jc w:val="right"/>
              <w:bidi w:val="1"/>
            </w:pPr>
            <w:r>
              <w:rPr>
                <w:rFonts w:ascii="Arial" w:hAnsi="Arial" w:cs="Arial" w:eastAsia="Arial"/>
                <w:b w:val="0"/>
                <w:sz w:val="16"/>
                <w:rtl w:val="1"/>
              </w:rPr>
              <w:t>أزواج وجبة-أسبوع غائبة</w:t>
            </w:r>
          </w:p>
        </w:tc>
        <w:tc>
          <w:tcPr>
            <w:tcW w:type="dxa" w:w="3408"/>
            <w:vAlign w:val="center"/>
          </w:tcPr>
          <w:p>
            <w:pPr>
              <w:jc w:val="right"/>
              <w:bidi w:val="1"/>
            </w:pPr>
            <w:r>
              <w:rPr>
                <w:rFonts w:ascii="Arial" w:hAnsi="Arial" w:cs="Arial" w:eastAsia="Arial"/>
                <w:b w:val="0"/>
                <w:sz w:val="16"/>
                <w:rtl w:val="1"/>
              </w:rPr>
              <w:t>222 من 7,395 زوجًا محتملًا (51 وجبة × 145 أسبوعًا).</w:t>
            </w:r>
          </w:p>
        </w:tc>
        <w:tc>
          <w:tcPr>
            <w:tcW w:type="dxa" w:w="3408"/>
            <w:vAlign w:val="center"/>
          </w:tcPr>
          <w:p>
            <w:pPr>
              <w:jc w:val="right"/>
              <w:bidi w:val="1"/>
            </w:pPr>
            <w:r>
              <w:rPr>
                <w:rFonts w:ascii="Arial" w:hAnsi="Arial" w:cs="Arial" w:eastAsia="Arial"/>
                <w:b w:val="0"/>
                <w:sz w:val="16"/>
                <w:rtl w:val="1"/>
              </w:rPr>
              <w:t>لا تُسند أصفارًا؛ الغياب لا يثبت التوفر أو عدم الطلب.</w:t>
            </w:r>
          </w:p>
        </w:tc>
      </w:tr>
    </w:tbl>
    <w:p>
      <w:pPr>
        <w:jc w:val="right"/>
        <w:bidi w:val="1"/>
      </w:pPr>
    </w:p>
    <w:p>
      <w:pPr>
        <w:jc w:val="right"/>
        <w:bidi w:val="1"/>
      </w:pPr>
      <w:r>
        <w:rPr>
          <w:rFonts w:ascii="Arial" w:hAnsi="Arial" w:cs="Arial" w:eastAsia="Arial"/>
          <w:b w:val="0"/>
          <w:sz w:val="20"/>
          <w:rtl w:val="1"/>
        </w:rPr>
        <w:t>التفاصيل موثقة في docs/decisions_cleaning.md. لا توجد صفوف حُذفت ولا قيم عُوّضت. حُسبت مجاميع الطلب من السجلات المرصودة فقط.</w:t>
      </w:r>
    </w:p>
    <w:p>
      <w:pPr>
        <w:pStyle w:val="Heading1"/>
        <w:jc w:val="right"/>
        <w:bidi w:val="1"/>
      </w:pPr>
      <w:r>
        <w:rPr>
          <w:rFonts w:ascii="Arial" w:hAnsi="Arial" w:cs="Arial" w:eastAsia="Arial"/>
          <w:b/>
          <w:color w:val="1F4E79"/>
          <w:sz w:val="32"/>
          <w:rtl w:val="1"/>
        </w:rPr>
        <w:t>4. أين يتركز الطلب؟</w:t>
      </w:r>
    </w:p>
    <w:p>
      <w:pPr>
        <w:pStyle w:val="Heading2"/>
        <w:jc w:val="right"/>
        <w:bidi w:val="1"/>
      </w:pPr>
      <w:r>
        <w:rPr>
          <w:rFonts w:ascii="Arial" w:hAnsi="Arial" w:cs="Arial" w:eastAsia="Arial"/>
          <w:b/>
          <w:color w:val="1F4E79"/>
          <w:sz w:val="26"/>
          <w:rtl w:val="1"/>
        </w:rPr>
        <w:t>4.1 الطلب الأسبوعي</w:t>
      </w:r>
    </w:p>
    <w:p>
      <w:pPr>
        <w:jc w:val="right"/>
        <w:bidi w:val="1"/>
      </w:pPr>
      <w:r>
        <w:rPr>
          <w:rFonts w:ascii="Arial" w:hAnsi="Arial" w:cs="Arial" w:eastAsia="Arial"/>
          <w:b w:val="0"/>
          <w:sz w:val="20"/>
          <w:rtl w:val="1"/>
        </w:rPr>
        <w:t>متوسط الإجمالي الأسبوعي 824,534.38 طلبًا. الحد الأعلى 1,303,457 في الأسبوع 48، والأدنى 380,065 في الأسبوع 62. من الأسبوع 1 (792,261) إلى 145 (671,926) التغير -15.19%. لا تشرح هذه المقارنة السبب أو مسارًا مستقبليًا.</w:t>
      </w:r>
    </w:p>
    <w:p>
      <w:pPr>
        <w:jc w:val="center"/>
      </w:pPr>
      <w:r>
        <w:drawing>
          <wp:inline xmlns:a="http://schemas.openxmlformats.org/drawingml/2006/main" xmlns:pic="http://schemas.openxmlformats.org/drawingml/2006/picture">
            <wp:extent cx="5577840" cy="2760491"/>
            <wp:docPr id="1" name="Picture 1"/>
            <wp:cNvGraphicFramePr>
              <a:graphicFrameLocks noChangeAspect="1"/>
            </wp:cNvGraphicFramePr>
            <a:graphic>
              <a:graphicData uri="http://schemas.openxmlformats.org/drawingml/2006/picture">
                <pic:pic>
                  <pic:nvPicPr>
                    <pic:cNvPr id="0" name="weekly_demand_trend.png"/>
                    <pic:cNvPicPr/>
                  </pic:nvPicPr>
                  <pic:blipFill>
                    <a:blip r:embed="rId11"/>
                    <a:stretch>
                      <a:fillRect/>
                    </a:stretch>
                  </pic:blipFill>
                  <pic:spPr>
                    <a:xfrm>
                      <a:off x="0" y="0"/>
                      <a:ext cx="5577840" cy="2760491"/>
                    </a:xfrm>
                    <a:prstGeom prst="rect"/>
                  </pic:spPr>
                </pic:pic>
              </a:graphicData>
            </a:graphic>
          </wp:inline>
        </w:drawing>
      </w:r>
    </w:p>
    <w:p>
      <w:pPr>
        <w:jc w:val="center"/>
        <w:bidi w:val="1"/>
      </w:pPr>
      <w:r>
        <w:rPr>
          <w:rFonts w:ascii="Arial" w:hAnsi="Arial" w:cs="Arial" w:eastAsia="Arial"/>
          <w:b w:val="0"/>
          <w:color w:val="595959"/>
          <w:sz w:val="18"/>
          <w:rtl w:val="1"/>
        </w:rPr>
        <w:t>إجمالي الطلب حسب معرف الأسبوع؛ الأرقام ليست تواريخ تقويمية.</w:t>
      </w:r>
    </w:p>
    <w:p>
      <w:pPr>
        <w:pStyle w:val="Heading2"/>
        <w:jc w:val="right"/>
        <w:bidi w:val="1"/>
      </w:pPr>
      <w:r>
        <w:rPr>
          <w:rFonts w:ascii="Arial" w:hAnsi="Arial" w:cs="Arial" w:eastAsia="Arial"/>
          <w:b/>
          <w:color w:val="1F4E79"/>
          <w:sz w:val="26"/>
          <w:rtl w:val="1"/>
        </w:rPr>
        <w:t>4.2 فئات ووجبات الطلب الأعلى</w:t>
      </w:r>
    </w:p>
    <w:tbl>
      <w:tblPr>
        <w:tblStyle w:val="TableGrid"/>
        <w:tblW w:type="auto" w:w="0"/>
        <w:jc w:val="center"/>
        <w:tblLayout w:type="autofit"/>
        <w:tblLook w:firstColumn="1" w:firstRow="1" w:lastColumn="0" w:lastRow="0" w:noHBand="0" w:noVBand="1" w:val="04A0"/>
        <w:bidiVisual w:val="1"/>
      </w:tblPr>
      <w:tblGrid>
        <w:gridCol w:w="3408"/>
        <w:gridCol w:w="3408"/>
        <w:gridCol w:w="3408"/>
      </w:tblGrid>
      <w:tr>
        <w:trPr>
          <w:tblHeader w:val="true"/>
        </w:trPr>
        <w:tc>
          <w:tcPr>
            <w:tcW w:type="dxa" w:w="3408"/>
            <w:shd w:fill="1F4E78"/>
          </w:tcPr>
          <w:p>
            <w:pPr>
              <w:jc w:val="right"/>
              <w:bidi w:val="1"/>
            </w:pPr>
            <w:r>
              <w:rPr>
                <w:rFonts w:ascii="Arial" w:hAnsi="Arial" w:cs="Arial" w:eastAsia="Arial"/>
                <w:b/>
                <w:color w:val="FFFFFF"/>
                <w:sz w:val="16"/>
                <w:rtl w:val="1"/>
              </w:rPr>
              <w:t>الفئة</w:t>
            </w:r>
          </w:p>
        </w:tc>
        <w:tc>
          <w:tcPr>
            <w:tcW w:type="dxa" w:w="3408"/>
            <w:shd w:fill="1F4E78"/>
          </w:tcPr>
          <w:p>
            <w:pPr>
              <w:jc w:val="right"/>
              <w:bidi w:val="1"/>
            </w:pPr>
            <w:r>
              <w:rPr>
                <w:rFonts w:ascii="Arial" w:hAnsi="Arial" w:cs="Arial" w:eastAsia="Arial"/>
                <w:b/>
                <w:color w:val="FFFFFF"/>
                <w:sz w:val="16"/>
                <w:rtl w:val="1"/>
              </w:rPr>
              <w:t>الطلبات</w:t>
            </w:r>
          </w:p>
        </w:tc>
        <w:tc>
          <w:tcPr>
            <w:tcW w:type="dxa" w:w="3408"/>
            <w:shd w:fill="1F4E78"/>
          </w:tcPr>
          <w:p>
            <w:pPr>
              <w:jc w:val="right"/>
              <w:bidi w:val="1"/>
            </w:pPr>
            <w:r>
              <w:rPr>
                <w:rFonts w:ascii="Arial" w:hAnsi="Arial" w:cs="Arial" w:eastAsia="Arial"/>
                <w:b/>
                <w:color w:val="FFFFFF"/>
                <w:sz w:val="16"/>
                <w:rtl w:val="1"/>
              </w:rPr>
              <w:t>الحصة</w:t>
            </w:r>
          </w:p>
        </w:tc>
      </w:tr>
      <w:tr>
        <w:tc>
          <w:tcPr>
            <w:tcW w:type="dxa" w:w="3408"/>
            <w:vAlign w:val="center"/>
          </w:tcPr>
          <w:p>
            <w:pPr>
              <w:jc w:val="right"/>
              <w:bidi w:val="1"/>
            </w:pPr>
            <w:r>
              <w:rPr>
                <w:rFonts w:ascii="Arial" w:hAnsi="Arial" w:cs="Arial" w:eastAsia="Arial"/>
                <w:b w:val="0"/>
                <w:sz w:val="16"/>
                <w:rtl w:val="1"/>
              </w:rPr>
              <w:t>Beverages</w:t>
            </w:r>
          </w:p>
        </w:tc>
        <w:tc>
          <w:tcPr>
            <w:tcW w:type="dxa" w:w="3408"/>
            <w:vAlign w:val="center"/>
          </w:tcPr>
          <w:p>
            <w:pPr>
              <w:jc w:val="right"/>
              <w:bidi w:val="1"/>
            </w:pPr>
            <w:r>
              <w:rPr>
                <w:rFonts w:ascii="Arial" w:hAnsi="Arial" w:cs="Arial" w:eastAsia="Arial"/>
                <w:b w:val="0"/>
                <w:sz w:val="16"/>
                <w:rtl w:val="1"/>
              </w:rPr>
              <w:t>40,480,525</w:t>
            </w:r>
          </w:p>
        </w:tc>
        <w:tc>
          <w:tcPr>
            <w:tcW w:type="dxa" w:w="3408"/>
            <w:vAlign w:val="center"/>
          </w:tcPr>
          <w:p>
            <w:pPr>
              <w:jc w:val="right"/>
              <w:bidi w:val="1"/>
            </w:pPr>
            <w:r>
              <w:rPr>
                <w:rFonts w:ascii="Arial" w:hAnsi="Arial" w:cs="Arial" w:eastAsia="Arial"/>
                <w:b w:val="0"/>
                <w:sz w:val="16"/>
                <w:rtl w:val="1"/>
              </w:rPr>
              <w:t>33.86%</w:t>
            </w:r>
          </w:p>
        </w:tc>
      </w:tr>
      <w:tr>
        <w:tc>
          <w:tcPr>
            <w:tcW w:type="dxa" w:w="3408"/>
            <w:vAlign w:val="center"/>
          </w:tcPr>
          <w:p>
            <w:pPr>
              <w:jc w:val="right"/>
              <w:bidi w:val="1"/>
            </w:pPr>
            <w:r>
              <w:rPr>
                <w:rFonts w:ascii="Arial" w:hAnsi="Arial" w:cs="Arial" w:eastAsia="Arial"/>
                <w:b w:val="0"/>
                <w:sz w:val="16"/>
                <w:rtl w:val="1"/>
              </w:rPr>
              <w:t>Rice Bowl</w:t>
            </w:r>
          </w:p>
        </w:tc>
        <w:tc>
          <w:tcPr>
            <w:tcW w:type="dxa" w:w="3408"/>
            <w:vAlign w:val="center"/>
          </w:tcPr>
          <w:p>
            <w:pPr>
              <w:jc w:val="right"/>
              <w:bidi w:val="1"/>
            </w:pPr>
            <w:r>
              <w:rPr>
                <w:rFonts w:ascii="Arial" w:hAnsi="Arial" w:cs="Arial" w:eastAsia="Arial"/>
                <w:b w:val="0"/>
                <w:sz w:val="16"/>
                <w:rtl w:val="1"/>
              </w:rPr>
              <w:t>20,874,063</w:t>
            </w:r>
          </w:p>
        </w:tc>
        <w:tc>
          <w:tcPr>
            <w:tcW w:type="dxa" w:w="3408"/>
            <w:vAlign w:val="center"/>
          </w:tcPr>
          <w:p>
            <w:pPr>
              <w:jc w:val="right"/>
              <w:bidi w:val="1"/>
            </w:pPr>
            <w:r>
              <w:rPr>
                <w:rFonts w:ascii="Arial" w:hAnsi="Arial" w:cs="Arial" w:eastAsia="Arial"/>
                <w:b w:val="0"/>
                <w:sz w:val="16"/>
                <w:rtl w:val="1"/>
              </w:rPr>
              <w:t>17.46%</w:t>
            </w:r>
          </w:p>
        </w:tc>
      </w:tr>
      <w:tr>
        <w:tc>
          <w:tcPr>
            <w:tcW w:type="dxa" w:w="3408"/>
            <w:vAlign w:val="center"/>
          </w:tcPr>
          <w:p>
            <w:pPr>
              <w:jc w:val="right"/>
              <w:bidi w:val="1"/>
            </w:pPr>
            <w:r>
              <w:rPr>
                <w:rFonts w:ascii="Arial" w:hAnsi="Arial" w:cs="Arial" w:eastAsia="Arial"/>
                <w:b w:val="0"/>
                <w:sz w:val="16"/>
                <w:rtl w:val="1"/>
              </w:rPr>
              <w:t>Sandwich</w:t>
            </w:r>
          </w:p>
        </w:tc>
        <w:tc>
          <w:tcPr>
            <w:tcW w:type="dxa" w:w="3408"/>
            <w:vAlign w:val="center"/>
          </w:tcPr>
          <w:p>
            <w:pPr>
              <w:jc w:val="right"/>
              <w:bidi w:val="1"/>
            </w:pPr>
            <w:r>
              <w:rPr>
                <w:rFonts w:ascii="Arial" w:hAnsi="Arial" w:cs="Arial" w:eastAsia="Arial"/>
                <w:b w:val="0"/>
                <w:sz w:val="16"/>
                <w:rtl w:val="1"/>
              </w:rPr>
              <w:t>17,636,782</w:t>
            </w:r>
          </w:p>
        </w:tc>
        <w:tc>
          <w:tcPr>
            <w:tcW w:type="dxa" w:w="3408"/>
            <w:vAlign w:val="center"/>
          </w:tcPr>
          <w:p>
            <w:pPr>
              <w:jc w:val="right"/>
              <w:bidi w:val="1"/>
            </w:pPr>
            <w:r>
              <w:rPr>
                <w:rFonts w:ascii="Arial" w:hAnsi="Arial" w:cs="Arial" w:eastAsia="Arial"/>
                <w:b w:val="0"/>
                <w:sz w:val="16"/>
                <w:rtl w:val="1"/>
              </w:rPr>
              <w:t>14.75%</w:t>
            </w:r>
          </w:p>
        </w:tc>
      </w:tr>
      <w:tr>
        <w:tc>
          <w:tcPr>
            <w:tcW w:type="dxa" w:w="3408"/>
            <w:vAlign w:val="center"/>
          </w:tcPr>
          <w:p>
            <w:pPr>
              <w:jc w:val="right"/>
              <w:bidi w:val="1"/>
            </w:pPr>
            <w:r>
              <w:rPr>
                <w:rFonts w:ascii="Arial" w:hAnsi="Arial" w:cs="Arial" w:eastAsia="Arial"/>
                <w:b w:val="0"/>
                <w:sz w:val="16"/>
                <w:rtl w:val="1"/>
              </w:rPr>
              <w:t>Salad</w:t>
            </w:r>
          </w:p>
        </w:tc>
        <w:tc>
          <w:tcPr>
            <w:tcW w:type="dxa" w:w="3408"/>
            <w:vAlign w:val="center"/>
          </w:tcPr>
          <w:p>
            <w:pPr>
              <w:jc w:val="right"/>
              <w:bidi w:val="1"/>
            </w:pPr>
            <w:r>
              <w:rPr>
                <w:rFonts w:ascii="Arial" w:hAnsi="Arial" w:cs="Arial" w:eastAsia="Arial"/>
                <w:b w:val="0"/>
                <w:sz w:val="16"/>
                <w:rtl w:val="1"/>
              </w:rPr>
              <w:t>10,944,336</w:t>
            </w:r>
          </w:p>
        </w:tc>
        <w:tc>
          <w:tcPr>
            <w:tcW w:type="dxa" w:w="3408"/>
            <w:vAlign w:val="center"/>
          </w:tcPr>
          <w:p>
            <w:pPr>
              <w:jc w:val="right"/>
              <w:bidi w:val="1"/>
            </w:pPr>
            <w:r>
              <w:rPr>
                <w:rFonts w:ascii="Arial" w:hAnsi="Arial" w:cs="Arial" w:eastAsia="Arial"/>
                <w:b w:val="0"/>
                <w:sz w:val="16"/>
                <w:rtl w:val="1"/>
              </w:rPr>
              <w:t>9.15%</w:t>
            </w:r>
          </w:p>
        </w:tc>
      </w:tr>
      <w:tr>
        <w:tc>
          <w:tcPr>
            <w:tcW w:type="dxa" w:w="3408"/>
            <w:vAlign w:val="center"/>
          </w:tcPr>
          <w:p>
            <w:pPr>
              <w:jc w:val="right"/>
              <w:bidi w:val="1"/>
            </w:pPr>
            <w:r>
              <w:rPr>
                <w:rFonts w:ascii="Arial" w:hAnsi="Arial" w:cs="Arial" w:eastAsia="Arial"/>
                <w:b w:val="0"/>
                <w:sz w:val="16"/>
                <w:rtl w:val="1"/>
              </w:rPr>
              <w:t>Pizza</w:t>
            </w:r>
          </w:p>
        </w:tc>
        <w:tc>
          <w:tcPr>
            <w:tcW w:type="dxa" w:w="3408"/>
            <w:vAlign w:val="center"/>
          </w:tcPr>
          <w:p>
            <w:pPr>
              <w:jc w:val="right"/>
              <w:bidi w:val="1"/>
            </w:pPr>
            <w:r>
              <w:rPr>
                <w:rFonts w:ascii="Arial" w:hAnsi="Arial" w:cs="Arial" w:eastAsia="Arial"/>
                <w:b w:val="0"/>
                <w:sz w:val="16"/>
                <w:rtl w:val="1"/>
              </w:rPr>
              <w:t>7,383,720</w:t>
            </w:r>
          </w:p>
        </w:tc>
        <w:tc>
          <w:tcPr>
            <w:tcW w:type="dxa" w:w="3408"/>
            <w:vAlign w:val="center"/>
          </w:tcPr>
          <w:p>
            <w:pPr>
              <w:jc w:val="right"/>
              <w:bidi w:val="1"/>
            </w:pPr>
            <w:r>
              <w:rPr>
                <w:rFonts w:ascii="Arial" w:hAnsi="Arial" w:cs="Arial" w:eastAsia="Arial"/>
                <w:b w:val="0"/>
                <w:sz w:val="16"/>
                <w:rtl w:val="1"/>
              </w:rPr>
              <w:t>6.18%</w:t>
            </w:r>
          </w:p>
        </w:tc>
      </w:tr>
    </w:tbl>
    <w:p>
      <w:pPr>
        <w:jc w:val="right"/>
        <w:bidi w:val="1"/>
      </w:pPr>
    </w:p>
    <w:p>
      <w:pPr>
        <w:jc w:val="right"/>
        <w:bidi w:val="1"/>
      </w:pPr>
      <w:r>
        <w:rPr>
          <w:rFonts w:ascii="Arial" w:hAnsi="Arial" w:cs="Arial" w:eastAsia="Arial"/>
          <w:b w:val="0"/>
          <w:sz w:val="20"/>
          <w:rtl w:val="1"/>
        </w:rPr>
        <w:t>تمثل الفئات الخمس 81.40% من الطلب المسجل.</w:t>
      </w:r>
    </w:p>
    <w:p>
      <w:pPr>
        <w:jc w:val="center"/>
      </w:pPr>
      <w:r>
        <w:drawing>
          <wp:inline xmlns:a="http://schemas.openxmlformats.org/drawingml/2006/main" xmlns:pic="http://schemas.openxmlformats.org/drawingml/2006/picture">
            <wp:extent cx="5577840" cy="3436881"/>
            <wp:docPr id="2" name="Picture 2"/>
            <wp:cNvGraphicFramePr>
              <a:graphicFrameLocks noChangeAspect="1"/>
            </wp:cNvGraphicFramePr>
            <a:graphic>
              <a:graphicData uri="http://schemas.openxmlformats.org/drawingml/2006/picture">
                <pic:pic>
                  <pic:nvPicPr>
                    <pic:cNvPr id="0" name="category_demand_concentration.png"/>
                    <pic:cNvPicPr/>
                  </pic:nvPicPr>
                  <pic:blipFill>
                    <a:blip r:embed="rId12"/>
                    <a:stretch>
                      <a:fillRect/>
                    </a:stretch>
                  </pic:blipFill>
                  <pic:spPr>
                    <a:xfrm>
                      <a:off x="0" y="0"/>
                      <a:ext cx="5577840" cy="3436881"/>
                    </a:xfrm>
                    <a:prstGeom prst="rect"/>
                  </pic:spPr>
                </pic:pic>
              </a:graphicData>
            </a:graphic>
          </wp:inline>
        </w:drawing>
      </w:r>
    </w:p>
    <w:p>
      <w:pPr>
        <w:jc w:val="center"/>
        <w:bidi w:val="1"/>
      </w:pPr>
      <w:r>
        <w:rPr>
          <w:rFonts w:ascii="Arial" w:hAnsi="Arial" w:cs="Arial" w:eastAsia="Arial"/>
          <w:b w:val="0"/>
          <w:color w:val="595959"/>
          <w:sz w:val="18"/>
          <w:rtl w:val="1"/>
        </w:rPr>
        <w:t>تركيز الطلب حسب الفئة، مع إبراز أول خمس فئات.</w:t>
      </w:r>
    </w:p>
    <w:tbl>
      <w:tblPr>
        <w:tblStyle w:val="TableGrid"/>
        <w:tblW w:type="auto" w:w="0"/>
        <w:jc w:val="center"/>
        <w:tblLayout w:type="autofit"/>
        <w:tblLook w:firstColumn="1" w:firstRow="1" w:lastColumn="0" w:lastRow="0" w:noHBand="0" w:noVBand="1" w:val="04A0"/>
        <w:bidiVisual w:val="1"/>
      </w:tblPr>
      <w:tblGrid>
        <w:gridCol w:w="2556"/>
        <w:gridCol w:w="2556"/>
        <w:gridCol w:w="2556"/>
        <w:gridCol w:w="2556"/>
      </w:tblGrid>
      <w:tr>
        <w:trPr>
          <w:tblHeader w:val="true"/>
        </w:trPr>
        <w:tc>
          <w:tcPr>
            <w:tcW w:type="dxa" w:w="2556"/>
            <w:shd w:fill="1F4E78"/>
          </w:tcPr>
          <w:p>
            <w:pPr>
              <w:jc w:val="right"/>
              <w:bidi w:val="1"/>
            </w:pPr>
            <w:r>
              <w:rPr>
                <w:rFonts w:ascii="Arial" w:hAnsi="Arial" w:cs="Arial" w:eastAsia="Arial"/>
                <w:b/>
                <w:color w:val="FFFFFF"/>
                <w:sz w:val="16"/>
                <w:rtl w:val="1"/>
              </w:rPr>
              <w:t>معرف الوجبة</w:t>
            </w:r>
          </w:p>
        </w:tc>
        <w:tc>
          <w:tcPr>
            <w:tcW w:type="dxa" w:w="2556"/>
            <w:shd w:fill="1F4E78"/>
          </w:tcPr>
          <w:p>
            <w:pPr>
              <w:jc w:val="right"/>
              <w:bidi w:val="1"/>
            </w:pPr>
            <w:r>
              <w:rPr>
                <w:rFonts w:ascii="Arial" w:hAnsi="Arial" w:cs="Arial" w:eastAsia="Arial"/>
                <w:b/>
                <w:color w:val="FFFFFF"/>
                <w:sz w:val="16"/>
                <w:rtl w:val="1"/>
              </w:rPr>
              <w:t>الفئة</w:t>
            </w:r>
          </w:p>
        </w:tc>
        <w:tc>
          <w:tcPr>
            <w:tcW w:type="dxa" w:w="2556"/>
            <w:shd w:fill="1F4E78"/>
          </w:tcPr>
          <w:p>
            <w:pPr>
              <w:jc w:val="right"/>
              <w:bidi w:val="1"/>
            </w:pPr>
            <w:r>
              <w:rPr>
                <w:rFonts w:ascii="Arial" w:hAnsi="Arial" w:cs="Arial" w:eastAsia="Arial"/>
                <w:b/>
                <w:color w:val="FFFFFF"/>
                <w:sz w:val="16"/>
                <w:rtl w:val="1"/>
              </w:rPr>
              <w:t>الطلبات</w:t>
            </w:r>
          </w:p>
        </w:tc>
        <w:tc>
          <w:tcPr>
            <w:tcW w:type="dxa" w:w="2556"/>
            <w:shd w:fill="1F4E78"/>
          </w:tcPr>
          <w:p>
            <w:pPr>
              <w:jc w:val="right"/>
              <w:bidi w:val="1"/>
            </w:pPr>
            <w:r>
              <w:rPr>
                <w:rFonts w:ascii="Arial" w:hAnsi="Arial" w:cs="Arial" w:eastAsia="Arial"/>
                <w:b/>
                <w:color w:val="FFFFFF"/>
                <w:sz w:val="16"/>
                <w:rtl w:val="1"/>
              </w:rPr>
              <w:t>CV</w:t>
            </w:r>
          </w:p>
        </w:tc>
      </w:tr>
      <w:tr>
        <w:tc>
          <w:tcPr>
            <w:tcW w:type="dxa" w:w="2556"/>
            <w:vAlign w:val="center"/>
          </w:tcPr>
          <w:p>
            <w:pPr>
              <w:jc w:val="right"/>
              <w:bidi w:val="1"/>
            </w:pPr>
            <w:r>
              <w:rPr>
                <w:rFonts w:ascii="Arial" w:hAnsi="Arial" w:cs="Arial" w:eastAsia="Arial"/>
                <w:b w:val="0"/>
                <w:sz w:val="16"/>
                <w:rtl w:val="1"/>
              </w:rPr>
              <w:t>2290</w:t>
            </w:r>
          </w:p>
        </w:tc>
        <w:tc>
          <w:tcPr>
            <w:tcW w:type="dxa" w:w="2556"/>
            <w:vAlign w:val="center"/>
          </w:tcPr>
          <w:p>
            <w:pPr>
              <w:jc w:val="right"/>
              <w:bidi w:val="1"/>
            </w:pPr>
            <w:r>
              <w:rPr>
                <w:rFonts w:ascii="Arial" w:hAnsi="Arial" w:cs="Arial" w:eastAsia="Arial"/>
                <w:b w:val="0"/>
                <w:sz w:val="16"/>
                <w:rtl w:val="1"/>
              </w:rPr>
              <w:t>Rice Bowl</w:t>
            </w:r>
          </w:p>
        </w:tc>
        <w:tc>
          <w:tcPr>
            <w:tcW w:type="dxa" w:w="2556"/>
            <w:vAlign w:val="center"/>
          </w:tcPr>
          <w:p>
            <w:pPr>
              <w:jc w:val="right"/>
              <w:bidi w:val="1"/>
            </w:pPr>
            <w:r>
              <w:rPr>
                <w:rFonts w:ascii="Arial" w:hAnsi="Arial" w:cs="Arial" w:eastAsia="Arial"/>
                <w:b w:val="0"/>
                <w:sz w:val="16"/>
                <w:rtl w:val="1"/>
              </w:rPr>
              <w:t>9,770,303</w:t>
            </w:r>
          </w:p>
        </w:tc>
        <w:tc>
          <w:tcPr>
            <w:tcW w:type="dxa" w:w="2556"/>
            <w:vAlign w:val="center"/>
          </w:tcPr>
          <w:p>
            <w:pPr>
              <w:jc w:val="right"/>
              <w:bidi w:val="1"/>
            </w:pPr>
            <w:r>
              <w:rPr>
                <w:rFonts w:ascii="Arial" w:hAnsi="Arial" w:cs="Arial" w:eastAsia="Arial"/>
                <w:b w:val="0"/>
                <w:sz w:val="16"/>
                <w:rtl w:val="1"/>
              </w:rPr>
              <w:t>0.900</w:t>
            </w:r>
          </w:p>
        </w:tc>
      </w:tr>
      <w:tr>
        <w:tc>
          <w:tcPr>
            <w:tcW w:type="dxa" w:w="2556"/>
            <w:vAlign w:val="center"/>
          </w:tcPr>
          <w:p>
            <w:pPr>
              <w:jc w:val="right"/>
              <w:bidi w:val="1"/>
            </w:pPr>
            <w:r>
              <w:rPr>
                <w:rFonts w:ascii="Arial" w:hAnsi="Arial" w:cs="Arial" w:eastAsia="Arial"/>
                <w:b w:val="0"/>
                <w:sz w:val="16"/>
                <w:rtl w:val="1"/>
              </w:rPr>
              <w:t>1885</w:t>
            </w:r>
          </w:p>
        </w:tc>
        <w:tc>
          <w:tcPr>
            <w:tcW w:type="dxa" w:w="2556"/>
            <w:vAlign w:val="center"/>
          </w:tcPr>
          <w:p>
            <w:pPr>
              <w:jc w:val="right"/>
              <w:bidi w:val="1"/>
            </w:pPr>
            <w:r>
              <w:rPr>
                <w:rFonts w:ascii="Arial" w:hAnsi="Arial" w:cs="Arial" w:eastAsia="Arial"/>
                <w:b w:val="0"/>
                <w:sz w:val="16"/>
                <w:rtl w:val="1"/>
              </w:rPr>
              <w:t>Beverages</w:t>
            </w:r>
          </w:p>
        </w:tc>
        <w:tc>
          <w:tcPr>
            <w:tcW w:type="dxa" w:w="2556"/>
            <w:vAlign w:val="center"/>
          </w:tcPr>
          <w:p>
            <w:pPr>
              <w:jc w:val="right"/>
              <w:bidi w:val="1"/>
            </w:pPr>
            <w:r>
              <w:rPr>
                <w:rFonts w:ascii="Arial" w:hAnsi="Arial" w:cs="Arial" w:eastAsia="Arial"/>
                <w:b w:val="0"/>
                <w:sz w:val="16"/>
                <w:rtl w:val="1"/>
              </w:rPr>
              <w:t>8,346,246</w:t>
            </w:r>
          </w:p>
        </w:tc>
        <w:tc>
          <w:tcPr>
            <w:tcW w:type="dxa" w:w="2556"/>
            <w:vAlign w:val="center"/>
          </w:tcPr>
          <w:p>
            <w:pPr>
              <w:jc w:val="right"/>
              <w:bidi w:val="1"/>
            </w:pPr>
            <w:r>
              <w:rPr>
                <w:rFonts w:ascii="Arial" w:hAnsi="Arial" w:cs="Arial" w:eastAsia="Arial"/>
                <w:b w:val="0"/>
                <w:sz w:val="16"/>
                <w:rtl w:val="1"/>
              </w:rPr>
              <w:t>0.191</w:t>
            </w:r>
          </w:p>
        </w:tc>
      </w:tr>
      <w:tr>
        <w:tc>
          <w:tcPr>
            <w:tcW w:type="dxa" w:w="2556"/>
            <w:vAlign w:val="center"/>
          </w:tcPr>
          <w:p>
            <w:pPr>
              <w:jc w:val="right"/>
              <w:bidi w:val="1"/>
            </w:pPr>
            <w:r>
              <w:rPr>
                <w:rFonts w:ascii="Arial" w:hAnsi="Arial" w:cs="Arial" w:eastAsia="Arial"/>
                <w:b w:val="0"/>
                <w:sz w:val="16"/>
                <w:rtl w:val="1"/>
              </w:rPr>
              <w:t>1754</w:t>
            </w:r>
          </w:p>
        </w:tc>
        <w:tc>
          <w:tcPr>
            <w:tcW w:type="dxa" w:w="2556"/>
            <w:vAlign w:val="center"/>
          </w:tcPr>
          <w:p>
            <w:pPr>
              <w:jc w:val="right"/>
              <w:bidi w:val="1"/>
            </w:pPr>
            <w:r>
              <w:rPr>
                <w:rFonts w:ascii="Arial" w:hAnsi="Arial" w:cs="Arial" w:eastAsia="Arial"/>
                <w:b w:val="0"/>
                <w:sz w:val="16"/>
                <w:rtl w:val="1"/>
              </w:rPr>
              <w:t>Sandwich</w:t>
            </w:r>
          </w:p>
        </w:tc>
        <w:tc>
          <w:tcPr>
            <w:tcW w:type="dxa" w:w="2556"/>
            <w:vAlign w:val="center"/>
          </w:tcPr>
          <w:p>
            <w:pPr>
              <w:jc w:val="right"/>
              <w:bidi w:val="1"/>
            </w:pPr>
            <w:r>
              <w:rPr>
                <w:rFonts w:ascii="Arial" w:hAnsi="Arial" w:cs="Arial" w:eastAsia="Arial"/>
                <w:b w:val="0"/>
                <w:sz w:val="16"/>
                <w:rtl w:val="1"/>
              </w:rPr>
              <w:t>6,818,059</w:t>
            </w:r>
          </w:p>
        </w:tc>
        <w:tc>
          <w:tcPr>
            <w:tcW w:type="dxa" w:w="2556"/>
            <w:vAlign w:val="center"/>
          </w:tcPr>
          <w:p>
            <w:pPr>
              <w:jc w:val="right"/>
              <w:bidi w:val="1"/>
            </w:pPr>
            <w:r>
              <w:rPr>
                <w:rFonts w:ascii="Arial" w:hAnsi="Arial" w:cs="Arial" w:eastAsia="Arial"/>
                <w:b w:val="0"/>
                <w:sz w:val="16"/>
                <w:rtl w:val="1"/>
              </w:rPr>
              <w:t>0.887</w:t>
            </w:r>
          </w:p>
        </w:tc>
      </w:tr>
      <w:tr>
        <w:tc>
          <w:tcPr>
            <w:tcW w:type="dxa" w:w="2556"/>
            <w:vAlign w:val="center"/>
          </w:tcPr>
          <w:p>
            <w:pPr>
              <w:jc w:val="right"/>
              <w:bidi w:val="1"/>
            </w:pPr>
            <w:r>
              <w:rPr>
                <w:rFonts w:ascii="Arial" w:hAnsi="Arial" w:cs="Arial" w:eastAsia="Arial"/>
                <w:b w:val="0"/>
                <w:sz w:val="16"/>
                <w:rtl w:val="1"/>
              </w:rPr>
              <w:t>1993</w:t>
            </w:r>
          </w:p>
        </w:tc>
        <w:tc>
          <w:tcPr>
            <w:tcW w:type="dxa" w:w="2556"/>
            <w:vAlign w:val="center"/>
          </w:tcPr>
          <w:p>
            <w:pPr>
              <w:jc w:val="right"/>
              <w:bidi w:val="1"/>
            </w:pPr>
            <w:r>
              <w:rPr>
                <w:rFonts w:ascii="Arial" w:hAnsi="Arial" w:cs="Arial" w:eastAsia="Arial"/>
                <w:b w:val="0"/>
                <w:sz w:val="16"/>
                <w:rtl w:val="1"/>
              </w:rPr>
              <w:t>Beverages</w:t>
            </w:r>
          </w:p>
        </w:tc>
        <w:tc>
          <w:tcPr>
            <w:tcW w:type="dxa" w:w="2556"/>
            <w:vAlign w:val="center"/>
          </w:tcPr>
          <w:p>
            <w:pPr>
              <w:jc w:val="right"/>
              <w:bidi w:val="1"/>
            </w:pPr>
            <w:r>
              <w:rPr>
                <w:rFonts w:ascii="Arial" w:hAnsi="Arial" w:cs="Arial" w:eastAsia="Arial"/>
                <w:b w:val="0"/>
                <w:sz w:val="16"/>
                <w:rtl w:val="1"/>
              </w:rPr>
              <w:t>6,656,856</w:t>
            </w:r>
          </w:p>
        </w:tc>
        <w:tc>
          <w:tcPr>
            <w:tcW w:type="dxa" w:w="2556"/>
            <w:vAlign w:val="center"/>
          </w:tcPr>
          <w:p>
            <w:pPr>
              <w:jc w:val="right"/>
              <w:bidi w:val="1"/>
            </w:pPr>
            <w:r>
              <w:rPr>
                <w:rFonts w:ascii="Arial" w:hAnsi="Arial" w:cs="Arial" w:eastAsia="Arial"/>
                <w:b w:val="0"/>
                <w:sz w:val="16"/>
                <w:rtl w:val="1"/>
              </w:rPr>
              <w:t>0.233</w:t>
            </w:r>
          </w:p>
        </w:tc>
      </w:tr>
      <w:tr>
        <w:tc>
          <w:tcPr>
            <w:tcW w:type="dxa" w:w="2556"/>
            <w:vAlign w:val="center"/>
          </w:tcPr>
          <w:p>
            <w:pPr>
              <w:jc w:val="right"/>
              <w:bidi w:val="1"/>
            </w:pPr>
            <w:r>
              <w:rPr>
                <w:rFonts w:ascii="Arial" w:hAnsi="Arial" w:cs="Arial" w:eastAsia="Arial"/>
                <w:b w:val="0"/>
                <w:sz w:val="16"/>
                <w:rtl w:val="1"/>
              </w:rPr>
              <w:t>1109</w:t>
            </w:r>
          </w:p>
        </w:tc>
        <w:tc>
          <w:tcPr>
            <w:tcW w:type="dxa" w:w="2556"/>
            <w:vAlign w:val="center"/>
          </w:tcPr>
          <w:p>
            <w:pPr>
              <w:jc w:val="right"/>
              <w:bidi w:val="1"/>
            </w:pPr>
            <w:r>
              <w:rPr>
                <w:rFonts w:ascii="Arial" w:hAnsi="Arial" w:cs="Arial" w:eastAsia="Arial"/>
                <w:b w:val="0"/>
                <w:sz w:val="16"/>
                <w:rtl w:val="1"/>
              </w:rPr>
              <w:t>Rice Bowl</w:t>
            </w:r>
          </w:p>
        </w:tc>
        <w:tc>
          <w:tcPr>
            <w:tcW w:type="dxa" w:w="2556"/>
            <w:vAlign w:val="center"/>
          </w:tcPr>
          <w:p>
            <w:pPr>
              <w:jc w:val="right"/>
              <w:bidi w:val="1"/>
            </w:pPr>
            <w:r>
              <w:rPr>
                <w:rFonts w:ascii="Arial" w:hAnsi="Arial" w:cs="Arial" w:eastAsia="Arial"/>
                <w:b w:val="0"/>
                <w:sz w:val="16"/>
                <w:rtl w:val="1"/>
              </w:rPr>
              <w:t>6,367,773</w:t>
            </w:r>
          </w:p>
        </w:tc>
        <w:tc>
          <w:tcPr>
            <w:tcW w:type="dxa" w:w="2556"/>
            <w:vAlign w:val="center"/>
          </w:tcPr>
          <w:p>
            <w:pPr>
              <w:jc w:val="right"/>
              <w:bidi w:val="1"/>
            </w:pPr>
            <w:r>
              <w:rPr>
                <w:rFonts w:ascii="Arial" w:hAnsi="Arial" w:cs="Arial" w:eastAsia="Arial"/>
                <w:b w:val="0"/>
                <w:sz w:val="16"/>
                <w:rtl w:val="1"/>
              </w:rPr>
              <w:t>0.561</w:t>
            </w:r>
          </w:p>
        </w:tc>
      </w:tr>
    </w:tbl>
    <w:p>
      <w:pPr>
        <w:jc w:val="right"/>
        <w:bidi w:val="1"/>
      </w:pPr>
    </w:p>
    <w:p>
      <w:pPr>
        <w:jc w:val="right"/>
        <w:bidi w:val="1"/>
      </w:pPr>
      <w:r>
        <w:rPr>
          <w:rFonts w:ascii="Arial" w:hAnsi="Arial" w:cs="Arial" w:eastAsia="Arial"/>
          <w:b w:val="0"/>
          <w:sz w:val="20"/>
          <w:rtl w:val="1"/>
        </w:rPr>
        <w:t>الوجبة 2290 (Rice Bowl) الأعلى بإجمالي 9,770,303 طلبات، تليها الوجبة 1885 (Beverages) بإجمالي 8,346,246.</w:t>
      </w:r>
    </w:p>
    <w:p>
      <w:pPr>
        <w:pStyle w:val="Heading2"/>
        <w:jc w:val="right"/>
        <w:bidi w:val="1"/>
      </w:pPr>
      <w:r>
        <w:rPr>
          <w:rFonts w:ascii="Arial" w:hAnsi="Arial" w:cs="Arial" w:eastAsia="Arial"/>
          <w:b/>
          <w:color w:val="1F4E79"/>
          <w:sz w:val="26"/>
          <w:rtl w:val="1"/>
        </w:rPr>
        <w:t>4.3 استقرار وتقلب الطلب</w:t>
      </w:r>
    </w:p>
    <w:p>
      <w:pPr>
        <w:jc w:val="right"/>
        <w:bidi w:val="1"/>
      </w:pPr>
      <w:r>
        <w:rPr>
          <w:rFonts w:ascii="Arial" w:hAnsi="Arial" w:cs="Arial" w:eastAsia="Arial"/>
          <w:b w:val="0"/>
          <w:sz w:val="20"/>
          <w:rtl w:val="1"/>
        </w:rPr>
        <w:t>سجلت الوجبة 2444 أعلى CV (1.205) وإجمالي 942,568 طلب، مقابل CV=0.191 للوجبة 1885 ذات 8,346,246 طلب. CV يقيس التشتت النسبي في الأسابيع المرصودة فقط، ولا يساوي تقييمًا للأداء.</w:t>
      </w:r>
    </w:p>
    <w:p>
      <w:pPr>
        <w:jc w:val="center"/>
      </w:pPr>
      <w:r>
        <w:drawing>
          <wp:inline xmlns:a="http://schemas.openxmlformats.org/drawingml/2006/main" xmlns:pic="http://schemas.openxmlformats.org/drawingml/2006/picture">
            <wp:extent cx="5577840" cy="3346704"/>
            <wp:docPr id="3" name="Picture 3"/>
            <wp:cNvGraphicFramePr>
              <a:graphicFrameLocks noChangeAspect="1"/>
            </wp:cNvGraphicFramePr>
            <a:graphic>
              <a:graphicData uri="http://schemas.openxmlformats.org/drawingml/2006/picture">
                <pic:pic>
                  <pic:nvPicPr>
                    <pic:cNvPr id="0" name="meal_demand_vs_volatility.png"/>
                    <pic:cNvPicPr/>
                  </pic:nvPicPr>
                  <pic:blipFill>
                    <a:blip r:embed="rId13"/>
                    <a:stretch>
                      <a:fillRect/>
                    </a:stretch>
                  </pic:blipFill>
                  <pic:spPr>
                    <a:xfrm>
                      <a:off x="0" y="0"/>
                      <a:ext cx="5577840" cy="3346704"/>
                    </a:xfrm>
                    <a:prstGeom prst="rect"/>
                  </pic:spPr>
                </pic:pic>
              </a:graphicData>
            </a:graphic>
          </wp:inline>
        </w:drawing>
      </w:r>
    </w:p>
    <w:p>
      <w:pPr>
        <w:jc w:val="center"/>
        <w:bidi w:val="1"/>
      </w:pPr>
      <w:r>
        <w:rPr>
          <w:rFonts w:ascii="Arial" w:hAnsi="Arial" w:cs="Arial" w:eastAsia="Arial"/>
          <w:b w:val="0"/>
          <w:color w:val="595959"/>
          <w:sz w:val="18"/>
          <w:rtl w:val="1"/>
        </w:rPr>
        <w:t>حجم الطلب والتقلب النسبي للوجبات.</w:t>
      </w:r>
    </w:p>
    <w:p>
      <w:pPr>
        <w:pStyle w:val="Heading2"/>
        <w:jc w:val="right"/>
        <w:bidi w:val="1"/>
      </w:pPr>
      <w:r>
        <w:rPr>
          <w:rFonts w:ascii="Arial" w:hAnsi="Arial" w:cs="Arial" w:eastAsia="Arial"/>
          <w:b/>
          <w:color w:val="1F4E79"/>
          <w:sz w:val="26"/>
          <w:rtl w:val="1"/>
        </w:rPr>
        <w:t>4.4 مراكز التوزيع</w:t>
      </w:r>
    </w:p>
    <w:tbl>
      <w:tblPr>
        <w:tblStyle w:val="TableGrid"/>
        <w:tblW w:type="auto" w:w="0"/>
        <w:jc w:val="center"/>
        <w:tblLayout w:type="autofit"/>
        <w:tblLook w:firstColumn="1" w:firstRow="1" w:lastColumn="0" w:lastRow="0" w:noHBand="0" w:noVBand="1" w:val="04A0"/>
        <w:bidiVisual w:val="1"/>
      </w:tblPr>
      <w:tblGrid>
        <w:gridCol w:w="2556"/>
        <w:gridCol w:w="2556"/>
        <w:gridCol w:w="2556"/>
        <w:gridCol w:w="2556"/>
      </w:tblGrid>
      <w:tr>
        <w:trPr>
          <w:tblHeader w:val="true"/>
        </w:trPr>
        <w:tc>
          <w:tcPr>
            <w:tcW w:type="dxa" w:w="2556"/>
            <w:shd w:fill="1F4E78"/>
          </w:tcPr>
          <w:p>
            <w:pPr>
              <w:jc w:val="right"/>
              <w:bidi w:val="1"/>
            </w:pPr>
            <w:r>
              <w:rPr>
                <w:rFonts w:ascii="Arial" w:hAnsi="Arial" w:cs="Arial" w:eastAsia="Arial"/>
                <w:b/>
                <w:color w:val="FFFFFF"/>
                <w:sz w:val="16"/>
                <w:rtl w:val="1"/>
              </w:rPr>
              <w:t>نوع المركز</w:t>
            </w:r>
          </w:p>
        </w:tc>
        <w:tc>
          <w:tcPr>
            <w:tcW w:type="dxa" w:w="2556"/>
            <w:shd w:fill="1F4E78"/>
          </w:tcPr>
          <w:p>
            <w:pPr>
              <w:jc w:val="right"/>
              <w:bidi w:val="1"/>
            </w:pPr>
            <w:r>
              <w:rPr>
                <w:rFonts w:ascii="Arial" w:hAnsi="Arial" w:cs="Arial" w:eastAsia="Arial"/>
                <w:b/>
                <w:color w:val="FFFFFF"/>
                <w:sz w:val="16"/>
                <w:rtl w:val="1"/>
              </w:rPr>
              <w:t>عدد المراكز</w:t>
            </w:r>
          </w:p>
        </w:tc>
        <w:tc>
          <w:tcPr>
            <w:tcW w:type="dxa" w:w="2556"/>
            <w:shd w:fill="1F4E78"/>
          </w:tcPr>
          <w:p>
            <w:pPr>
              <w:jc w:val="right"/>
              <w:bidi w:val="1"/>
            </w:pPr>
            <w:r>
              <w:rPr>
                <w:rFonts w:ascii="Arial" w:hAnsi="Arial" w:cs="Arial" w:eastAsia="Arial"/>
                <w:b/>
                <w:color w:val="FFFFFF"/>
                <w:sz w:val="16"/>
                <w:rtl w:val="1"/>
              </w:rPr>
              <w:t>الطلبات</w:t>
            </w:r>
          </w:p>
        </w:tc>
        <w:tc>
          <w:tcPr>
            <w:tcW w:type="dxa" w:w="2556"/>
            <w:shd w:fill="1F4E78"/>
          </w:tcPr>
          <w:p>
            <w:pPr>
              <w:jc w:val="right"/>
              <w:bidi w:val="1"/>
            </w:pPr>
            <w:r>
              <w:rPr>
                <w:rFonts w:ascii="Arial" w:hAnsi="Arial" w:cs="Arial" w:eastAsia="Arial"/>
                <w:b/>
                <w:color w:val="FFFFFF"/>
                <w:sz w:val="16"/>
                <w:rtl w:val="1"/>
              </w:rPr>
              <w:t>حصة الطلب</w:t>
            </w:r>
          </w:p>
        </w:tc>
      </w:tr>
      <w:tr>
        <w:tc>
          <w:tcPr>
            <w:tcW w:type="dxa" w:w="2556"/>
            <w:vAlign w:val="center"/>
          </w:tcPr>
          <w:p>
            <w:pPr>
              <w:jc w:val="right"/>
              <w:bidi w:val="1"/>
            </w:pPr>
            <w:r>
              <w:rPr>
                <w:rFonts w:ascii="Arial" w:hAnsi="Arial" w:cs="Arial" w:eastAsia="Arial"/>
                <w:b w:val="0"/>
                <w:sz w:val="16"/>
                <w:rtl w:val="1"/>
              </w:rPr>
              <w:t>TYPE_A</w:t>
            </w:r>
          </w:p>
        </w:tc>
        <w:tc>
          <w:tcPr>
            <w:tcW w:type="dxa" w:w="2556"/>
            <w:vAlign w:val="center"/>
          </w:tcPr>
          <w:p>
            <w:pPr>
              <w:jc w:val="right"/>
              <w:bidi w:val="1"/>
            </w:pPr>
            <w:r>
              <w:rPr>
                <w:rFonts w:ascii="Arial" w:hAnsi="Arial" w:cs="Arial" w:eastAsia="Arial"/>
                <w:b w:val="0"/>
                <w:sz w:val="16"/>
                <w:rtl w:val="1"/>
              </w:rPr>
              <w:t>43</w:t>
            </w:r>
          </w:p>
        </w:tc>
        <w:tc>
          <w:tcPr>
            <w:tcW w:type="dxa" w:w="2556"/>
            <w:vAlign w:val="center"/>
          </w:tcPr>
          <w:p>
            <w:pPr>
              <w:jc w:val="right"/>
              <w:bidi w:val="1"/>
            </w:pPr>
            <w:r>
              <w:rPr>
                <w:rFonts w:ascii="Arial" w:hAnsi="Arial" w:cs="Arial" w:eastAsia="Arial"/>
                <w:b w:val="0"/>
                <w:sz w:val="16"/>
                <w:rtl w:val="1"/>
              </w:rPr>
              <w:t>68,978,517</w:t>
            </w:r>
          </w:p>
        </w:tc>
        <w:tc>
          <w:tcPr>
            <w:tcW w:type="dxa" w:w="2556"/>
            <w:vAlign w:val="center"/>
          </w:tcPr>
          <w:p>
            <w:pPr>
              <w:jc w:val="right"/>
              <w:bidi w:val="1"/>
            </w:pPr>
            <w:r>
              <w:rPr>
                <w:rFonts w:ascii="Arial" w:hAnsi="Arial" w:cs="Arial" w:eastAsia="Arial"/>
                <w:b w:val="0"/>
                <w:sz w:val="16"/>
                <w:rtl w:val="1"/>
              </w:rPr>
              <w:t>57.69%</w:t>
            </w:r>
          </w:p>
        </w:tc>
      </w:tr>
      <w:tr>
        <w:tc>
          <w:tcPr>
            <w:tcW w:type="dxa" w:w="2556"/>
            <w:vAlign w:val="center"/>
          </w:tcPr>
          <w:p>
            <w:pPr>
              <w:jc w:val="right"/>
              <w:bidi w:val="1"/>
            </w:pPr>
            <w:r>
              <w:rPr>
                <w:rFonts w:ascii="Arial" w:hAnsi="Arial" w:cs="Arial" w:eastAsia="Arial"/>
                <w:b w:val="0"/>
                <w:sz w:val="16"/>
                <w:rtl w:val="1"/>
              </w:rPr>
              <w:t>TYPE_B</w:t>
            </w:r>
          </w:p>
        </w:tc>
        <w:tc>
          <w:tcPr>
            <w:tcW w:type="dxa" w:w="2556"/>
            <w:vAlign w:val="center"/>
          </w:tcPr>
          <w:p>
            <w:pPr>
              <w:jc w:val="right"/>
              <w:bidi w:val="1"/>
            </w:pPr>
            <w:r>
              <w:rPr>
                <w:rFonts w:ascii="Arial" w:hAnsi="Arial" w:cs="Arial" w:eastAsia="Arial"/>
                <w:b w:val="0"/>
                <w:sz w:val="16"/>
                <w:rtl w:val="1"/>
              </w:rPr>
              <w:t>15</w:t>
            </w:r>
          </w:p>
        </w:tc>
        <w:tc>
          <w:tcPr>
            <w:tcW w:type="dxa" w:w="2556"/>
            <w:vAlign w:val="center"/>
          </w:tcPr>
          <w:p>
            <w:pPr>
              <w:jc w:val="right"/>
              <w:bidi w:val="1"/>
            </w:pPr>
            <w:r>
              <w:rPr>
                <w:rFonts w:ascii="Arial" w:hAnsi="Arial" w:cs="Arial" w:eastAsia="Arial"/>
                <w:b w:val="0"/>
                <w:sz w:val="16"/>
                <w:rtl w:val="1"/>
              </w:rPr>
              <w:t>29,996,073</w:t>
            </w:r>
          </w:p>
        </w:tc>
        <w:tc>
          <w:tcPr>
            <w:tcW w:type="dxa" w:w="2556"/>
            <w:vAlign w:val="center"/>
          </w:tcPr>
          <w:p>
            <w:pPr>
              <w:jc w:val="right"/>
              <w:bidi w:val="1"/>
            </w:pPr>
            <w:r>
              <w:rPr>
                <w:rFonts w:ascii="Arial" w:hAnsi="Arial" w:cs="Arial" w:eastAsia="Arial"/>
                <w:b w:val="0"/>
                <w:sz w:val="16"/>
                <w:rtl w:val="1"/>
              </w:rPr>
              <w:t>25.09%</w:t>
            </w:r>
          </w:p>
        </w:tc>
      </w:tr>
      <w:tr>
        <w:tc>
          <w:tcPr>
            <w:tcW w:type="dxa" w:w="2556"/>
            <w:vAlign w:val="center"/>
          </w:tcPr>
          <w:p>
            <w:pPr>
              <w:jc w:val="right"/>
              <w:bidi w:val="1"/>
            </w:pPr>
            <w:r>
              <w:rPr>
                <w:rFonts w:ascii="Arial" w:hAnsi="Arial" w:cs="Arial" w:eastAsia="Arial"/>
                <w:b w:val="0"/>
                <w:sz w:val="16"/>
                <w:rtl w:val="1"/>
              </w:rPr>
              <w:t>TYPE_C</w:t>
            </w:r>
          </w:p>
        </w:tc>
        <w:tc>
          <w:tcPr>
            <w:tcW w:type="dxa" w:w="2556"/>
            <w:vAlign w:val="center"/>
          </w:tcPr>
          <w:p>
            <w:pPr>
              <w:jc w:val="right"/>
              <w:bidi w:val="1"/>
            </w:pPr>
            <w:r>
              <w:rPr>
                <w:rFonts w:ascii="Arial" w:hAnsi="Arial" w:cs="Arial" w:eastAsia="Arial"/>
                <w:b w:val="0"/>
                <w:sz w:val="16"/>
                <w:rtl w:val="1"/>
              </w:rPr>
              <w:t>19</w:t>
            </w:r>
          </w:p>
        </w:tc>
        <w:tc>
          <w:tcPr>
            <w:tcW w:type="dxa" w:w="2556"/>
            <w:vAlign w:val="center"/>
          </w:tcPr>
          <w:p>
            <w:pPr>
              <w:jc w:val="right"/>
              <w:bidi w:val="1"/>
            </w:pPr>
            <w:r>
              <w:rPr>
                <w:rFonts w:ascii="Arial" w:hAnsi="Arial" w:cs="Arial" w:eastAsia="Arial"/>
                <w:b w:val="0"/>
                <w:sz w:val="16"/>
                <w:rtl w:val="1"/>
              </w:rPr>
              <w:t>20,582,895</w:t>
            </w:r>
          </w:p>
        </w:tc>
        <w:tc>
          <w:tcPr>
            <w:tcW w:type="dxa" w:w="2556"/>
            <w:vAlign w:val="center"/>
          </w:tcPr>
          <w:p>
            <w:pPr>
              <w:jc w:val="right"/>
              <w:bidi w:val="1"/>
            </w:pPr>
            <w:r>
              <w:rPr>
                <w:rFonts w:ascii="Arial" w:hAnsi="Arial" w:cs="Arial" w:eastAsia="Arial"/>
                <w:b w:val="0"/>
                <w:sz w:val="16"/>
                <w:rtl w:val="1"/>
              </w:rPr>
              <w:t>17.22%</w:t>
            </w:r>
          </w:p>
        </w:tc>
      </w:tr>
    </w:tbl>
    <w:p>
      <w:pPr>
        <w:jc w:val="right"/>
        <w:bidi w:val="1"/>
      </w:pPr>
    </w:p>
    <w:p>
      <w:pPr>
        <w:jc w:val="right"/>
        <w:bidi w:val="1"/>
      </w:pPr>
      <w:r>
        <w:rPr>
          <w:rFonts w:ascii="Arial" w:hAnsi="Arial" w:cs="Arial" w:eastAsia="Arial"/>
          <w:b w:val="0"/>
          <w:sz w:val="20"/>
          <w:rtl w:val="1"/>
        </w:rPr>
        <w:t>تبلغ حصة TYPE_A ‏57.69% (43 مركزًا)، وTYPE_B ‏25.09% (15)، وTYPE_C ‏17.22% (19). المركز 13 الأعلى إجمالًا (4,296,545 عبر 145 أسبوعًا). لا تضبط الحصص لاختلاف أحجام المراكز أو مزيج الوجبات أو المساحة.</w:t>
      </w:r>
    </w:p>
    <w:p>
      <w:pPr>
        <w:jc w:val="center"/>
      </w:pPr>
      <w:r>
        <w:drawing>
          <wp:inline xmlns:a="http://schemas.openxmlformats.org/drawingml/2006/main" xmlns:pic="http://schemas.openxmlformats.org/drawingml/2006/picture">
            <wp:extent cx="5577840" cy="2324100"/>
            <wp:docPr id="4" name="Picture 4"/>
            <wp:cNvGraphicFramePr>
              <a:graphicFrameLocks noChangeAspect="1"/>
            </wp:cNvGraphicFramePr>
            <a:graphic>
              <a:graphicData uri="http://schemas.openxmlformats.org/drawingml/2006/picture">
                <pic:pic>
                  <pic:nvPicPr>
                    <pic:cNvPr id="0" name="center_type_performance.png"/>
                    <pic:cNvPicPr/>
                  </pic:nvPicPr>
                  <pic:blipFill>
                    <a:blip r:embed="rId14"/>
                    <a:stretch>
                      <a:fillRect/>
                    </a:stretch>
                  </pic:blipFill>
                  <pic:spPr>
                    <a:xfrm>
                      <a:off x="0" y="0"/>
                      <a:ext cx="5577840" cy="2324100"/>
                    </a:xfrm>
                    <a:prstGeom prst="rect"/>
                  </pic:spPr>
                </pic:pic>
              </a:graphicData>
            </a:graphic>
          </wp:inline>
        </w:drawing>
      </w:r>
    </w:p>
    <w:p>
      <w:pPr>
        <w:jc w:val="center"/>
        <w:bidi w:val="1"/>
      </w:pPr>
      <w:r>
        <w:rPr>
          <w:rFonts w:ascii="Arial" w:hAnsi="Arial" w:cs="Arial" w:eastAsia="Arial"/>
          <w:b w:val="0"/>
          <w:color w:val="595959"/>
          <w:sz w:val="18"/>
          <w:rtl w:val="1"/>
        </w:rPr>
        <w:t>إجمالي الطلب حسب نوع المركز؛ لا تمثل الحصة كفاءة معدلة.</w:t>
      </w:r>
    </w:p>
    <w:p>
      <w:pPr>
        <w:pStyle w:val="Heading2"/>
        <w:jc w:val="right"/>
        <w:bidi w:val="1"/>
      </w:pPr>
      <w:r>
        <w:rPr>
          <w:rFonts w:ascii="Arial" w:hAnsi="Arial" w:cs="Arial" w:eastAsia="Arial"/>
          <w:b/>
          <w:color w:val="1F4E79"/>
          <w:sz w:val="26"/>
          <w:rtl w:val="1"/>
        </w:rPr>
        <w:t>4.5 العروض الترويجية والأسعار</w:t>
      </w:r>
    </w:p>
    <w:tbl>
      <w:tblPr>
        <w:tblStyle w:val="TableGrid"/>
        <w:tblW w:type="auto" w:w="0"/>
        <w:jc w:val="center"/>
        <w:tblLayout w:type="autofit"/>
        <w:tblLook w:firstColumn="1" w:firstRow="1" w:lastColumn="0" w:lastRow="0" w:noHBand="0" w:noVBand="1" w:val="04A0"/>
        <w:bidiVisual w:val="1"/>
      </w:tblPr>
      <w:tblGrid>
        <w:gridCol w:w="1461"/>
        <w:gridCol w:w="1461"/>
        <w:gridCol w:w="1461"/>
        <w:gridCol w:w="1461"/>
        <w:gridCol w:w="1461"/>
        <w:gridCol w:w="1461"/>
        <w:gridCol w:w="1461"/>
      </w:tblGrid>
      <w:tr>
        <w:trPr>
          <w:tblHeader w:val="true"/>
        </w:trPr>
        <w:tc>
          <w:tcPr>
            <w:tcW w:type="dxa" w:w="1461"/>
            <w:shd w:fill="1F4E78"/>
          </w:tcPr>
          <w:p>
            <w:pPr>
              <w:jc w:val="right"/>
              <w:bidi w:val="1"/>
            </w:pPr>
            <w:r>
              <w:rPr>
                <w:rFonts w:ascii="Arial" w:hAnsi="Arial" w:cs="Arial" w:eastAsia="Arial"/>
                <w:b/>
                <w:color w:val="FFFFFF"/>
                <w:sz w:val="14"/>
                <w:rtl w:val="1"/>
              </w:rPr>
              <w:t>المؤشر</w:t>
            </w:r>
          </w:p>
        </w:tc>
        <w:tc>
          <w:tcPr>
            <w:tcW w:type="dxa" w:w="1461"/>
            <w:shd w:fill="1F4E78"/>
          </w:tcPr>
          <w:p>
            <w:pPr>
              <w:jc w:val="right"/>
              <w:bidi w:val="1"/>
            </w:pPr>
            <w:r>
              <w:rPr>
                <w:rFonts w:ascii="Arial" w:hAnsi="Arial" w:cs="Arial" w:eastAsia="Arial"/>
                <w:b/>
                <w:color w:val="FFFFFF"/>
                <w:sz w:val="14"/>
                <w:rtl w:val="1"/>
              </w:rPr>
              <w:t>أزواج مؤهلة</w:t>
            </w:r>
          </w:p>
        </w:tc>
        <w:tc>
          <w:tcPr>
            <w:tcW w:type="dxa" w:w="1461"/>
            <w:shd w:fill="1F4E78"/>
          </w:tcPr>
          <w:p>
            <w:pPr>
              <w:jc w:val="right"/>
              <w:bidi w:val="1"/>
            </w:pPr>
            <w:r>
              <w:rPr>
                <w:rFonts w:ascii="Arial" w:hAnsi="Arial" w:cs="Arial" w:eastAsia="Arial"/>
                <w:b/>
                <w:color w:val="FFFFFF"/>
                <w:sz w:val="14"/>
                <w:rtl w:val="1"/>
              </w:rPr>
              <w:t>صفوف لا/نعم</w:t>
            </w:r>
          </w:p>
        </w:tc>
        <w:tc>
          <w:tcPr>
            <w:tcW w:type="dxa" w:w="1461"/>
            <w:shd w:fill="1F4E78"/>
          </w:tcPr>
          <w:p>
            <w:pPr>
              <w:jc w:val="right"/>
              <w:bidi w:val="1"/>
            </w:pPr>
            <w:r>
              <w:rPr>
                <w:rFonts w:ascii="Arial" w:hAnsi="Arial" w:cs="Arial" w:eastAsia="Arial"/>
                <w:b/>
                <w:color w:val="FFFFFF"/>
                <w:sz w:val="14"/>
                <w:rtl w:val="1"/>
              </w:rPr>
              <w:t>متوسط لا/نعم</w:t>
            </w:r>
          </w:p>
        </w:tc>
        <w:tc>
          <w:tcPr>
            <w:tcW w:type="dxa" w:w="1461"/>
            <w:shd w:fill="1F4E78"/>
          </w:tcPr>
          <w:p>
            <w:pPr>
              <w:jc w:val="right"/>
              <w:bidi w:val="1"/>
            </w:pPr>
            <w:r>
              <w:rPr>
                <w:rFonts w:ascii="Arial" w:hAnsi="Arial" w:cs="Arial" w:eastAsia="Arial"/>
                <w:b/>
                <w:color w:val="FFFFFF"/>
                <w:sz w:val="14"/>
                <w:rtl w:val="1"/>
              </w:rPr>
              <w:t>U</w:t>
            </w:r>
          </w:p>
        </w:tc>
        <w:tc>
          <w:tcPr>
            <w:tcW w:type="dxa" w:w="1461"/>
            <w:shd w:fill="1F4E78"/>
          </w:tcPr>
          <w:p>
            <w:pPr>
              <w:jc w:val="right"/>
              <w:bidi w:val="1"/>
            </w:pPr>
            <w:r>
              <w:rPr>
                <w:rFonts w:ascii="Arial" w:hAnsi="Arial" w:cs="Arial" w:eastAsia="Arial"/>
                <w:b/>
                <w:color w:val="FFFFFF"/>
                <w:sz w:val="14"/>
                <w:rtl w:val="1"/>
              </w:rPr>
              <w:t>Cliff δ</w:t>
            </w:r>
          </w:p>
        </w:tc>
        <w:tc>
          <w:tcPr>
            <w:tcW w:type="dxa" w:w="1461"/>
            <w:shd w:fill="1F4E78"/>
          </w:tcPr>
          <w:p>
            <w:pPr>
              <w:jc w:val="right"/>
              <w:bidi w:val="1"/>
            </w:pPr>
            <w:r>
              <w:rPr>
                <w:rFonts w:ascii="Arial" w:hAnsi="Arial" w:cs="Arial" w:eastAsia="Arial"/>
                <w:b/>
                <w:color w:val="FFFFFF"/>
                <w:sz w:val="14"/>
                <w:rtl w:val="1"/>
              </w:rPr>
              <w:t>p</w:t>
            </w:r>
          </w:p>
        </w:tc>
      </w:tr>
      <w:tr>
        <w:tc>
          <w:tcPr>
            <w:tcW w:type="dxa" w:w="1461"/>
            <w:vAlign w:val="center"/>
          </w:tcPr>
          <w:p>
            <w:pPr>
              <w:jc w:val="right"/>
              <w:bidi w:val="1"/>
            </w:pPr>
            <w:r>
              <w:rPr>
                <w:rFonts w:ascii="Arial" w:hAnsi="Arial" w:cs="Arial" w:eastAsia="Arial"/>
                <w:b w:val="0"/>
                <w:sz w:val="14"/>
                <w:rtl w:val="1"/>
              </w:rPr>
              <w:t>البريد</w:t>
            </w:r>
          </w:p>
        </w:tc>
        <w:tc>
          <w:tcPr>
            <w:tcW w:type="dxa" w:w="1461"/>
            <w:vAlign w:val="center"/>
          </w:tcPr>
          <w:p>
            <w:pPr>
              <w:jc w:val="right"/>
              <w:bidi w:val="1"/>
            </w:pPr>
            <w:r>
              <w:rPr>
                <w:rFonts w:ascii="Arial" w:hAnsi="Arial" w:cs="Arial" w:eastAsia="Arial"/>
                <w:b w:val="0"/>
                <w:sz w:val="14"/>
                <w:rtl w:val="1"/>
              </w:rPr>
              <w:t>2,830</w:t>
            </w:r>
          </w:p>
        </w:tc>
        <w:tc>
          <w:tcPr>
            <w:tcW w:type="dxa" w:w="1461"/>
            <w:vAlign w:val="center"/>
          </w:tcPr>
          <w:p>
            <w:pPr>
              <w:jc w:val="right"/>
              <w:bidi w:val="1"/>
            </w:pPr>
            <w:r>
              <w:rPr>
                <w:rFonts w:ascii="Arial" w:hAnsi="Arial" w:cs="Arial" w:eastAsia="Arial"/>
                <w:b w:val="0"/>
                <w:sz w:val="14"/>
                <w:rtl w:val="1"/>
              </w:rPr>
              <w:t>338,694 / 37,050</w:t>
            </w:r>
          </w:p>
        </w:tc>
        <w:tc>
          <w:tcPr>
            <w:tcW w:type="dxa" w:w="1461"/>
            <w:vAlign w:val="center"/>
          </w:tcPr>
          <w:p>
            <w:pPr>
              <w:jc w:val="right"/>
              <w:bidi w:val="1"/>
            </w:pPr>
            <w:r>
              <w:rPr>
                <w:rFonts w:ascii="Arial" w:hAnsi="Arial" w:cs="Arial" w:eastAsia="Arial"/>
                <w:b w:val="0"/>
                <w:sz w:val="14"/>
                <w:rtl w:val="1"/>
              </w:rPr>
              <w:t>254.64 / 631.10</w:t>
            </w:r>
          </w:p>
        </w:tc>
        <w:tc>
          <w:tcPr>
            <w:tcW w:type="dxa" w:w="1461"/>
            <w:vAlign w:val="center"/>
          </w:tcPr>
          <w:p>
            <w:pPr>
              <w:jc w:val="right"/>
              <w:bidi w:val="1"/>
            </w:pPr>
            <w:r>
              <w:rPr>
                <w:rFonts w:ascii="Arial" w:hAnsi="Arial" w:cs="Arial" w:eastAsia="Arial"/>
                <w:b w:val="0"/>
                <w:sz w:val="14"/>
                <w:rtl w:val="1"/>
              </w:rPr>
              <w:t>8,740,582,324.5</w:t>
            </w:r>
          </w:p>
        </w:tc>
        <w:tc>
          <w:tcPr>
            <w:tcW w:type="dxa" w:w="1461"/>
            <w:vAlign w:val="center"/>
          </w:tcPr>
          <w:p>
            <w:pPr>
              <w:jc w:val="right"/>
              <w:bidi w:val="1"/>
            </w:pPr>
            <w:r>
              <w:rPr>
                <w:rFonts w:ascii="Arial" w:hAnsi="Arial" w:cs="Arial" w:eastAsia="Arial"/>
                <w:b w:val="0"/>
                <w:sz w:val="14"/>
                <w:rtl w:val="1"/>
              </w:rPr>
              <w:t>0.3931</w:t>
            </w:r>
          </w:p>
        </w:tc>
        <w:tc>
          <w:tcPr>
            <w:tcW w:type="dxa" w:w="1461"/>
            <w:vAlign w:val="center"/>
          </w:tcPr>
          <w:p>
            <w:pPr>
              <w:jc w:val="right"/>
              <w:bidi w:val="1"/>
            </w:pPr>
            <w:r>
              <w:rPr>
                <w:rFonts w:ascii="Arial" w:hAnsi="Arial" w:cs="Arial" w:eastAsia="Arial"/>
                <w:b w:val="0"/>
                <w:sz w:val="14"/>
                <w:rtl w:val="1"/>
              </w:rPr>
              <w:t>&lt;1e-300</w:t>
            </w:r>
          </w:p>
        </w:tc>
      </w:tr>
      <w:tr>
        <w:tc>
          <w:tcPr>
            <w:tcW w:type="dxa" w:w="1461"/>
            <w:vAlign w:val="center"/>
          </w:tcPr>
          <w:p>
            <w:pPr>
              <w:jc w:val="right"/>
              <w:bidi w:val="1"/>
            </w:pPr>
            <w:r>
              <w:rPr>
                <w:rFonts w:ascii="Arial" w:hAnsi="Arial" w:cs="Arial" w:eastAsia="Arial"/>
                <w:b w:val="0"/>
                <w:sz w:val="14"/>
                <w:rtl w:val="1"/>
              </w:rPr>
              <w:t>الظهور</w:t>
            </w:r>
          </w:p>
        </w:tc>
        <w:tc>
          <w:tcPr>
            <w:tcW w:type="dxa" w:w="1461"/>
            <w:vAlign w:val="center"/>
          </w:tcPr>
          <w:p>
            <w:pPr>
              <w:jc w:val="right"/>
              <w:bidi w:val="1"/>
            </w:pPr>
            <w:r>
              <w:rPr>
                <w:rFonts w:ascii="Arial" w:hAnsi="Arial" w:cs="Arial" w:eastAsia="Arial"/>
                <w:b w:val="0"/>
                <w:sz w:val="14"/>
                <w:rtl w:val="1"/>
              </w:rPr>
              <w:t>2,928</w:t>
            </w:r>
          </w:p>
        </w:tc>
        <w:tc>
          <w:tcPr>
            <w:tcW w:type="dxa" w:w="1461"/>
            <w:vAlign w:val="center"/>
          </w:tcPr>
          <w:p>
            <w:pPr>
              <w:jc w:val="right"/>
              <w:bidi w:val="1"/>
            </w:pPr>
            <w:r>
              <w:rPr>
                <w:rFonts w:ascii="Arial" w:hAnsi="Arial" w:cs="Arial" w:eastAsia="Arial"/>
                <w:b w:val="0"/>
                <w:sz w:val="14"/>
                <w:rtl w:val="1"/>
              </w:rPr>
              <w:t>338,548 / 49,855</w:t>
            </w:r>
          </w:p>
        </w:tc>
        <w:tc>
          <w:tcPr>
            <w:tcW w:type="dxa" w:w="1461"/>
            <w:vAlign w:val="center"/>
          </w:tcPr>
          <w:p>
            <w:pPr>
              <w:jc w:val="right"/>
              <w:bidi w:val="1"/>
            </w:pPr>
            <w:r>
              <w:rPr>
                <w:rFonts w:ascii="Arial" w:hAnsi="Arial" w:cs="Arial" w:eastAsia="Arial"/>
                <w:b w:val="0"/>
                <w:sz w:val="14"/>
                <w:rtl w:val="1"/>
              </w:rPr>
              <w:t>241.37 / 594.88</w:t>
            </w:r>
          </w:p>
        </w:tc>
        <w:tc>
          <w:tcPr>
            <w:tcW w:type="dxa" w:w="1461"/>
            <w:vAlign w:val="center"/>
          </w:tcPr>
          <w:p>
            <w:pPr>
              <w:jc w:val="right"/>
              <w:bidi w:val="1"/>
            </w:pPr>
            <w:r>
              <w:rPr>
                <w:rFonts w:ascii="Arial" w:hAnsi="Arial" w:cs="Arial" w:eastAsia="Arial"/>
                <w:b w:val="0"/>
                <w:sz w:val="14"/>
                <w:rtl w:val="1"/>
              </w:rPr>
              <w:t>11,694,179,707.5</w:t>
            </w:r>
          </w:p>
        </w:tc>
        <w:tc>
          <w:tcPr>
            <w:tcW w:type="dxa" w:w="1461"/>
            <w:vAlign w:val="center"/>
          </w:tcPr>
          <w:p>
            <w:pPr>
              <w:jc w:val="right"/>
              <w:bidi w:val="1"/>
            </w:pPr>
            <w:r>
              <w:rPr>
                <w:rFonts w:ascii="Arial" w:hAnsi="Arial" w:cs="Arial" w:eastAsia="Arial"/>
                <w:b w:val="0"/>
                <w:sz w:val="14"/>
                <w:rtl w:val="1"/>
              </w:rPr>
              <w:t>0.3857</w:t>
            </w:r>
          </w:p>
        </w:tc>
        <w:tc>
          <w:tcPr>
            <w:tcW w:type="dxa" w:w="1461"/>
            <w:vAlign w:val="center"/>
          </w:tcPr>
          <w:p>
            <w:pPr>
              <w:jc w:val="right"/>
              <w:bidi w:val="1"/>
            </w:pPr>
            <w:r>
              <w:rPr>
                <w:rFonts w:ascii="Arial" w:hAnsi="Arial" w:cs="Arial" w:eastAsia="Arial"/>
                <w:b w:val="0"/>
                <w:sz w:val="14"/>
                <w:rtl w:val="1"/>
              </w:rPr>
              <w:t>&lt;1e-300</w:t>
            </w:r>
          </w:p>
        </w:tc>
      </w:tr>
    </w:tbl>
    <w:p>
      <w:pPr>
        <w:jc w:val="right"/>
        <w:bidi w:val="1"/>
      </w:pPr>
    </w:p>
    <w:p>
      <w:pPr>
        <w:jc w:val="right"/>
        <w:bidi w:val="1"/>
      </w:pPr>
      <w:r>
        <w:rPr>
          <w:rFonts w:ascii="Arial" w:hAnsi="Arial" w:cs="Arial" w:eastAsia="Arial"/>
          <w:b w:val="0"/>
          <w:sz w:val="20"/>
          <w:rtl w:val="1"/>
        </w:rPr>
        <w:t>على أزواج الوجبة-المركز التي ظهرت في الحالتين، كان فرق المتوسط الوصفي للبريد +147.84% وللظهور +146.46%. استُخدم اختبار Mann–Whitney U ثنائي الطرف وتقريب تقاربي؛ القيم الاسمية والمصححة بـHolm أقل من 1e-300 (القيمة الدقيقة تتجاوز دقة float). لا تتوفر فواصل ثقة. تكرار المشاهدات للأزواج ذاتها يخالف استقلال الاختبار التقليدي، لذا النتائج استكشافية ولا تُعامل كدليل استدلالي أو سببي. Cliff δ يصف فرق التوزيعين المرصودين ولا يعالج هذا القيد.</w:t>
      </w:r>
    </w:p>
    <w:p>
      <w:pPr>
        <w:jc w:val="center"/>
      </w:pPr>
      <w:r>
        <w:drawing>
          <wp:inline xmlns:a="http://schemas.openxmlformats.org/drawingml/2006/main" xmlns:pic="http://schemas.openxmlformats.org/drawingml/2006/picture">
            <wp:extent cx="5577840" cy="3582065"/>
            <wp:docPr id="5" name="Picture 5"/>
            <wp:cNvGraphicFramePr>
              <a:graphicFrameLocks noChangeAspect="1"/>
            </wp:cNvGraphicFramePr>
            <a:graphic>
              <a:graphicData uri="http://schemas.openxmlformats.org/drawingml/2006/picture">
                <pic:pic>
                  <pic:nvPicPr>
                    <pic:cNvPr id="0" name="promotion_order_distribution.png"/>
                    <pic:cNvPicPr/>
                  </pic:nvPicPr>
                  <pic:blipFill>
                    <a:blip r:embed="rId15"/>
                    <a:stretch>
                      <a:fillRect/>
                    </a:stretch>
                  </pic:blipFill>
                  <pic:spPr>
                    <a:xfrm>
                      <a:off x="0" y="0"/>
                      <a:ext cx="5577840" cy="3582065"/>
                    </a:xfrm>
                    <a:prstGeom prst="rect"/>
                  </pic:spPr>
                </pic:pic>
              </a:graphicData>
            </a:graphic>
          </wp:inline>
        </w:drawing>
      </w:r>
    </w:p>
    <w:p>
      <w:pPr>
        <w:jc w:val="center"/>
        <w:bidi w:val="1"/>
      </w:pPr>
      <w:r>
        <w:rPr>
          <w:rFonts w:ascii="Arial" w:hAnsi="Arial" w:cs="Arial" w:eastAsia="Arial"/>
          <w:b w:val="0"/>
          <w:color w:val="595959"/>
          <w:sz w:val="18"/>
          <w:rtl w:val="1"/>
        </w:rPr>
        <w:t>توزيع الطلب مع مؤشرات الترويج والظهور؛ ارتباط وصفي، ومقياس الرسم لوغاريتمي.</w:t>
      </w:r>
    </w:p>
    <w:p>
      <w:pPr>
        <w:jc w:val="right"/>
        <w:bidi w:val="1"/>
      </w:pPr>
      <w:r>
        <w:rPr>
          <w:rFonts w:ascii="Arial" w:hAnsi="Arial" w:cs="Arial" w:eastAsia="Arial"/>
          <w:b w:val="0"/>
          <w:sz w:val="20"/>
          <w:rtl w:val="1"/>
        </w:rPr>
        <w:t>ارتباط Spearman بين معدل الخصم الموقع والطلبات على 456,548 صفًا: ρ=0.1218، ارتباط موجب ضعيف؛ p&lt;1e-300 عند دقة الحساب المتاحة. صغر p لا يعني قوة أو سببية.</w:t>
      </w:r>
    </w:p>
    <w:p>
      <w:pPr>
        <w:jc w:val="center"/>
      </w:pPr>
      <w:r>
        <w:drawing>
          <wp:inline xmlns:a="http://schemas.openxmlformats.org/drawingml/2006/main" xmlns:pic="http://schemas.openxmlformats.org/drawingml/2006/picture">
            <wp:extent cx="5577840" cy="3689581"/>
            <wp:docPr id="6" name="Picture 6"/>
            <wp:cNvGraphicFramePr>
              <a:graphicFrameLocks noChangeAspect="1"/>
            </wp:cNvGraphicFramePr>
            <a:graphic>
              <a:graphicData uri="http://schemas.openxmlformats.org/drawingml/2006/picture">
                <pic:pic>
                  <pic:nvPicPr>
                    <pic:cNvPr id="0" name="discount_vs_demand.png"/>
                    <pic:cNvPicPr/>
                  </pic:nvPicPr>
                  <pic:blipFill>
                    <a:blip r:embed="rId16"/>
                    <a:stretch>
                      <a:fillRect/>
                    </a:stretch>
                  </pic:blipFill>
                  <pic:spPr>
                    <a:xfrm>
                      <a:off x="0" y="0"/>
                      <a:ext cx="5577840" cy="3689581"/>
                    </a:xfrm>
                    <a:prstGeom prst="rect"/>
                  </pic:spPr>
                </pic:pic>
              </a:graphicData>
            </a:graphic>
          </wp:inline>
        </w:drawing>
      </w:r>
    </w:p>
    <w:p>
      <w:pPr>
        <w:jc w:val="center"/>
        <w:bidi w:val="1"/>
      </w:pPr>
      <w:r>
        <w:rPr>
          <w:rFonts w:ascii="Arial" w:hAnsi="Arial" w:cs="Arial" w:eastAsia="Arial"/>
          <w:b w:val="0"/>
          <w:color w:val="595959"/>
          <w:sz w:val="18"/>
          <w:rtl w:val="1"/>
        </w:rPr>
        <w:t>الارتباط بين معدل الخصم الموقع والطلبات؛ لا يثبت أثرًا سببيًا.</w:t>
      </w:r>
    </w:p>
    <w:p>
      <w:pPr>
        <w:pStyle w:val="Heading1"/>
        <w:jc w:val="right"/>
        <w:bidi w:val="1"/>
      </w:pPr>
      <w:r>
        <w:rPr>
          <w:rFonts w:ascii="Arial" w:hAnsi="Arial" w:cs="Arial" w:eastAsia="Arial"/>
          <w:b/>
          <w:color w:val="1F4E79"/>
          <w:sz w:val="32"/>
          <w:rtl w:val="1"/>
        </w:rPr>
        <w:t>5. تحليل التعلم الآلي والتنبؤ</w:t>
      </w:r>
    </w:p>
    <w:p>
      <w:pPr>
        <w:pStyle w:val="Heading2"/>
        <w:jc w:val="right"/>
        <w:bidi w:val="1"/>
      </w:pPr>
      <w:r>
        <w:rPr>
          <w:rFonts w:ascii="Arial" w:hAnsi="Arial" w:cs="Arial" w:eastAsia="Arial"/>
          <w:b/>
          <w:color w:val="1F4E79"/>
          <w:sz w:val="26"/>
          <w:rtl w:val="1"/>
        </w:rPr>
        <w:t>5.1 هدف النموذج وخصائصه</w:t>
      </w:r>
    </w:p>
    <w:p>
      <w:pPr>
        <w:jc w:val="right"/>
        <w:bidi w:val="1"/>
      </w:pPr>
      <w:r>
        <w:rPr>
          <w:rFonts w:ascii="Arial" w:hAnsi="Arial" w:cs="Arial" w:eastAsia="Arial"/>
          <w:b w:val="0"/>
          <w:sz w:val="20"/>
          <w:rtl w:val="1"/>
        </w:rPr>
        <w:t>الهدف الصفي تقدير num_orders لكل سجل test.csv، بحسب الأسبوع وmeal_id وcenter_id. استُخدمت الأسبوع، السعرين، مؤشرا الترويج والظهور، معرفات الوجبة والمركز، الفئة والمطبخ ورموز المركز ونوعه ومساحة التشغيل. رُمزت الفئات one-hot واستُبعد id؛ ولا تستخدم النماذج طلب الأسبوع السابق كميزة. يتعلم Linear Regression أوزانًا خطية، بينما يبني Random Forest مجموعة أشجار تلتقط أنماطًا غير خطية.</w:t>
      </w:r>
    </w:p>
    <w:p>
      <w:pPr>
        <w:pStyle w:val="Heading2"/>
        <w:jc w:val="right"/>
        <w:bidi w:val="1"/>
      </w:pPr>
      <w:r>
        <w:rPr>
          <w:rFonts w:ascii="Arial" w:hAnsi="Arial" w:cs="Arial" w:eastAsia="Arial"/>
          <w:b/>
          <w:color w:val="1F4E79"/>
          <w:sz w:val="26"/>
          <w:rtl w:val="1"/>
        </w:rPr>
        <w:t>5.2 التحقق الزمني والنتائج</w:t>
      </w:r>
    </w:p>
    <w:p>
      <w:pPr>
        <w:jc w:val="right"/>
        <w:bidi w:val="1"/>
      </w:pPr>
      <w:r>
        <w:rPr>
          <w:rFonts w:ascii="Arial" w:hAnsi="Arial" w:cs="Arial" w:eastAsia="Arial"/>
          <w:b w:val="0"/>
          <w:sz w:val="20"/>
          <w:rtl w:val="1"/>
        </w:rPr>
        <w:t>دُربت النماذج على الأسابيع 1–135 (423,727 صفًا) واختُبرت على الأسابيع 136–145 (32,821 صفًا). توفرت مشاهدة أسبوع سابق للوجبة-المركز نفسها لـ31,245 صفًا؛ واستُبعدت 1,576 صفًا بلا مشاهدة سابقة من كل الطرق لضمان مقارنة الصفوف نفسها. خط الأسبوع السابق مرجع متحرك خطوة واحدة: بعد تحقق أسبوع، يستخدم الطلب الفعلي منه لتوقع الأسبوع التالي إن توفر.</w:t>
      </w:r>
    </w:p>
    <w:tbl>
      <w:tblPr>
        <w:tblStyle w:val="TableGrid"/>
        <w:tblW w:type="auto" w:w="0"/>
        <w:jc w:val="center"/>
        <w:tblLayout w:type="autofit"/>
        <w:tblLook w:firstColumn="1" w:firstRow="1" w:lastColumn="0" w:lastRow="0" w:noHBand="0" w:noVBand="1" w:val="04A0"/>
        <w:bidiVisual w:val="1"/>
      </w:tblPr>
      <w:tblGrid>
        <w:gridCol w:w="2556"/>
        <w:gridCol w:w="2556"/>
        <w:gridCol w:w="2556"/>
        <w:gridCol w:w="2556"/>
      </w:tblGrid>
      <w:tr>
        <w:trPr>
          <w:tblHeader w:val="true"/>
        </w:trPr>
        <w:tc>
          <w:tcPr>
            <w:tcW w:type="dxa" w:w="2556"/>
            <w:shd w:fill="1F4E78"/>
          </w:tcPr>
          <w:p>
            <w:pPr>
              <w:jc w:val="right"/>
              <w:bidi w:val="1"/>
            </w:pPr>
            <w:r>
              <w:rPr>
                <w:rFonts w:ascii="Arial" w:hAnsi="Arial" w:cs="Arial" w:eastAsia="Arial"/>
                <w:b/>
                <w:color w:val="FFFFFF"/>
                <w:sz w:val="16"/>
                <w:rtl w:val="1"/>
              </w:rPr>
              <w:t>الطريقة</w:t>
            </w:r>
          </w:p>
        </w:tc>
        <w:tc>
          <w:tcPr>
            <w:tcW w:type="dxa" w:w="2556"/>
            <w:shd w:fill="1F4E78"/>
          </w:tcPr>
          <w:p>
            <w:pPr>
              <w:jc w:val="right"/>
              <w:bidi w:val="1"/>
            </w:pPr>
            <w:r>
              <w:rPr>
                <w:rFonts w:ascii="Arial" w:hAnsi="Arial" w:cs="Arial" w:eastAsia="Arial"/>
                <w:b/>
                <w:color w:val="FFFFFF"/>
                <w:sz w:val="16"/>
                <w:rtl w:val="1"/>
              </w:rPr>
              <w:t>MAE طلب/صف</w:t>
            </w:r>
          </w:p>
        </w:tc>
        <w:tc>
          <w:tcPr>
            <w:tcW w:type="dxa" w:w="2556"/>
            <w:shd w:fill="1F4E78"/>
          </w:tcPr>
          <w:p>
            <w:pPr>
              <w:jc w:val="right"/>
              <w:bidi w:val="1"/>
            </w:pPr>
            <w:r>
              <w:rPr>
                <w:rFonts w:ascii="Arial" w:hAnsi="Arial" w:cs="Arial" w:eastAsia="Arial"/>
                <w:b/>
                <w:color w:val="FFFFFF"/>
                <w:sz w:val="16"/>
                <w:rtl w:val="1"/>
              </w:rPr>
              <w:t>عدد الصفوف</w:t>
            </w:r>
          </w:p>
        </w:tc>
        <w:tc>
          <w:tcPr>
            <w:tcW w:type="dxa" w:w="2556"/>
            <w:shd w:fill="1F4E78"/>
          </w:tcPr>
          <w:p>
            <w:pPr>
              <w:jc w:val="right"/>
              <w:bidi w:val="1"/>
            </w:pPr>
            <w:r>
              <w:rPr>
                <w:rFonts w:ascii="Arial" w:hAnsi="Arial" w:cs="Arial" w:eastAsia="Arial"/>
                <w:b/>
                <w:color w:val="FFFFFF"/>
                <w:sz w:val="16"/>
                <w:rtl w:val="1"/>
              </w:rPr>
              <w:t>التفسير</w:t>
            </w:r>
          </w:p>
        </w:tc>
      </w:tr>
      <w:tr>
        <w:tc>
          <w:tcPr>
            <w:tcW w:type="dxa" w:w="2556"/>
            <w:vAlign w:val="center"/>
          </w:tcPr>
          <w:p>
            <w:pPr>
              <w:jc w:val="right"/>
              <w:bidi w:val="1"/>
            </w:pPr>
            <w:r>
              <w:rPr>
                <w:rFonts w:ascii="Arial" w:hAnsi="Arial" w:cs="Arial" w:eastAsia="Arial"/>
                <w:b w:val="0"/>
                <w:sz w:val="16"/>
                <w:rtl w:val="1"/>
              </w:rPr>
              <w:t>خط الأسبوع السابق</w:t>
            </w:r>
          </w:p>
        </w:tc>
        <w:tc>
          <w:tcPr>
            <w:tcW w:type="dxa" w:w="2556"/>
            <w:vAlign w:val="center"/>
          </w:tcPr>
          <w:p>
            <w:pPr>
              <w:jc w:val="right"/>
              <w:bidi w:val="1"/>
            </w:pPr>
            <w:r>
              <w:rPr>
                <w:rFonts w:ascii="Arial" w:hAnsi="Arial" w:cs="Arial" w:eastAsia="Arial"/>
                <w:b w:val="0"/>
                <w:sz w:val="16"/>
                <w:rtl w:val="1"/>
              </w:rPr>
              <w:t>81.78</w:t>
            </w:r>
          </w:p>
        </w:tc>
        <w:tc>
          <w:tcPr>
            <w:tcW w:type="dxa" w:w="2556"/>
            <w:vAlign w:val="center"/>
          </w:tcPr>
          <w:p>
            <w:pPr>
              <w:jc w:val="right"/>
              <w:bidi w:val="1"/>
            </w:pPr>
            <w:r>
              <w:rPr>
                <w:rFonts w:ascii="Arial" w:hAnsi="Arial" w:cs="Arial" w:eastAsia="Arial"/>
                <w:b w:val="0"/>
                <w:sz w:val="16"/>
                <w:rtl w:val="1"/>
              </w:rPr>
              <w:t>31,245</w:t>
            </w:r>
          </w:p>
        </w:tc>
        <w:tc>
          <w:tcPr>
            <w:tcW w:type="dxa" w:w="2556"/>
            <w:vAlign w:val="center"/>
          </w:tcPr>
          <w:p>
            <w:pPr>
              <w:jc w:val="right"/>
              <w:bidi w:val="1"/>
            </w:pPr>
            <w:r>
              <w:rPr>
                <w:rFonts w:ascii="Arial" w:hAnsi="Arial" w:cs="Arial" w:eastAsia="Arial"/>
                <w:b w:val="0"/>
                <w:sz w:val="16"/>
                <w:rtl w:val="1"/>
              </w:rPr>
              <w:t>الأفضل إجمالًا؛ يستخدم طلب الأسبوع السابق للزوج نفسه.</w:t>
            </w:r>
          </w:p>
        </w:tc>
      </w:tr>
      <w:tr>
        <w:tc>
          <w:tcPr>
            <w:tcW w:type="dxa" w:w="2556"/>
            <w:vAlign w:val="center"/>
          </w:tcPr>
          <w:p>
            <w:pPr>
              <w:jc w:val="right"/>
              <w:bidi w:val="1"/>
            </w:pPr>
            <w:r>
              <w:rPr>
                <w:rFonts w:ascii="Arial" w:hAnsi="Arial" w:cs="Arial" w:eastAsia="Arial"/>
                <w:b w:val="0"/>
                <w:sz w:val="16"/>
                <w:rtl w:val="1"/>
              </w:rPr>
              <w:t>Linear Regression</w:t>
            </w:r>
          </w:p>
        </w:tc>
        <w:tc>
          <w:tcPr>
            <w:tcW w:type="dxa" w:w="2556"/>
            <w:vAlign w:val="center"/>
          </w:tcPr>
          <w:p>
            <w:pPr>
              <w:jc w:val="right"/>
              <w:bidi w:val="1"/>
            </w:pPr>
            <w:r>
              <w:rPr>
                <w:rFonts w:ascii="Arial" w:hAnsi="Arial" w:cs="Arial" w:eastAsia="Arial"/>
                <w:b w:val="0"/>
                <w:sz w:val="16"/>
                <w:rtl w:val="1"/>
              </w:rPr>
              <w:t>126.57</w:t>
            </w:r>
          </w:p>
        </w:tc>
        <w:tc>
          <w:tcPr>
            <w:tcW w:type="dxa" w:w="2556"/>
            <w:vAlign w:val="center"/>
          </w:tcPr>
          <w:p>
            <w:pPr>
              <w:jc w:val="right"/>
              <w:bidi w:val="1"/>
            </w:pPr>
            <w:r>
              <w:rPr>
                <w:rFonts w:ascii="Arial" w:hAnsi="Arial" w:cs="Arial" w:eastAsia="Arial"/>
                <w:b w:val="0"/>
                <w:sz w:val="16"/>
                <w:rtl w:val="1"/>
              </w:rPr>
              <w:t>31,245</w:t>
            </w:r>
          </w:p>
        </w:tc>
        <w:tc>
          <w:tcPr>
            <w:tcW w:type="dxa" w:w="2556"/>
            <w:vAlign w:val="center"/>
          </w:tcPr>
          <w:p>
            <w:pPr>
              <w:jc w:val="right"/>
              <w:bidi w:val="1"/>
            </w:pPr>
            <w:r>
              <w:rPr>
                <w:rFonts w:ascii="Arial" w:hAnsi="Arial" w:cs="Arial" w:eastAsia="Arial"/>
                <w:b w:val="0"/>
                <w:sz w:val="16"/>
                <w:rtl w:val="1"/>
              </w:rPr>
              <w:t>أعلى MAE في هذه المقارنة.</w:t>
            </w:r>
          </w:p>
        </w:tc>
      </w:tr>
      <w:tr>
        <w:tc>
          <w:tcPr>
            <w:tcW w:type="dxa" w:w="2556"/>
            <w:vAlign w:val="center"/>
          </w:tcPr>
          <w:p>
            <w:pPr>
              <w:jc w:val="right"/>
              <w:bidi w:val="1"/>
            </w:pPr>
            <w:r>
              <w:rPr>
                <w:rFonts w:ascii="Arial" w:hAnsi="Arial" w:cs="Arial" w:eastAsia="Arial"/>
                <w:b w:val="0"/>
                <w:sz w:val="16"/>
                <w:rtl w:val="1"/>
              </w:rPr>
              <w:t>Random Forest</w:t>
            </w:r>
          </w:p>
        </w:tc>
        <w:tc>
          <w:tcPr>
            <w:tcW w:type="dxa" w:w="2556"/>
            <w:vAlign w:val="center"/>
          </w:tcPr>
          <w:p>
            <w:pPr>
              <w:jc w:val="right"/>
              <w:bidi w:val="1"/>
            </w:pPr>
            <w:r>
              <w:rPr>
                <w:rFonts w:ascii="Arial" w:hAnsi="Arial" w:cs="Arial" w:eastAsia="Arial"/>
                <w:b w:val="0"/>
                <w:sz w:val="16"/>
                <w:rtl w:val="1"/>
              </w:rPr>
              <w:t>89.51</w:t>
            </w:r>
          </w:p>
        </w:tc>
        <w:tc>
          <w:tcPr>
            <w:tcW w:type="dxa" w:w="2556"/>
            <w:vAlign w:val="center"/>
          </w:tcPr>
          <w:p>
            <w:pPr>
              <w:jc w:val="right"/>
              <w:bidi w:val="1"/>
            </w:pPr>
            <w:r>
              <w:rPr>
                <w:rFonts w:ascii="Arial" w:hAnsi="Arial" w:cs="Arial" w:eastAsia="Arial"/>
                <w:b w:val="0"/>
                <w:sz w:val="16"/>
                <w:rtl w:val="1"/>
              </w:rPr>
              <w:t>31,245</w:t>
            </w:r>
          </w:p>
        </w:tc>
        <w:tc>
          <w:tcPr>
            <w:tcW w:type="dxa" w:w="2556"/>
            <w:vAlign w:val="center"/>
          </w:tcPr>
          <w:p>
            <w:pPr>
              <w:jc w:val="right"/>
              <w:bidi w:val="1"/>
            </w:pPr>
            <w:r>
              <w:rPr>
                <w:rFonts w:ascii="Arial" w:hAnsi="Arial" w:cs="Arial" w:eastAsia="Arial"/>
                <w:b w:val="0"/>
                <w:sz w:val="16"/>
                <w:rtl w:val="1"/>
              </w:rPr>
              <w:t>أفضل نموذج متعلم؛ لكنه لم يتفوق على خط الأساس.</w:t>
            </w:r>
          </w:p>
        </w:tc>
      </w:tr>
    </w:tbl>
    <w:p>
      <w:pPr>
        <w:jc w:val="right"/>
        <w:bidi w:val="1"/>
      </w:pPr>
    </w:p>
    <w:p>
      <w:pPr>
        <w:jc w:val="right"/>
        <w:bidi w:val="1"/>
      </w:pPr>
      <w:r>
        <w:rPr>
          <w:rFonts w:ascii="Arial" w:hAnsi="Arial" w:cs="Arial" w:eastAsia="Arial"/>
          <w:b w:val="0"/>
          <w:sz w:val="20"/>
          <w:rtl w:val="1"/>
        </w:rPr>
        <w:t>MAE متوسط القيمة المطلقة للفارق بين التوقع والفعلي بوحدة الطلب لكل صف؛ الأصغر أفضل. فاز خط الأساس (81.78)، بينما كان Random Forest أفضل نموذج تعلم آلي (89.51) من Linear Regression (126.57). الخط البسيط يعتمد على الطلب الفعلي السابق، ومعلوماته تختلف عن ميزات النماذج. لذا لم يثبت هذا التحقق قيمة إضافية لـRF على خط الأساس الصفي.</w:t>
      </w:r>
    </w:p>
    <w:p>
      <w:pPr>
        <w:jc w:val="center"/>
      </w:pPr>
      <w:r>
        <w:drawing>
          <wp:inline xmlns:a="http://schemas.openxmlformats.org/drawingml/2006/main" xmlns:pic="http://schemas.openxmlformats.org/drawingml/2006/picture">
            <wp:extent cx="5577840" cy="3346704"/>
            <wp:docPr id="7" name="Picture 7"/>
            <wp:cNvGraphicFramePr>
              <a:graphicFrameLocks noChangeAspect="1"/>
            </wp:cNvGraphicFramePr>
            <a:graphic>
              <a:graphicData uri="http://schemas.openxmlformats.org/drawingml/2006/picture">
                <pic:pic>
                  <pic:nvPicPr>
                    <pic:cNvPr id="0" name="meal_center_validation_mae.png"/>
                    <pic:cNvPicPr/>
                  </pic:nvPicPr>
                  <pic:blipFill>
                    <a:blip r:embed="rId17"/>
                    <a:stretch>
                      <a:fillRect/>
                    </a:stretch>
                  </pic:blipFill>
                  <pic:spPr>
                    <a:xfrm>
                      <a:off x="0" y="0"/>
                      <a:ext cx="5577840" cy="3346704"/>
                    </a:xfrm>
                    <a:prstGeom prst="rect"/>
                  </pic:spPr>
                </pic:pic>
              </a:graphicData>
            </a:graphic>
          </wp:inline>
        </w:drawing>
      </w:r>
    </w:p>
    <w:p>
      <w:pPr>
        <w:jc w:val="center"/>
        <w:bidi w:val="1"/>
      </w:pPr>
      <w:r>
        <w:rPr>
          <w:rFonts w:ascii="Arial" w:hAnsi="Arial" w:cs="Arial" w:eastAsia="Arial"/>
          <w:b w:val="0"/>
          <w:color w:val="595959"/>
          <w:sz w:val="18"/>
          <w:rtl w:val="1"/>
        </w:rPr>
        <w:t>مقارنة MAE على الصفوف المشتركة في فترة التحقق؛ لا تعرض قيم الاختبار النهائية.</w:t>
      </w:r>
    </w:p>
    <w:p>
      <w:pPr>
        <w:jc w:val="center"/>
      </w:pPr>
      <w:r>
        <w:drawing>
          <wp:inline xmlns:a="http://schemas.openxmlformats.org/drawingml/2006/main" xmlns:pic="http://schemas.openxmlformats.org/drawingml/2006/picture">
            <wp:extent cx="5303520" cy="5303520"/>
            <wp:docPr id="8" name="Picture 8"/>
            <wp:cNvGraphicFramePr>
              <a:graphicFrameLocks noChangeAspect="1"/>
            </wp:cNvGraphicFramePr>
            <a:graphic>
              <a:graphicData uri="http://schemas.openxmlformats.org/drawingml/2006/picture">
                <pic:pic>
                  <pic:nvPicPr>
                    <pic:cNvPr id="0" name="forecast_validation_actual_vs_predicted.png"/>
                    <pic:cNvPicPr/>
                  </pic:nvPicPr>
                  <pic:blipFill>
                    <a:blip r:embed="rId18"/>
                    <a:stretch>
                      <a:fillRect/>
                    </a:stretch>
                  </pic:blipFill>
                  <pic:spPr>
                    <a:xfrm>
                      <a:off x="0" y="0"/>
                      <a:ext cx="5303520" cy="5303520"/>
                    </a:xfrm>
                    <a:prstGeom prst="rect"/>
                  </pic:spPr>
                </pic:pic>
              </a:graphicData>
            </a:graphic>
          </wp:inline>
        </w:drawing>
      </w:r>
    </w:p>
    <w:p>
      <w:pPr>
        <w:jc w:val="center"/>
        <w:bidi w:val="1"/>
      </w:pPr>
      <w:r>
        <w:rPr>
          <w:rFonts w:ascii="Arial" w:hAnsi="Arial" w:cs="Arial" w:eastAsia="Arial"/>
          <w:b w:val="0"/>
          <w:color w:val="595959"/>
          <w:sz w:val="18"/>
          <w:rtl w:val="1"/>
        </w:rPr>
        <w:t>القيم الفعلية والمتوقعة لصفوف التحقق باستخدام Random Forest؛ الخط القطري توافق تام.</w:t>
      </w:r>
    </w:p>
    <w:p>
      <w:pPr>
        <w:pStyle w:val="Heading2"/>
        <w:jc w:val="right"/>
        <w:bidi w:val="1"/>
      </w:pPr>
      <w:r>
        <w:rPr>
          <w:rFonts w:ascii="Arial" w:hAnsi="Arial" w:cs="Arial" w:eastAsia="Arial"/>
          <w:b/>
          <w:color w:val="1F4E79"/>
          <w:sz w:val="26"/>
          <w:rtl w:val="1"/>
        </w:rPr>
        <w:t>5.3 نموذج مستقل لإجمالي الأسبوع</w:t>
      </w:r>
    </w:p>
    <w:p>
      <w:pPr>
        <w:jc w:val="right"/>
        <w:bidi w:val="1"/>
      </w:pPr>
      <w:r>
        <w:rPr>
          <w:rFonts w:ascii="Arial" w:hAnsi="Arial" w:cs="Arial" w:eastAsia="Arial"/>
          <w:b w:val="0"/>
          <w:sz w:val="20"/>
          <w:rtl w:val="1"/>
        </w:rPr>
        <w:t>يوجد أيضًا سير عمل مختلف يتنبأ بإجمالي الطلب في الأسبوع؛ حُجزت الأسابيع 136–145، ثم جُمعت التوقعات الصفية لكل أسبوع. وحدة MAE هنا طلب/أسبوع، فلا تقارن مباشرة بجدول MAE الصفي.</w:t>
      </w:r>
    </w:p>
    <w:tbl>
      <w:tblPr>
        <w:tblStyle w:val="TableGrid"/>
        <w:tblW w:type="auto" w:w="0"/>
        <w:jc w:val="center"/>
        <w:tblLayout w:type="autofit"/>
        <w:tblLook w:firstColumn="1" w:firstRow="1" w:lastColumn="0" w:lastRow="0" w:noHBand="0" w:noVBand="1" w:val="04A0"/>
        <w:bidiVisual w:val="1"/>
      </w:tblPr>
      <w:tblGrid>
        <w:gridCol w:w="3408"/>
        <w:gridCol w:w="3408"/>
        <w:gridCol w:w="3408"/>
      </w:tblGrid>
      <w:tr>
        <w:trPr>
          <w:tblHeader w:val="true"/>
        </w:trPr>
        <w:tc>
          <w:tcPr>
            <w:tcW w:type="dxa" w:w="3408"/>
            <w:shd w:fill="1F4E78"/>
          </w:tcPr>
          <w:p>
            <w:pPr>
              <w:jc w:val="right"/>
              <w:bidi w:val="1"/>
            </w:pPr>
            <w:r>
              <w:rPr>
                <w:rFonts w:ascii="Arial" w:hAnsi="Arial" w:cs="Arial" w:eastAsia="Arial"/>
                <w:b/>
                <w:color w:val="FFFFFF"/>
                <w:sz w:val="16"/>
                <w:rtl w:val="1"/>
              </w:rPr>
              <w:t>طريقة إجمالي الأسبوع</w:t>
            </w:r>
          </w:p>
        </w:tc>
        <w:tc>
          <w:tcPr>
            <w:tcW w:type="dxa" w:w="3408"/>
            <w:shd w:fill="1F4E78"/>
          </w:tcPr>
          <w:p>
            <w:pPr>
              <w:jc w:val="right"/>
              <w:bidi w:val="1"/>
            </w:pPr>
            <w:r>
              <w:rPr>
                <w:rFonts w:ascii="Arial" w:hAnsi="Arial" w:cs="Arial" w:eastAsia="Arial"/>
                <w:b/>
                <w:color w:val="FFFFFF"/>
                <w:sz w:val="16"/>
                <w:rtl w:val="1"/>
              </w:rPr>
              <w:t>MAE طلب/أسبوع</w:t>
            </w:r>
          </w:p>
        </w:tc>
        <w:tc>
          <w:tcPr>
            <w:tcW w:type="dxa" w:w="3408"/>
            <w:shd w:fill="1F4E78"/>
          </w:tcPr>
          <w:p>
            <w:pPr>
              <w:jc w:val="right"/>
              <w:bidi w:val="1"/>
            </w:pPr>
            <w:r>
              <w:rPr>
                <w:rFonts w:ascii="Arial" w:hAnsi="Arial" w:cs="Arial" w:eastAsia="Arial"/>
                <w:b/>
                <w:color w:val="FFFFFF"/>
                <w:sz w:val="16"/>
                <w:rtl w:val="1"/>
              </w:rPr>
              <w:t>النتيجة</w:t>
            </w:r>
          </w:p>
        </w:tc>
      </w:tr>
      <w:tr>
        <w:tc>
          <w:tcPr>
            <w:tcW w:type="dxa" w:w="3408"/>
            <w:vAlign w:val="center"/>
          </w:tcPr>
          <w:p>
            <w:pPr>
              <w:jc w:val="right"/>
              <w:bidi w:val="1"/>
            </w:pPr>
            <w:r>
              <w:rPr>
                <w:rFonts w:ascii="Arial" w:hAnsi="Arial" w:cs="Arial" w:eastAsia="Arial"/>
                <w:b w:val="0"/>
                <w:sz w:val="16"/>
                <w:rtl w:val="1"/>
              </w:rPr>
              <w:t>Linear Regression</w:t>
            </w:r>
          </w:p>
        </w:tc>
        <w:tc>
          <w:tcPr>
            <w:tcW w:type="dxa" w:w="3408"/>
            <w:vAlign w:val="center"/>
          </w:tcPr>
          <w:p>
            <w:pPr>
              <w:jc w:val="right"/>
              <w:bidi w:val="1"/>
            </w:pPr>
            <w:r>
              <w:rPr>
                <w:rFonts w:ascii="Arial" w:hAnsi="Arial" w:cs="Arial" w:eastAsia="Arial"/>
                <w:b w:val="0"/>
                <w:sz w:val="16"/>
                <w:rtl w:val="1"/>
              </w:rPr>
              <w:t>70,614.65</w:t>
            </w:r>
          </w:p>
        </w:tc>
        <w:tc>
          <w:tcPr>
            <w:tcW w:type="dxa" w:w="3408"/>
            <w:vAlign w:val="center"/>
          </w:tcPr>
          <w:p>
            <w:pPr>
              <w:jc w:val="right"/>
              <w:bidi w:val="1"/>
            </w:pPr>
            <w:r>
              <w:rPr>
                <w:rFonts w:ascii="Arial" w:hAnsi="Arial" w:cs="Arial" w:eastAsia="Arial"/>
                <w:b w:val="0"/>
                <w:sz w:val="16"/>
                <w:rtl w:val="1"/>
              </w:rPr>
              <w:t>—</w:t>
            </w:r>
          </w:p>
        </w:tc>
      </w:tr>
      <w:tr>
        <w:tc>
          <w:tcPr>
            <w:tcW w:type="dxa" w:w="3408"/>
            <w:vAlign w:val="center"/>
          </w:tcPr>
          <w:p>
            <w:pPr>
              <w:jc w:val="right"/>
              <w:bidi w:val="1"/>
            </w:pPr>
            <w:r>
              <w:rPr>
                <w:rFonts w:ascii="Arial" w:hAnsi="Arial" w:cs="Arial" w:eastAsia="Arial"/>
                <w:b w:val="0"/>
                <w:sz w:val="16"/>
                <w:rtl w:val="1"/>
              </w:rPr>
              <w:t>Random Forest</w:t>
            </w:r>
          </w:p>
        </w:tc>
        <w:tc>
          <w:tcPr>
            <w:tcW w:type="dxa" w:w="3408"/>
            <w:vAlign w:val="center"/>
          </w:tcPr>
          <w:p>
            <w:pPr>
              <w:jc w:val="right"/>
              <w:bidi w:val="1"/>
            </w:pPr>
            <w:r>
              <w:rPr>
                <w:rFonts w:ascii="Arial" w:hAnsi="Arial" w:cs="Arial" w:eastAsia="Arial"/>
                <w:b w:val="0"/>
                <w:sz w:val="16"/>
                <w:rtl w:val="1"/>
              </w:rPr>
              <w:t>35,618.45</w:t>
            </w:r>
          </w:p>
        </w:tc>
        <w:tc>
          <w:tcPr>
            <w:tcW w:type="dxa" w:w="3408"/>
            <w:vAlign w:val="center"/>
          </w:tcPr>
          <w:p>
            <w:pPr>
              <w:jc w:val="right"/>
              <w:bidi w:val="1"/>
            </w:pPr>
            <w:r>
              <w:rPr>
                <w:rFonts w:ascii="Arial" w:hAnsi="Arial" w:cs="Arial" w:eastAsia="Arial"/>
                <w:b w:val="0"/>
                <w:sz w:val="16"/>
                <w:rtl w:val="1"/>
              </w:rPr>
              <w:t>أفضل نموذج متعلم.</w:t>
            </w:r>
          </w:p>
        </w:tc>
      </w:tr>
      <w:tr>
        <w:tc>
          <w:tcPr>
            <w:tcW w:type="dxa" w:w="3408"/>
            <w:vAlign w:val="center"/>
          </w:tcPr>
          <w:p>
            <w:pPr>
              <w:jc w:val="right"/>
              <w:bidi w:val="1"/>
            </w:pPr>
            <w:r>
              <w:rPr>
                <w:rFonts w:ascii="Arial" w:hAnsi="Arial" w:cs="Arial" w:eastAsia="Arial"/>
                <w:b w:val="0"/>
                <w:sz w:val="16"/>
                <w:rtl w:val="1"/>
              </w:rPr>
              <w:t>خط ثابت: إجمالي الأسبوع 135</w:t>
            </w:r>
          </w:p>
        </w:tc>
        <w:tc>
          <w:tcPr>
            <w:tcW w:type="dxa" w:w="3408"/>
            <w:vAlign w:val="center"/>
          </w:tcPr>
          <w:p>
            <w:pPr>
              <w:jc w:val="right"/>
              <w:bidi w:val="1"/>
            </w:pPr>
            <w:r>
              <w:rPr>
                <w:rFonts w:ascii="Arial" w:hAnsi="Arial" w:cs="Arial" w:eastAsia="Arial"/>
                <w:b w:val="0"/>
                <w:sz w:val="16"/>
                <w:rtl w:val="1"/>
              </w:rPr>
              <w:t>41,012.80</w:t>
            </w:r>
          </w:p>
        </w:tc>
        <w:tc>
          <w:tcPr>
            <w:tcW w:type="dxa" w:w="3408"/>
            <w:vAlign w:val="center"/>
          </w:tcPr>
          <w:p>
            <w:pPr>
              <w:jc w:val="right"/>
              <w:bidi w:val="1"/>
            </w:pPr>
            <w:r>
              <w:rPr>
                <w:rFonts w:ascii="Arial" w:hAnsi="Arial" w:cs="Arial" w:eastAsia="Arial"/>
                <w:b w:val="0"/>
                <w:sz w:val="16"/>
                <w:rtl w:val="1"/>
              </w:rPr>
              <w:t>خط أساس ثابت.</w:t>
            </w:r>
          </w:p>
        </w:tc>
      </w:tr>
    </w:tbl>
    <w:p>
      <w:pPr>
        <w:jc w:val="right"/>
        <w:bidi w:val="1"/>
      </w:pPr>
    </w:p>
    <w:p>
      <w:pPr>
        <w:jc w:val="right"/>
        <w:bidi w:val="1"/>
      </w:pPr>
      <w:r>
        <w:rPr>
          <w:rFonts w:ascii="Arial" w:hAnsi="Arial" w:cs="Arial" w:eastAsia="Arial"/>
          <w:b w:val="0"/>
          <w:sz w:val="20"/>
          <w:rtl w:val="1"/>
        </w:rPr>
        <w:t>في مهمة الإجمالي الأسبوعي تفوق Random Forest على خط الأساس الثابت؛ بينما لم يتفوق على خط الأسبوع السابق في المهمة الصفية. اختلاف الهدف ووحدة القياس يفسر اختلاف النتيجة.</w:t>
      </w:r>
    </w:p>
    <w:p>
      <w:pPr>
        <w:pStyle w:val="Heading2"/>
        <w:jc w:val="right"/>
        <w:bidi w:val="1"/>
      </w:pPr>
      <w:r>
        <w:rPr>
          <w:rFonts w:ascii="Arial" w:hAnsi="Arial" w:cs="Arial" w:eastAsia="Arial"/>
          <w:b/>
          <w:color w:val="1F4E79"/>
          <w:sz w:val="26"/>
          <w:rtl w:val="1"/>
        </w:rPr>
        <w:t>5.4 تنبؤات الاختبار</w:t>
      </w:r>
    </w:p>
    <w:p>
      <w:pPr>
        <w:jc w:val="right"/>
        <w:bidi w:val="1"/>
      </w:pPr>
      <w:r>
        <w:rPr>
          <w:rFonts w:ascii="Arial" w:hAnsi="Arial" w:cs="Arial" w:eastAsia="Arial"/>
          <w:b w:val="0"/>
          <w:sz w:val="20"/>
          <w:rtl w:val="1"/>
        </w:rPr>
        <w:t>ملف reports/meal_center_demand_predictions.csv موجود ويضم 32,573 تنبؤ RF، ومعرفات id وweek وcenter_id وmeal_id المطابقة للترتيب الأصلي في test.csv. لا قيم مفقودة ولا توقعات سالبة. لا يوجد num_orders فعلي في test.csv، لذا لا يُحسب MAE للاختبار. أسابيع 146–155 خارج نطاق التدريب 1–145، وهذا استقراء زمني؛ التوقعات مرشدة تخطيطية لا قيم فعلية. لا يمكن تحويلها لمكونات غذائية دون وصفات ومقادير معتمدة.</w:t>
      </w:r>
    </w:p>
    <w:p>
      <w:pPr>
        <w:pStyle w:val="Heading1"/>
        <w:jc w:val="right"/>
        <w:bidi w:val="1"/>
      </w:pPr>
      <w:r>
        <w:rPr>
          <w:rFonts w:ascii="Arial" w:hAnsi="Arial" w:cs="Arial" w:eastAsia="Arial"/>
          <w:b/>
          <w:color w:val="1F4E79"/>
          <w:sz w:val="32"/>
          <w:rtl w:val="1"/>
        </w:rPr>
        <w:t>6. ما تدعمه البيانات وما لا تثبته</w:t>
      </w:r>
    </w:p>
    <w:tbl>
      <w:tblPr>
        <w:tblStyle w:val="TableGrid"/>
        <w:tblW w:type="auto" w:w="0"/>
        <w:jc w:val="center"/>
        <w:tblLayout w:type="autofit"/>
        <w:tblLook w:firstColumn="1" w:firstRow="1" w:lastColumn="0" w:lastRow="0" w:noHBand="0" w:noVBand="1" w:val="04A0"/>
        <w:bidiVisual w:val="1"/>
      </w:tblPr>
      <w:tblGrid>
        <w:gridCol w:w="3408"/>
        <w:gridCol w:w="3408"/>
        <w:gridCol w:w="3408"/>
      </w:tblGrid>
      <w:tr>
        <w:trPr>
          <w:tblHeader w:val="true"/>
        </w:trPr>
        <w:tc>
          <w:tcPr>
            <w:tcW w:type="dxa" w:w="3408"/>
            <w:shd w:fill="1F4E78"/>
          </w:tcPr>
          <w:p>
            <w:pPr>
              <w:jc w:val="right"/>
              <w:bidi w:val="1"/>
            </w:pPr>
            <w:r>
              <w:rPr>
                <w:rFonts w:ascii="Arial" w:hAnsi="Arial" w:cs="Arial" w:eastAsia="Arial"/>
                <w:b/>
                <w:color w:val="FFFFFF"/>
                <w:sz w:val="16"/>
                <w:rtl w:val="1"/>
              </w:rPr>
              <w:t>النتيجة</w:t>
            </w:r>
          </w:p>
        </w:tc>
        <w:tc>
          <w:tcPr>
            <w:tcW w:type="dxa" w:w="3408"/>
            <w:shd w:fill="1F4E78"/>
          </w:tcPr>
          <w:p>
            <w:pPr>
              <w:jc w:val="right"/>
              <w:bidi w:val="1"/>
            </w:pPr>
            <w:r>
              <w:rPr>
                <w:rFonts w:ascii="Arial" w:hAnsi="Arial" w:cs="Arial" w:eastAsia="Arial"/>
                <w:b/>
                <w:color w:val="FFFFFF"/>
                <w:sz w:val="16"/>
                <w:rtl w:val="1"/>
              </w:rPr>
              <w:t>ما تدعمه البيانات</w:t>
            </w:r>
          </w:p>
        </w:tc>
        <w:tc>
          <w:tcPr>
            <w:tcW w:type="dxa" w:w="3408"/>
            <w:shd w:fill="1F4E78"/>
          </w:tcPr>
          <w:p>
            <w:pPr>
              <w:jc w:val="right"/>
              <w:bidi w:val="1"/>
            </w:pPr>
            <w:r>
              <w:rPr>
                <w:rFonts w:ascii="Arial" w:hAnsi="Arial" w:cs="Arial" w:eastAsia="Arial"/>
                <w:b/>
                <w:color w:val="FFFFFF"/>
                <w:sz w:val="16"/>
                <w:rtl w:val="1"/>
              </w:rPr>
              <w:t>ما لا يمكن الجزم به</w:t>
            </w:r>
          </w:p>
        </w:tc>
      </w:tr>
      <w:tr>
        <w:tc>
          <w:tcPr>
            <w:tcW w:type="dxa" w:w="3408"/>
            <w:vAlign w:val="center"/>
          </w:tcPr>
          <w:p>
            <w:pPr>
              <w:jc w:val="right"/>
              <w:bidi w:val="1"/>
            </w:pPr>
            <w:r>
              <w:rPr>
                <w:rFonts w:ascii="Arial" w:hAnsi="Arial" w:cs="Arial" w:eastAsia="Arial"/>
                <w:b w:val="0"/>
                <w:sz w:val="16"/>
                <w:rtl w:val="1"/>
              </w:rPr>
              <w:t>تركز الفئات</w:t>
            </w:r>
          </w:p>
        </w:tc>
        <w:tc>
          <w:tcPr>
            <w:tcW w:type="dxa" w:w="3408"/>
            <w:vAlign w:val="center"/>
          </w:tcPr>
          <w:p>
            <w:pPr>
              <w:jc w:val="right"/>
              <w:bidi w:val="1"/>
            </w:pPr>
            <w:r>
              <w:rPr>
                <w:rFonts w:ascii="Arial" w:hAnsi="Arial" w:cs="Arial" w:eastAsia="Arial"/>
                <w:b w:val="0"/>
                <w:sz w:val="16"/>
                <w:rtl w:val="1"/>
              </w:rPr>
              <w:t>خمس فئات 81.40% من الطلب المسجل.</w:t>
            </w:r>
          </w:p>
        </w:tc>
        <w:tc>
          <w:tcPr>
            <w:tcW w:type="dxa" w:w="3408"/>
            <w:vAlign w:val="center"/>
          </w:tcPr>
          <w:p>
            <w:pPr>
              <w:jc w:val="right"/>
              <w:bidi w:val="1"/>
            </w:pPr>
            <w:r>
              <w:rPr>
                <w:rFonts w:ascii="Arial" w:hAnsi="Arial" w:cs="Arial" w:eastAsia="Arial"/>
                <w:b w:val="0"/>
                <w:sz w:val="16"/>
                <w:rtl w:val="1"/>
              </w:rPr>
              <w:t>سبب الطلب أو استمرار التركّز.</w:t>
            </w:r>
          </w:p>
        </w:tc>
      </w:tr>
      <w:tr>
        <w:tc>
          <w:tcPr>
            <w:tcW w:type="dxa" w:w="3408"/>
            <w:vAlign w:val="center"/>
          </w:tcPr>
          <w:p>
            <w:pPr>
              <w:jc w:val="right"/>
              <w:bidi w:val="1"/>
            </w:pPr>
            <w:r>
              <w:rPr>
                <w:rFonts w:ascii="Arial" w:hAnsi="Arial" w:cs="Arial" w:eastAsia="Arial"/>
                <w:b w:val="0"/>
                <w:sz w:val="16"/>
                <w:rtl w:val="1"/>
              </w:rPr>
              <w:t>العروض</w:t>
            </w:r>
          </w:p>
        </w:tc>
        <w:tc>
          <w:tcPr>
            <w:tcW w:type="dxa" w:w="3408"/>
            <w:vAlign w:val="center"/>
          </w:tcPr>
          <w:p>
            <w:pPr>
              <w:jc w:val="right"/>
              <w:bidi w:val="1"/>
            </w:pPr>
            <w:r>
              <w:rPr>
                <w:rFonts w:ascii="Arial" w:hAnsi="Arial" w:cs="Arial" w:eastAsia="Arial"/>
                <w:b w:val="0"/>
                <w:sz w:val="16"/>
                <w:rtl w:val="1"/>
              </w:rPr>
              <w:t>متوسط أعلى في الملاحظات ذات المؤشر.</w:t>
            </w:r>
          </w:p>
        </w:tc>
        <w:tc>
          <w:tcPr>
            <w:tcW w:type="dxa" w:w="3408"/>
            <w:vAlign w:val="center"/>
          </w:tcPr>
          <w:p>
            <w:pPr>
              <w:jc w:val="right"/>
              <w:bidi w:val="1"/>
            </w:pPr>
            <w:r>
              <w:rPr>
                <w:rFonts w:ascii="Arial" w:hAnsi="Arial" w:cs="Arial" w:eastAsia="Arial"/>
                <w:b w:val="0"/>
                <w:sz w:val="16"/>
                <w:rtl w:val="1"/>
              </w:rPr>
              <w:t>أن العرض سبّب الزيادة؛ قد توجد عوامل مربكة.</w:t>
            </w:r>
          </w:p>
        </w:tc>
      </w:tr>
      <w:tr>
        <w:tc>
          <w:tcPr>
            <w:tcW w:type="dxa" w:w="3408"/>
            <w:vAlign w:val="center"/>
          </w:tcPr>
          <w:p>
            <w:pPr>
              <w:jc w:val="right"/>
              <w:bidi w:val="1"/>
            </w:pPr>
            <w:r>
              <w:rPr>
                <w:rFonts w:ascii="Arial" w:hAnsi="Arial" w:cs="Arial" w:eastAsia="Arial"/>
                <w:b w:val="0"/>
                <w:sz w:val="16"/>
                <w:rtl w:val="1"/>
              </w:rPr>
              <w:t>الخصم</w:t>
            </w:r>
          </w:p>
        </w:tc>
        <w:tc>
          <w:tcPr>
            <w:tcW w:type="dxa" w:w="3408"/>
            <w:vAlign w:val="center"/>
          </w:tcPr>
          <w:p>
            <w:pPr>
              <w:jc w:val="right"/>
              <w:bidi w:val="1"/>
            </w:pPr>
            <w:r>
              <w:rPr>
                <w:rFonts w:ascii="Arial" w:hAnsi="Arial" w:cs="Arial" w:eastAsia="Arial"/>
                <w:b w:val="0"/>
                <w:sz w:val="16"/>
                <w:rtl w:val="1"/>
              </w:rPr>
              <w:t>ارتباط رتبي موجب ضعيف ρ=0.1218.</w:t>
            </w:r>
          </w:p>
        </w:tc>
        <w:tc>
          <w:tcPr>
            <w:tcW w:type="dxa" w:w="3408"/>
            <w:vAlign w:val="center"/>
          </w:tcPr>
          <w:p>
            <w:pPr>
              <w:jc w:val="right"/>
              <w:bidi w:val="1"/>
            </w:pPr>
            <w:r>
              <w:rPr>
                <w:rFonts w:ascii="Arial" w:hAnsi="Arial" w:cs="Arial" w:eastAsia="Arial"/>
                <w:b w:val="0"/>
                <w:sz w:val="16"/>
                <w:rtl w:val="1"/>
              </w:rPr>
              <w:t>الأثر السببي أو قيمة ربحية.</w:t>
            </w:r>
          </w:p>
        </w:tc>
      </w:tr>
      <w:tr>
        <w:tc>
          <w:tcPr>
            <w:tcW w:type="dxa" w:w="3408"/>
            <w:vAlign w:val="center"/>
          </w:tcPr>
          <w:p>
            <w:pPr>
              <w:jc w:val="right"/>
              <w:bidi w:val="1"/>
            </w:pPr>
            <w:r>
              <w:rPr>
                <w:rFonts w:ascii="Arial" w:hAnsi="Arial" w:cs="Arial" w:eastAsia="Arial"/>
                <w:b w:val="0"/>
                <w:sz w:val="16"/>
                <w:rtl w:val="1"/>
              </w:rPr>
              <w:t>التقلب</w:t>
            </w:r>
          </w:p>
        </w:tc>
        <w:tc>
          <w:tcPr>
            <w:tcW w:type="dxa" w:w="3408"/>
            <w:vAlign w:val="center"/>
          </w:tcPr>
          <w:p>
            <w:pPr>
              <w:jc w:val="right"/>
              <w:bidi w:val="1"/>
            </w:pPr>
            <w:r>
              <w:rPr>
                <w:rFonts w:ascii="Arial" w:hAnsi="Arial" w:cs="Arial" w:eastAsia="Arial"/>
                <w:b w:val="0"/>
                <w:sz w:val="16"/>
                <w:rtl w:val="1"/>
              </w:rPr>
              <w:t>تباين نسبي حسب الأسابيع المرصودة.</w:t>
            </w:r>
          </w:p>
        </w:tc>
        <w:tc>
          <w:tcPr>
            <w:tcW w:type="dxa" w:w="3408"/>
            <w:vAlign w:val="center"/>
          </w:tcPr>
          <w:p>
            <w:pPr>
              <w:jc w:val="right"/>
              <w:bidi w:val="1"/>
            </w:pPr>
            <w:r>
              <w:rPr>
                <w:rFonts w:ascii="Arial" w:hAnsi="Arial" w:cs="Arial" w:eastAsia="Arial"/>
                <w:b w:val="0"/>
                <w:sz w:val="16"/>
                <w:rtl w:val="1"/>
              </w:rPr>
              <w:t>أن غياب صف يعني صفرًا أو عدم توفر.</w:t>
            </w:r>
          </w:p>
        </w:tc>
      </w:tr>
      <w:tr>
        <w:tc>
          <w:tcPr>
            <w:tcW w:type="dxa" w:w="3408"/>
            <w:vAlign w:val="center"/>
          </w:tcPr>
          <w:p>
            <w:pPr>
              <w:jc w:val="right"/>
              <w:bidi w:val="1"/>
            </w:pPr>
            <w:r>
              <w:rPr>
                <w:rFonts w:ascii="Arial" w:hAnsi="Arial" w:cs="Arial" w:eastAsia="Arial"/>
                <w:b w:val="0"/>
                <w:sz w:val="16"/>
                <w:rtl w:val="1"/>
              </w:rPr>
              <w:t>التنبؤ</w:t>
            </w:r>
          </w:p>
        </w:tc>
        <w:tc>
          <w:tcPr>
            <w:tcW w:type="dxa" w:w="3408"/>
            <w:vAlign w:val="center"/>
          </w:tcPr>
          <w:p>
            <w:pPr>
              <w:jc w:val="right"/>
              <w:bidi w:val="1"/>
            </w:pPr>
            <w:r>
              <w:rPr>
                <w:rFonts w:ascii="Arial" w:hAnsi="Arial" w:cs="Arial" w:eastAsia="Arial"/>
                <w:b w:val="0"/>
                <w:sz w:val="16"/>
                <w:rtl w:val="1"/>
              </w:rPr>
              <w:t>نتائج تحقق تاريخية محددة الأفق.</w:t>
            </w:r>
          </w:p>
        </w:tc>
        <w:tc>
          <w:tcPr>
            <w:tcW w:type="dxa" w:w="3408"/>
            <w:vAlign w:val="center"/>
          </w:tcPr>
          <w:p>
            <w:pPr>
              <w:jc w:val="right"/>
              <w:bidi w:val="1"/>
            </w:pPr>
            <w:r>
              <w:rPr>
                <w:rFonts w:ascii="Arial" w:hAnsi="Arial" w:cs="Arial" w:eastAsia="Arial"/>
                <w:b w:val="0"/>
                <w:sz w:val="16"/>
                <w:rtl w:val="1"/>
              </w:rPr>
              <w:t>ضمان الأداء مستقبلًا أو دقة test بلا فعلي.</w:t>
            </w:r>
          </w:p>
        </w:tc>
      </w:tr>
      <w:tr>
        <w:tc>
          <w:tcPr>
            <w:tcW w:type="dxa" w:w="3408"/>
            <w:vAlign w:val="center"/>
          </w:tcPr>
          <w:p>
            <w:pPr>
              <w:jc w:val="right"/>
              <w:bidi w:val="1"/>
            </w:pPr>
            <w:r>
              <w:rPr>
                <w:rFonts w:ascii="Arial" w:hAnsi="Arial" w:cs="Arial" w:eastAsia="Arial"/>
                <w:b w:val="0"/>
                <w:sz w:val="16"/>
                <w:rtl w:val="1"/>
              </w:rPr>
              <w:t>السعر × الطلب</w:t>
            </w:r>
          </w:p>
        </w:tc>
        <w:tc>
          <w:tcPr>
            <w:tcW w:type="dxa" w:w="3408"/>
            <w:vAlign w:val="center"/>
          </w:tcPr>
          <w:p>
            <w:pPr>
              <w:jc w:val="right"/>
              <w:bidi w:val="1"/>
            </w:pPr>
            <w:r>
              <w:rPr>
                <w:rFonts w:ascii="Arial" w:hAnsi="Arial" w:cs="Arial" w:eastAsia="Arial"/>
                <w:b w:val="0"/>
                <w:sz w:val="16"/>
                <w:rtl w:val="1"/>
              </w:rPr>
              <w:t>حاصل ضرب حسابي على مستوى السجل.</w:t>
            </w:r>
          </w:p>
        </w:tc>
        <w:tc>
          <w:tcPr>
            <w:tcW w:type="dxa" w:w="3408"/>
            <w:vAlign w:val="center"/>
          </w:tcPr>
          <w:p>
            <w:pPr>
              <w:jc w:val="right"/>
              <w:bidi w:val="1"/>
            </w:pPr>
            <w:r>
              <w:rPr>
                <w:rFonts w:ascii="Arial" w:hAnsi="Arial" w:cs="Arial" w:eastAsia="Arial"/>
                <w:b w:val="0"/>
                <w:sz w:val="16"/>
                <w:rtl w:val="1"/>
              </w:rPr>
              <w:t>إيراد محاسبي مدقق أو صافي الهامش.</w:t>
            </w:r>
          </w:p>
        </w:tc>
      </w:tr>
    </w:tbl>
    <w:p>
      <w:pPr>
        <w:jc w:val="right"/>
        <w:bidi w:val="1"/>
      </w:pPr>
    </w:p>
    <w:p>
      <w:pPr>
        <w:pStyle w:val="Heading1"/>
        <w:jc w:val="right"/>
        <w:bidi w:val="1"/>
      </w:pPr>
      <w:r>
        <w:rPr>
          <w:rFonts w:ascii="Arial" w:hAnsi="Arial" w:cs="Arial" w:eastAsia="Arial"/>
          <w:b/>
          <w:color w:val="1F4E79"/>
          <w:sz w:val="32"/>
          <w:rtl w:val="1"/>
        </w:rPr>
        <w:t>7. التوصيات ومؤشرات الأداء</w:t>
      </w:r>
    </w:p>
    <w:p>
      <w:pPr>
        <w:pStyle w:val="Heading2"/>
        <w:jc w:val="right"/>
        <w:bidi w:val="1"/>
      </w:pPr>
      <w:r>
        <w:rPr>
          <w:rFonts w:ascii="Arial" w:hAnsi="Arial" w:cs="Arial" w:eastAsia="Arial"/>
          <w:b/>
          <w:color w:val="1F4E79"/>
          <w:sz w:val="26"/>
          <w:rtl w:val="1"/>
        </w:rPr>
        <w:t>تقديم مراجعة الفئات الأعلى طلبًا</w:t>
      </w:r>
    </w:p>
    <w:p>
      <w:pPr>
        <w:jc w:val="right"/>
        <w:bidi w:val="1"/>
      </w:pPr>
      <w:r>
        <w:rPr>
          <w:rFonts w:ascii="Arial" w:hAnsi="Arial" w:cs="Arial" w:eastAsia="Arial"/>
          <w:b w:val="0"/>
          <w:sz w:val="20"/>
          <w:rtl w:val="1"/>
        </w:rPr>
        <w:t>المشكلة: تركّز الطلب. الدليل: خمس فئات تمثل 81.40%. الإجراء: أعطِ مراجعة المخزون والإنتاج لهذه الفئات أولوية مع استمرار متابعة غيرها. الفائدة المتوقعة: توجيه المتابعة حسب حجم الطلب. KPI: نسبة تلبية الطلب ومعدل نفاد المخزون حسب الفئة؛ تقاس أسبوعيًا من الطلبات الملباة وحالات النفاد وتراجع دوريًا.</w:t>
      </w:r>
    </w:p>
    <w:p>
      <w:pPr>
        <w:pStyle w:val="Heading2"/>
        <w:jc w:val="right"/>
        <w:bidi w:val="1"/>
      </w:pPr>
      <w:r>
        <w:rPr>
          <w:rFonts w:ascii="Arial" w:hAnsi="Arial" w:cs="Arial" w:eastAsia="Arial"/>
          <w:b/>
          <w:color w:val="1F4E79"/>
          <w:sz w:val="26"/>
          <w:rtl w:val="1"/>
        </w:rPr>
        <w:t>متابعة الوجبات المتقلبة</w:t>
      </w:r>
    </w:p>
    <w:p>
      <w:pPr>
        <w:jc w:val="right"/>
        <w:bidi w:val="1"/>
      </w:pPr>
      <w:r>
        <w:rPr>
          <w:rFonts w:ascii="Arial" w:hAnsi="Arial" w:cs="Arial" w:eastAsia="Arial"/>
          <w:b w:val="0"/>
          <w:sz w:val="20"/>
          <w:rtl w:val="1"/>
        </w:rPr>
        <w:t>المشكلة: المتوسط يخفي التذبذب. الدليل: CV الوجبة 2444=1.205 مقابل CV الوجبة 1885=0.191. الإجراء: افحص التوقع والمخزون لكل وجبة أسبوعيًا ولا تعمم احتياطيًا واحدًا. KPI: MAE ومعدل النفاد/الفائض حسب الوجبة؛ قارن بعد كل أسبوع فعلي مع بيان الأسابيع المشمولة.</w:t>
      </w:r>
    </w:p>
    <w:p>
      <w:pPr>
        <w:pStyle w:val="Heading2"/>
        <w:jc w:val="right"/>
        <w:bidi w:val="1"/>
      </w:pPr>
      <w:r>
        <w:rPr>
          <w:rFonts w:ascii="Arial" w:hAnsi="Arial" w:cs="Arial" w:eastAsia="Arial"/>
          <w:b/>
          <w:color w:val="1F4E79"/>
          <w:sz w:val="26"/>
          <w:rtl w:val="1"/>
        </w:rPr>
        <w:t>اختبار الترويج قبل توسيعه</w:t>
      </w:r>
    </w:p>
    <w:p>
      <w:pPr>
        <w:jc w:val="right"/>
        <w:bidi w:val="1"/>
      </w:pPr>
      <w:r>
        <w:rPr>
          <w:rFonts w:ascii="Arial" w:hAnsi="Arial" w:cs="Arial" w:eastAsia="Arial"/>
          <w:b w:val="0"/>
          <w:sz w:val="20"/>
          <w:rtl w:val="1"/>
        </w:rPr>
        <w:t>المشكلة: لا يمكن فصل أثر العرض من الوصف. الدليل: فرق البريد +147.84% مع تكرار القياسات. الإجراء: توزيع عشوائي بين وحدات مؤهلة متقاربة ومجموعة مقارنة متزامنة وتحليل يراعي تكرار الأزواج. KPI: الطلب الإضافي والهامش الإضافي لكل وحدة مؤهلة؛ حدد طريقة القياس قبل الاختبار وراجع قبل التوسع.</w:t>
      </w:r>
    </w:p>
    <w:p>
      <w:pPr>
        <w:pStyle w:val="Heading2"/>
        <w:jc w:val="right"/>
        <w:bidi w:val="1"/>
      </w:pPr>
      <w:r>
        <w:rPr>
          <w:rFonts w:ascii="Arial" w:hAnsi="Arial" w:cs="Arial" w:eastAsia="Arial"/>
          <w:b/>
          <w:color w:val="1F4E79"/>
          <w:sz w:val="26"/>
          <w:rtl w:val="1"/>
        </w:rPr>
        <w:t>مراقبة تنبؤات RF وخط الأساس</w:t>
      </w:r>
    </w:p>
    <w:p>
      <w:pPr>
        <w:jc w:val="right"/>
        <w:bidi w:val="1"/>
      </w:pPr>
      <w:r>
        <w:rPr>
          <w:rFonts w:ascii="Arial" w:hAnsi="Arial" w:cs="Arial" w:eastAsia="Arial"/>
          <w:b w:val="0"/>
          <w:sz w:val="20"/>
          <w:rtl w:val="1"/>
        </w:rPr>
        <w:t>المشكلة: النموذج لا يتفوق على المرجع الصفي. الدليل: MAE 89.51 مقابل 81.78. الإجراء: استخدم التنبؤ كمدخل مساعد، وقارن بالفعلي والخط السابق بعد كل أسبوع. KPI: MAE لكل طريقة وحالات النفاد/الفائض؛ أعد التقييم دوريًا عند توفر بيانات جديدة.</w:t>
      </w:r>
    </w:p>
    <w:p>
      <w:pPr>
        <w:pStyle w:val="Heading1"/>
        <w:jc w:val="right"/>
        <w:bidi w:val="1"/>
      </w:pPr>
      <w:r>
        <w:rPr>
          <w:rFonts w:ascii="Arial" w:hAnsi="Arial" w:cs="Arial" w:eastAsia="Arial"/>
          <w:b/>
          <w:color w:val="1F4E79"/>
          <w:sz w:val="32"/>
          <w:rtl w:val="1"/>
        </w:rPr>
        <w:t>8. حدود التحليل</w:t>
      </w:r>
    </w:p>
    <w:p>
      <w:pPr>
        <w:pStyle w:val="ListBullet"/>
        <w:jc w:val="right"/>
        <w:bidi w:val="1"/>
      </w:pPr>
      <w:r>
        <w:rPr>
          <w:rFonts w:ascii="Arial" w:hAnsi="Arial" w:cs="Arial" w:eastAsia="Arial"/>
          <w:b w:val="0"/>
          <w:sz w:val="19"/>
          <w:rtl w:val="1"/>
        </w:rPr>
        <w:t>الأسابيع معرّفات دون تواريخ تقويمية؛ ولا تثبت البيانات التمثيل الجغرافي أو تغطية سوق معين.</w:t>
      </w:r>
    </w:p>
    <w:p>
      <w:pPr>
        <w:pStyle w:val="ListBullet"/>
        <w:jc w:val="right"/>
        <w:bidi w:val="1"/>
      </w:pPr>
      <w:r>
        <w:rPr>
          <w:rFonts w:ascii="Arial" w:hAnsi="Arial" w:cs="Arial" w:eastAsia="Arial"/>
          <w:b w:val="0"/>
          <w:sz w:val="19"/>
          <w:rtl w:val="1"/>
        </w:rPr>
        <w:t>العلاقات الوصفية لا تثبت السببية؛ وقد تؤثر عوامل غير مسجلة مثل التوفر والمخزون والعطلات والطقس والتغير التشغيلي.</w:t>
      </w:r>
    </w:p>
    <w:p>
      <w:pPr>
        <w:pStyle w:val="ListBullet"/>
        <w:jc w:val="right"/>
        <w:bidi w:val="1"/>
      </w:pPr>
      <w:r>
        <w:rPr>
          <w:rFonts w:ascii="Arial" w:hAnsi="Arial" w:cs="Arial" w:eastAsia="Arial"/>
          <w:b w:val="0"/>
          <w:sz w:val="19"/>
          <w:rtl w:val="1"/>
        </w:rPr>
        <w:t>غياب سجل وجبة-أسبوع لا يعني طلبًا صفريًا، لذلك لم تُملأ الفجوات بأصفار.</w:t>
      </w:r>
    </w:p>
    <w:p>
      <w:pPr>
        <w:pStyle w:val="ListBullet"/>
        <w:jc w:val="right"/>
        <w:bidi w:val="1"/>
      </w:pPr>
      <w:r>
        <w:rPr>
          <w:rFonts w:ascii="Arial" w:hAnsi="Arial" w:cs="Arial" w:eastAsia="Arial"/>
          <w:b w:val="0"/>
          <w:sz w:val="19"/>
          <w:rtl w:val="1"/>
        </w:rPr>
        <w:t>التحقق يعتمد فترة تاريخية واحدة؛ وخط الأسبوع السابق يستخدم أحدث طلب فعلي بطريقة متحركة. لا يضمن ذلك الأداء المستقبلي.</w:t>
      </w:r>
    </w:p>
    <w:p>
      <w:pPr>
        <w:pStyle w:val="ListBullet"/>
        <w:jc w:val="right"/>
        <w:bidi w:val="1"/>
      </w:pPr>
      <w:r>
        <w:rPr>
          <w:rFonts w:ascii="Arial" w:hAnsi="Arial" w:cs="Arial" w:eastAsia="Arial"/>
          <w:b w:val="0"/>
          <w:sz w:val="19"/>
          <w:rtl w:val="1"/>
        </w:rPr>
        <w:t>لا يتضمن نموذج الصف تاريخ الطلب السابق أو توفر المخزون أو عوامل خارجية؛ ويشترط أن تكون أسعار ومؤشرات test معروفة عند التنبؤ.</w:t>
      </w:r>
    </w:p>
    <w:p>
      <w:pPr>
        <w:pStyle w:val="ListBullet"/>
        <w:jc w:val="right"/>
        <w:bidi w:val="1"/>
      </w:pPr>
      <w:r>
        <w:rPr>
          <w:rFonts w:ascii="Arial" w:hAnsi="Arial" w:cs="Arial" w:eastAsia="Arial"/>
          <w:b w:val="0"/>
          <w:sz w:val="19"/>
          <w:rtl w:val="1"/>
        </w:rPr>
        <w:t>لا يوجد هدف فعلي للاختبار، لذلك لا يمكن قياس MAE عليه؛ كما أن أسابيعه خارج نطاق التدريب.</w:t>
      </w:r>
    </w:p>
    <w:p>
      <w:pPr>
        <w:pStyle w:val="ListBullet"/>
        <w:jc w:val="right"/>
        <w:bidi w:val="1"/>
      </w:pPr>
      <w:r>
        <w:rPr>
          <w:rFonts w:ascii="Arial" w:hAnsi="Arial" w:cs="Arial" w:eastAsia="Arial"/>
          <w:b w:val="0"/>
          <w:sz w:val="19"/>
          <w:rtl w:val="1"/>
        </w:rPr>
        <w:t>checkout_price × num_orders ليس إيرادًا مدققًا ولا يحسب الإلغاء أو الضرائب أو صافي الهامش.</w:t>
      </w:r>
    </w:p>
    <w:p>
      <w:pPr>
        <w:pStyle w:val="ListBullet"/>
        <w:jc w:val="right"/>
        <w:bidi w:val="1"/>
      </w:pPr>
      <w:r>
        <w:rPr>
          <w:rFonts w:ascii="Arial" w:hAnsi="Arial" w:cs="Arial" w:eastAsia="Arial"/>
          <w:b w:val="0"/>
          <w:sz w:val="19"/>
          <w:rtl w:val="1"/>
        </w:rPr>
        <w:t>لا توجد وصفات موثقة أو مقادير مكونات أو بيانات مهلة المورد والمخزون لتحويل الطلب إلى شراء.</w:t>
      </w:r>
    </w:p>
    <w:p>
      <w:pPr>
        <w:pStyle w:val="ListBullet"/>
        <w:jc w:val="right"/>
        <w:bidi w:val="1"/>
      </w:pPr>
      <w:r>
        <w:rPr>
          <w:rFonts w:ascii="Arial" w:hAnsi="Arial" w:cs="Arial" w:eastAsia="Arial"/>
          <w:b w:val="0"/>
          <w:sz w:val="19"/>
          <w:rtl w:val="1"/>
        </w:rPr>
        <w:t>مقارنة مراكز التوزيع غير معدلة لاختلاف حجمها أو مساحتها أو مزيج الوجبات.</w:t>
      </w:r>
    </w:p>
    <w:p>
      <w:pPr>
        <w:pStyle w:val="Heading1"/>
        <w:jc w:val="right"/>
        <w:bidi w:val="1"/>
      </w:pPr>
      <w:r>
        <w:rPr>
          <w:rFonts w:ascii="Arial" w:hAnsi="Arial" w:cs="Arial" w:eastAsia="Arial"/>
          <w:b/>
          <w:color w:val="1F4E79"/>
          <w:sz w:val="32"/>
          <w:rtl w:val="1"/>
        </w:rPr>
        <w:t>9. خطة تنفيذ مختصرة</w:t>
      </w:r>
    </w:p>
    <w:p>
      <w:pPr>
        <w:pStyle w:val="ListBullet"/>
        <w:jc w:val="right"/>
        <w:bidi w:val="1"/>
      </w:pPr>
      <w:r>
        <w:rPr>
          <w:rFonts w:ascii="Arial" w:hAnsi="Arial" w:cs="Arial" w:eastAsia="Arial"/>
          <w:b w:val="0"/>
          <w:sz w:val="19"/>
          <w:rtl w:val="1"/>
        </w:rPr>
        <w:t>طابق معرفات الأسبوع والوجبة والمركز في ملف التنبؤ مع جدول التشغيل قبل استخدامه.</w:t>
      </w:r>
    </w:p>
    <w:p>
      <w:pPr>
        <w:pStyle w:val="ListBullet"/>
        <w:jc w:val="right"/>
        <w:bidi w:val="1"/>
      </w:pPr>
      <w:r>
        <w:rPr>
          <w:rFonts w:ascii="Arial" w:hAnsi="Arial" w:cs="Arial" w:eastAsia="Arial"/>
          <w:b w:val="0"/>
          <w:sz w:val="19"/>
          <w:rtl w:val="1"/>
        </w:rPr>
        <w:t>ادمج التوقعات مع المخزون والوصفات المعتمدة ومهل المورد وسياسات الأمان والهدر.</w:t>
      </w:r>
    </w:p>
    <w:p>
      <w:pPr>
        <w:pStyle w:val="ListBullet"/>
        <w:jc w:val="right"/>
        <w:bidi w:val="1"/>
      </w:pPr>
      <w:r>
        <w:rPr>
          <w:rFonts w:ascii="Arial" w:hAnsi="Arial" w:cs="Arial" w:eastAsia="Arial"/>
          <w:b w:val="0"/>
          <w:sz w:val="19"/>
          <w:rtl w:val="1"/>
        </w:rPr>
        <w:t>بعد كل أسبوع، قارن الفعلي بتوقع RF وخط الأسبوع السابق وسجل MAE والنفاد والفائض.</w:t>
      </w:r>
    </w:p>
    <w:p>
      <w:pPr>
        <w:pStyle w:val="ListBullet"/>
        <w:jc w:val="right"/>
        <w:bidi w:val="1"/>
      </w:pPr>
      <w:r>
        <w:rPr>
          <w:rFonts w:ascii="Arial" w:hAnsi="Arial" w:cs="Arial" w:eastAsia="Arial"/>
          <w:b w:val="0"/>
          <w:sz w:val="19"/>
          <w:rtl w:val="1"/>
        </w:rPr>
        <w:t>أعد التقييم الزمني عند توفر بيانات حديثة قبل تغيير سياسة التنبؤ؛ لا تعتمد على أسبوع منفرد.</w:t>
      </w:r>
    </w:p>
    <w:p>
      <w:pPr>
        <w:pStyle w:val="ListBullet"/>
        <w:jc w:val="right"/>
        <w:bidi w:val="1"/>
      </w:pPr>
      <w:r>
        <w:rPr>
          <w:rFonts w:ascii="Arial" w:hAnsi="Arial" w:cs="Arial" w:eastAsia="Arial"/>
          <w:b w:val="0"/>
          <w:sz w:val="19"/>
          <w:rtl w:val="1"/>
        </w:rPr>
        <w:t>عند اختبار ترويج، عيّن مجموعة مقارنة ومؤشرات نجاح مسبقًا.</w:t>
      </w:r>
    </w:p>
    <w:p>
      <w:pPr>
        <w:pStyle w:val="Heading1"/>
        <w:jc w:val="right"/>
        <w:bidi w:val="1"/>
      </w:pPr>
      <w:r>
        <w:rPr>
          <w:rFonts w:ascii="Arial" w:hAnsi="Arial" w:cs="Arial" w:eastAsia="Arial"/>
          <w:b/>
          <w:color w:val="1F4E79"/>
          <w:sz w:val="32"/>
          <w:rtl w:val="1"/>
        </w:rPr>
        <w:t>10. الخاتمة والملاحق</w:t>
      </w:r>
    </w:p>
    <w:p>
      <w:pPr>
        <w:jc w:val="right"/>
        <w:bidi w:val="1"/>
      </w:pPr>
      <w:r>
        <w:rPr>
          <w:rFonts w:ascii="Arial" w:hAnsi="Arial" w:cs="Arial" w:eastAsia="Arial"/>
          <w:b w:val="0"/>
          <w:sz w:val="20"/>
          <w:rtl w:val="1"/>
        </w:rPr>
        <w:t>تحدد النتائج أين يتركز الطلب وأين يستحق التقلب متابعة إضافية. في التحقق الصفي تفوق خط الأسبوع السابق على نماذج التعلم الآلي، بينما فاز RF في مقارنة النماذج المتعلمة، وكذلك في مهمة الإجمالي الأسبوعي على الخط الثابت. ملف الاختبار متاح كتقدير لا يمكن التحقق منه قبل ظهور الطلب الفعلي. الاستخدام الآمن يربط هذه النتائج بالقيود التشغيلية ويقيس الأخطاء دوريًا.</w:t>
      </w:r>
    </w:p>
    <w:p>
      <w:pPr>
        <w:pStyle w:val="Heading2"/>
        <w:jc w:val="right"/>
        <w:bidi w:val="1"/>
      </w:pPr>
      <w:r>
        <w:rPr>
          <w:rFonts w:ascii="Arial" w:hAnsi="Arial" w:cs="Arial" w:eastAsia="Arial"/>
          <w:b/>
          <w:color w:val="1F4E79"/>
          <w:sz w:val="26"/>
          <w:rtl w:val="1"/>
        </w:rPr>
        <w:t>مصطلحات مبسطة</w:t>
      </w:r>
    </w:p>
    <w:tbl>
      <w:tblPr>
        <w:tblStyle w:val="TableGrid"/>
        <w:tblW w:type="auto" w:w="0"/>
        <w:jc w:val="center"/>
        <w:tblLayout w:type="autofit"/>
        <w:tblLook w:firstColumn="1" w:firstRow="1" w:lastColumn="0" w:lastRow="0" w:noHBand="0" w:noVBand="1" w:val="04A0"/>
        <w:bidiVisual w:val="1"/>
      </w:tblPr>
      <w:tblGrid>
        <w:gridCol w:w="5112"/>
        <w:gridCol w:w="5112"/>
      </w:tblGrid>
      <w:tr>
        <w:trPr>
          <w:tblHeader w:val="true"/>
        </w:trPr>
        <w:tc>
          <w:tcPr>
            <w:tcW w:type="dxa" w:w="5112"/>
            <w:shd w:fill="1F4E78"/>
          </w:tcPr>
          <w:p>
            <w:pPr>
              <w:jc w:val="right"/>
              <w:bidi w:val="1"/>
            </w:pPr>
            <w:r>
              <w:rPr>
                <w:rFonts w:ascii="Arial" w:hAnsi="Arial" w:cs="Arial" w:eastAsia="Arial"/>
                <w:b/>
                <w:color w:val="FFFFFF"/>
                <w:sz w:val="16"/>
                <w:rtl w:val="1"/>
              </w:rPr>
              <w:t>المصطلح</w:t>
            </w:r>
          </w:p>
        </w:tc>
        <w:tc>
          <w:tcPr>
            <w:tcW w:type="dxa" w:w="5112"/>
            <w:shd w:fill="1F4E78"/>
          </w:tcPr>
          <w:p>
            <w:pPr>
              <w:jc w:val="right"/>
              <w:bidi w:val="1"/>
            </w:pPr>
            <w:r>
              <w:rPr>
                <w:rFonts w:ascii="Arial" w:hAnsi="Arial" w:cs="Arial" w:eastAsia="Arial"/>
                <w:b/>
                <w:color w:val="FFFFFF"/>
                <w:sz w:val="16"/>
                <w:rtl w:val="1"/>
              </w:rPr>
              <w:t>المعنى</w:t>
            </w:r>
          </w:p>
        </w:tc>
      </w:tr>
      <w:tr>
        <w:tc>
          <w:tcPr>
            <w:tcW w:type="dxa" w:w="5112"/>
            <w:vAlign w:val="center"/>
          </w:tcPr>
          <w:p>
            <w:pPr>
              <w:jc w:val="right"/>
              <w:bidi w:val="1"/>
            </w:pPr>
            <w:r>
              <w:rPr>
                <w:rFonts w:ascii="Arial" w:hAnsi="Arial" w:cs="Arial" w:eastAsia="Arial"/>
                <w:b w:val="0"/>
                <w:sz w:val="16"/>
                <w:rtl w:val="1"/>
              </w:rPr>
              <w:t>MAE</w:t>
            </w:r>
          </w:p>
        </w:tc>
        <w:tc>
          <w:tcPr>
            <w:tcW w:type="dxa" w:w="5112"/>
            <w:vAlign w:val="center"/>
          </w:tcPr>
          <w:p>
            <w:pPr>
              <w:jc w:val="right"/>
              <w:bidi w:val="1"/>
            </w:pPr>
            <w:r>
              <w:rPr>
                <w:rFonts w:ascii="Arial" w:hAnsi="Arial" w:cs="Arial" w:eastAsia="Arial"/>
                <w:b w:val="0"/>
                <w:sz w:val="16"/>
                <w:rtl w:val="1"/>
              </w:rPr>
              <w:t>متوسط الخطأ المطلق؛ طلب/صف أو طلب/أسبوع بحسب المهمة.</w:t>
            </w:r>
          </w:p>
        </w:tc>
      </w:tr>
      <w:tr>
        <w:tc>
          <w:tcPr>
            <w:tcW w:type="dxa" w:w="5112"/>
            <w:vAlign w:val="center"/>
          </w:tcPr>
          <w:p>
            <w:pPr>
              <w:jc w:val="right"/>
              <w:bidi w:val="1"/>
            </w:pPr>
            <w:r>
              <w:rPr>
                <w:rFonts w:ascii="Arial" w:hAnsi="Arial" w:cs="Arial" w:eastAsia="Arial"/>
                <w:b w:val="0"/>
                <w:sz w:val="16"/>
                <w:rtl w:val="1"/>
              </w:rPr>
              <w:t>Linear Regression</w:t>
            </w:r>
          </w:p>
        </w:tc>
        <w:tc>
          <w:tcPr>
            <w:tcW w:type="dxa" w:w="5112"/>
            <w:vAlign w:val="center"/>
          </w:tcPr>
          <w:p>
            <w:pPr>
              <w:jc w:val="right"/>
              <w:bidi w:val="1"/>
            </w:pPr>
            <w:r>
              <w:rPr>
                <w:rFonts w:ascii="Arial" w:hAnsi="Arial" w:cs="Arial" w:eastAsia="Arial"/>
                <w:b w:val="0"/>
                <w:sz w:val="16"/>
                <w:rtl w:val="1"/>
              </w:rPr>
              <w:t>نموذج يقدر النتيجة من أوزان خطية للميزات.</w:t>
            </w:r>
          </w:p>
        </w:tc>
      </w:tr>
      <w:tr>
        <w:tc>
          <w:tcPr>
            <w:tcW w:type="dxa" w:w="5112"/>
            <w:vAlign w:val="center"/>
          </w:tcPr>
          <w:p>
            <w:pPr>
              <w:jc w:val="right"/>
              <w:bidi w:val="1"/>
            </w:pPr>
            <w:r>
              <w:rPr>
                <w:rFonts w:ascii="Arial" w:hAnsi="Arial" w:cs="Arial" w:eastAsia="Arial"/>
                <w:b w:val="0"/>
                <w:sz w:val="16"/>
                <w:rtl w:val="1"/>
              </w:rPr>
              <w:t>خط الأساس</w:t>
            </w:r>
          </w:p>
        </w:tc>
        <w:tc>
          <w:tcPr>
            <w:tcW w:type="dxa" w:w="5112"/>
            <w:vAlign w:val="center"/>
          </w:tcPr>
          <w:p>
            <w:pPr>
              <w:jc w:val="right"/>
              <w:bidi w:val="1"/>
            </w:pPr>
            <w:r>
              <w:rPr>
                <w:rFonts w:ascii="Arial" w:hAnsi="Arial" w:cs="Arial" w:eastAsia="Arial"/>
                <w:b w:val="0"/>
                <w:sz w:val="16"/>
                <w:rtl w:val="1"/>
              </w:rPr>
              <w:t>مرجع بسيط للمقارنة؛ هنا طلب الأسبوع السابق للوجبة والمركز نفسيهما.</w:t>
            </w:r>
          </w:p>
        </w:tc>
      </w:tr>
      <w:tr>
        <w:tc>
          <w:tcPr>
            <w:tcW w:type="dxa" w:w="5112"/>
            <w:vAlign w:val="center"/>
          </w:tcPr>
          <w:p>
            <w:pPr>
              <w:jc w:val="right"/>
              <w:bidi w:val="1"/>
            </w:pPr>
            <w:r>
              <w:rPr>
                <w:rFonts w:ascii="Arial" w:hAnsi="Arial" w:cs="Arial" w:eastAsia="Arial"/>
                <w:b w:val="0"/>
                <w:sz w:val="16"/>
                <w:rtl w:val="1"/>
              </w:rPr>
              <w:t>التنبؤ</w:t>
            </w:r>
          </w:p>
        </w:tc>
        <w:tc>
          <w:tcPr>
            <w:tcW w:type="dxa" w:w="5112"/>
            <w:vAlign w:val="center"/>
          </w:tcPr>
          <w:p>
            <w:pPr>
              <w:jc w:val="right"/>
              <w:bidi w:val="1"/>
            </w:pPr>
            <w:r>
              <w:rPr>
                <w:rFonts w:ascii="Arial" w:hAnsi="Arial" w:cs="Arial" w:eastAsia="Arial"/>
                <w:b w:val="0"/>
                <w:sz w:val="16"/>
                <w:rtl w:val="1"/>
              </w:rPr>
              <w:t>قيمة تقديرية وليست طلبًا مؤكدًا.</w:t>
            </w:r>
          </w:p>
        </w:tc>
      </w:tr>
      <w:tr>
        <w:tc>
          <w:tcPr>
            <w:tcW w:type="dxa" w:w="5112"/>
            <w:vAlign w:val="center"/>
          </w:tcPr>
          <w:p>
            <w:pPr>
              <w:jc w:val="right"/>
              <w:bidi w:val="1"/>
            </w:pPr>
            <w:r>
              <w:rPr>
                <w:rFonts w:ascii="Arial" w:hAnsi="Arial" w:cs="Arial" w:eastAsia="Arial"/>
                <w:b w:val="0"/>
                <w:sz w:val="16"/>
                <w:rtl w:val="1"/>
              </w:rPr>
              <w:t>الارتباط</w:t>
            </w:r>
          </w:p>
        </w:tc>
        <w:tc>
          <w:tcPr>
            <w:tcW w:type="dxa" w:w="5112"/>
            <w:vAlign w:val="center"/>
          </w:tcPr>
          <w:p>
            <w:pPr>
              <w:jc w:val="right"/>
              <w:bidi w:val="1"/>
            </w:pPr>
            <w:r>
              <w:rPr>
                <w:rFonts w:ascii="Arial" w:hAnsi="Arial" w:cs="Arial" w:eastAsia="Arial"/>
                <w:b w:val="0"/>
                <w:sz w:val="16"/>
                <w:rtl w:val="1"/>
              </w:rPr>
              <w:t>تغير مشترك لا يثبت أن أحد المتغيرين سبب الآخر.</w:t>
            </w:r>
          </w:p>
        </w:tc>
      </w:tr>
      <w:tr>
        <w:tc>
          <w:tcPr>
            <w:tcW w:type="dxa" w:w="5112"/>
            <w:vAlign w:val="center"/>
          </w:tcPr>
          <w:p>
            <w:pPr>
              <w:jc w:val="right"/>
              <w:bidi w:val="1"/>
            </w:pPr>
            <w:r>
              <w:rPr>
                <w:rFonts w:ascii="Arial" w:hAnsi="Arial" w:cs="Arial" w:eastAsia="Arial"/>
                <w:b w:val="0"/>
                <w:sz w:val="16"/>
                <w:rtl w:val="1"/>
              </w:rPr>
              <w:t>CV</w:t>
            </w:r>
          </w:p>
        </w:tc>
        <w:tc>
          <w:tcPr>
            <w:tcW w:type="dxa" w:w="5112"/>
            <w:vAlign w:val="center"/>
          </w:tcPr>
          <w:p>
            <w:pPr>
              <w:jc w:val="right"/>
              <w:bidi w:val="1"/>
            </w:pPr>
            <w:r>
              <w:rPr>
                <w:rFonts w:ascii="Arial" w:hAnsi="Arial" w:cs="Arial" w:eastAsia="Arial"/>
                <w:b w:val="0"/>
                <w:sz w:val="16"/>
                <w:rtl w:val="1"/>
              </w:rPr>
              <w:t>الانحراف المعياري مقسومًا على المتوسط، لقياس التقلب النسبي.</w:t>
            </w:r>
          </w:p>
        </w:tc>
      </w:tr>
    </w:tbl>
    <w:p>
      <w:pPr>
        <w:jc w:val="right"/>
        <w:bidi w:val="1"/>
      </w:pPr>
    </w:p>
    <w:p>
      <w:pPr>
        <w:pStyle w:val="Heading2"/>
        <w:jc w:val="right"/>
        <w:bidi w:val="1"/>
      </w:pPr>
      <w:r>
        <w:rPr>
          <w:rFonts w:ascii="Arial" w:hAnsi="Arial" w:cs="Arial" w:eastAsia="Arial"/>
          <w:b/>
          <w:color w:val="1F4E79"/>
          <w:sz w:val="26"/>
          <w:rtl w:val="1"/>
        </w:rPr>
        <w:t>الملفات والرسوم المستخدمة</w:t>
      </w:r>
    </w:p>
    <w:p>
      <w:pPr>
        <w:jc w:val="right"/>
        <w:bidi w:val="1"/>
      </w:pPr>
      <w:r>
        <w:rPr>
          <w:rFonts w:ascii="Arial" w:hAnsi="Arial" w:cs="Arial" w:eastAsia="Arial"/>
          <w:b w:val="0"/>
          <w:sz w:val="20"/>
          <w:rtl w:val="1"/>
        </w:rPr>
        <w:t>البيانات: train.csv وtest.csv وmeal_info.csv وfulfilment_center_info.csv وprepared_train.csv. الدفاتر والكود: analysis.ipynb وdata_preparation.ipynb وforecasting.ipynb وforecasting.py. توثيق التنظيف: docs/decisions_cleaning.md.</w:t>
      </w:r>
    </w:p>
    <w:p>
      <w:pPr>
        <w:jc w:val="right"/>
        <w:bidi w:val="1"/>
      </w:pPr>
      <w:r>
        <w:rPr>
          <w:rFonts w:ascii="Arial" w:hAnsi="Arial" w:cs="Arial" w:eastAsia="Arial"/>
          <w:b w:val="0"/>
          <w:sz w:val="20"/>
          <w:rtl w:val="1"/>
        </w:rPr>
        <w:t>جداول النتائج: weekly_demand.csv، category_demand.csv، meal_ranking_by_total_orders.csv، meal_ranking_by_cv.csv، fulfilment_center_demand.csv، center_type_demand.csv، promotion_demand_tests.csv، discount_demand_spearman.csv، meal_center_validation_model_comparison.csv، weekly_demand_forecast_model_comparison.csv، meal_center_demand_predictions.csv.</w:t>
      </w:r>
    </w:p>
    <w:p>
      <w:pPr>
        <w:jc w:val="right"/>
        <w:bidi w:val="1"/>
      </w:pPr>
      <w:r>
        <w:rPr>
          <w:rFonts w:ascii="Arial" w:hAnsi="Arial" w:cs="Arial" w:eastAsia="Arial"/>
          <w:b w:val="0"/>
          <w:sz w:val="20"/>
          <w:rtl w:val="1"/>
        </w:rPr>
        <w:t>الرسوم المضمنة ضمن reports/figures/: weekly_demand_trend.png، category_demand_concentration.png، center_type_performance.png، meal_demand_vs_volatility.png، promotion_order_distribution.png، discount_vs_demand.png، meal_center_validation_mae.png، forecast_validation_actual_vs_predicted.png.</w:t>
      </w:r>
    </w:p>
    <w:sectPr w:rsidR="00FC693F" w:rsidRPr="0006063C" w:rsidSect="00034616">
      <w:headerReference w:type="default" r:id="rId9"/>
      <w:footerReference w:type="default" r:id="rId10"/>
      <w:pgSz w:w="12240" w:h="15840"/>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eastAsia="Arial"/>
        <w:b w:val="0"/>
        <w:sz w:val="16"/>
        <w:rtl w:val="1"/>
      </w:rPr>
      <w:t xml:space="preserve">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eastAsia="Arial"/>
        <w:b w:val="0"/>
        <w:color w:val="646464"/>
        <w:sz w:val="16"/>
        <w:rtl w:val="1"/>
      </w:rPr>
      <w:t>تحليل الطلب على الوجبات | food-demand-analysis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تحليل الطلب على الوجبات والتنبؤ به باستخدام تحليل البيانات والتعلم الآلي</dc:title>
  <dc:subject>تقرير food-demand-analysis</dc:subject>
  <dc:creator>food-demand-analysis</dc:creator>
  <cp:keywords/>
  <dc:description>generated by python-docx</dc:description>
  <cp:lastModifiedBy/>
  <cp:revision>1</cp:revision>
  <dcterms:created xsi:type="dcterms:W3CDTF">2013-12-23T23:15:00Z</dcterms:created>
  <dcterms:modified xsi:type="dcterms:W3CDTF">2013-12-23T23:15:00Z</dcterms:modified>
  <cp:category/>
</cp:coreProperties>
</file>