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56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2214"/>
        <w:gridCol w:w="3029"/>
        <w:gridCol w:w="2656"/>
        <w:gridCol w:w="3240"/>
        <w:gridCol w:w="3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9" w:hRule="atLeast"/>
          <w:jc w:val="center"/>
        </w:trPr>
        <w:tc>
          <w:tcPr>
            <w:tcW w:w="15690" w:type="dxa"/>
            <w:gridSpan w:val="6"/>
            <w:noWrap w:val="0"/>
            <w:vAlign w:val="center"/>
          </w:tcPr>
          <w:p>
            <w:pPr>
              <w:tabs>
                <w:tab w:val="left" w:pos="7216"/>
              </w:tabs>
              <w:rPr>
                <w:rFonts w:hint="default" w:ascii="宋体" w:hAnsi="宋体" w:eastAsia="宋体" w:cs="宋体"/>
                <w:color w:val="333333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333333"/>
                <w:sz w:val="220"/>
                <w:szCs w:val="220"/>
                <w:shd w:val="clear" w:color="auto" w:fill="FFFFFF"/>
                <w:lang w:val="en-US" w:eastAsia="zh-CN"/>
              </w:rPr>
              <w:t>社会救助类警情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1" w:hRule="atLeast"/>
          <w:jc w:val="center"/>
        </w:trPr>
        <w:tc>
          <w:tcPr>
            <w:tcW w:w="1521" w:type="dxa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b/>
                <w:bCs/>
                <w:color w:val="333333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z w:val="32"/>
                <w:szCs w:val="32"/>
                <w:shd w:val="clear" w:color="auto" w:fill="FFFFFF"/>
              </w:rPr>
              <w:t>开门求助</w:t>
            </w:r>
          </w:p>
        </w:tc>
        <w:tc>
          <w:tcPr>
            <w:tcW w:w="2214" w:type="dxa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安全提示】1、高层救援要严格落实安全防护措施，防止坠落，造成伤亡。2、保护人员要以高度负责的态度，集中精力，做好救援人员的安全检查和保护工作。3、处置前必须核对求助人身份，救援后应请求助人签字。</w:t>
            </w:r>
          </w:p>
        </w:tc>
        <w:tc>
          <w:tcPr>
            <w:tcW w:w="3029" w:type="dxa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处置要点】1、确定进入室内的途径，选择安全绳的固定地点。2、实施高层救援的人员必须穿戴救援吊带。无论自下而上，还是自上而下，都必须在固定点进行保险。3、尽量避免破拆。必须破拆时，须经求助人的同意，并告知破拆的大致范围。4、在作业条件不允许或存在巨大危险的情况下，业主又不同意采用破拆门时，救援人员可暂停救助，并提供开锁公司服务信息。</w:t>
            </w:r>
          </w:p>
        </w:tc>
        <w:tc>
          <w:tcPr>
            <w:tcW w:w="2656" w:type="dxa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 xml:space="preserve">【作战要则】1、尽量不要损坏求助人上下楼层放置在窗口、阳台的设施或物品。2、从居民楼顶施放安全绳进入求助人窗口、阳台时，要告知求助人楼上、安全绳垂下经过的住户，以免造成意外情况的发生。    </w:t>
            </w:r>
          </w:p>
        </w:tc>
        <w:tc>
          <w:tcPr>
            <w:tcW w:w="3240" w:type="dxa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 xml:space="preserve">【灾害特点】1、群众救助，出警频繁。2、不确定因素多。 </w:t>
            </w:r>
          </w:p>
        </w:tc>
        <w:tc>
          <w:tcPr>
            <w:tcW w:w="3030" w:type="dxa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0" w:hRule="atLeast"/>
          <w:jc w:val="center"/>
        </w:trPr>
        <w:tc>
          <w:tcPr>
            <w:tcW w:w="1521" w:type="dxa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b/>
                <w:bCs/>
                <w:color w:val="333333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z w:val="32"/>
                <w:szCs w:val="32"/>
                <w:shd w:val="clear" w:color="auto" w:fill="FFFFFF"/>
              </w:rPr>
              <w:t>抓动物</w:t>
            </w:r>
          </w:p>
        </w:tc>
        <w:tc>
          <w:tcPr>
            <w:tcW w:w="2214" w:type="dxa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【安全提示】1、对现场作业环境进行安全评估，严禁盲目处置；2、根据现场评估，佩戴相应的个人防护装备；3、做好紧急情况下的应对准备。</w:t>
            </w:r>
          </w:p>
        </w:tc>
        <w:tc>
          <w:tcPr>
            <w:tcW w:w="3029" w:type="dxa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处置要点】1、到场后了解该动物是否具有攻击性、有毒性等，根据该动物的特点，对该动物进行处置。2、如需高空救助动物时，查明登高的途径，该动物所处的位置及其周边环境，了解待救动物的附近建筑物等情况。3、如救助动物时发现该动物被卡，尽量避免破拆。必须破拆时，须经求助人的同意，并告知破拆的大致范围。</w:t>
            </w:r>
          </w:p>
        </w:tc>
        <w:tc>
          <w:tcPr>
            <w:tcW w:w="2656" w:type="dxa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【作战要则】1、作业中出现不安全险情时，必须立即停止作业，组织撤离危险区域。2、做好个人安全防护。</w:t>
            </w:r>
          </w:p>
        </w:tc>
        <w:tc>
          <w:tcPr>
            <w:tcW w:w="3240" w:type="dxa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【灾害特点】1、群众救助，出警频繁。2、不确定因素多。</w:t>
            </w:r>
          </w:p>
        </w:tc>
        <w:tc>
          <w:tcPr>
            <w:tcW w:w="3030" w:type="dxa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0" w:hRule="atLeast"/>
          <w:jc w:val="center"/>
        </w:trPr>
        <w:tc>
          <w:tcPr>
            <w:tcW w:w="1521" w:type="dxa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b/>
                <w:bCs/>
                <w:color w:val="333333"/>
                <w:kern w:val="2"/>
                <w:sz w:val="32"/>
                <w:szCs w:val="32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z w:val="32"/>
                <w:szCs w:val="32"/>
                <w:shd w:val="clear" w:color="auto" w:fill="FFFFFF"/>
              </w:rPr>
              <w:t>汽车漏油（冲马路）</w:t>
            </w:r>
          </w:p>
        </w:tc>
        <w:tc>
          <w:tcPr>
            <w:tcW w:w="2214" w:type="dxa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【安全提示】1、对现场作业环境进行安全评估，严禁盲目处置；2、根据现场评估，佩戴相应的个人防护装备；3、做好紧急情况下的应对准备。</w:t>
            </w:r>
          </w:p>
        </w:tc>
        <w:tc>
          <w:tcPr>
            <w:tcW w:w="3029" w:type="dxa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【处置要点】1、到场后第一时间组织人员设置警戒</w:t>
            </w:r>
          </w:p>
          <w:p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。2、联系交警做好相应道路封锁。</w:t>
            </w:r>
          </w:p>
        </w:tc>
        <w:tc>
          <w:tcPr>
            <w:tcW w:w="2656" w:type="dxa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【作战要则】1、设置警戒区域，确保作业人员安全；2、注意行车安全。</w:t>
            </w:r>
          </w:p>
        </w:tc>
        <w:tc>
          <w:tcPr>
            <w:tcW w:w="3240" w:type="dxa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【灾害特点】1、群众救助，出警频繁。</w:t>
            </w:r>
          </w:p>
          <w:p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2、不确定因素多。</w:t>
            </w:r>
          </w:p>
          <w:p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3、多发于交通道路上，作业人员危险性大。</w:t>
            </w:r>
          </w:p>
        </w:tc>
        <w:tc>
          <w:tcPr>
            <w:tcW w:w="3030" w:type="dxa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0" w:hRule="atLeast"/>
          <w:jc w:val="center"/>
        </w:trPr>
        <w:tc>
          <w:tcPr>
            <w:tcW w:w="1521" w:type="dxa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b/>
                <w:bCs/>
                <w:color w:val="333333"/>
                <w:kern w:val="2"/>
                <w:sz w:val="32"/>
                <w:szCs w:val="32"/>
                <w:shd w:val="clear" w:color="auto" w:fill="FFFFFF"/>
                <w:lang w:val="en-US" w:eastAsia="zh-CN" w:bidi="ar-SA"/>
              </w:rPr>
            </w:pPr>
            <w:bookmarkStart w:id="0" w:name="_GoBack" w:colFirst="0" w:colLast="5"/>
            <w:r>
              <w:rPr>
                <w:rFonts w:hint="eastAsia" w:ascii="宋体" w:hAnsi="宋体" w:eastAsia="宋体" w:cs="宋体"/>
                <w:b/>
                <w:bCs/>
                <w:color w:val="333333"/>
                <w:sz w:val="32"/>
                <w:szCs w:val="32"/>
                <w:shd w:val="clear" w:color="auto" w:fill="FFFFFF"/>
              </w:rPr>
              <w:t>内涝抽排水</w:t>
            </w:r>
          </w:p>
        </w:tc>
        <w:tc>
          <w:tcPr>
            <w:tcW w:w="2214" w:type="dxa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【安全提示】1、根据抽水的对象、水淹程度和作业条件，采取相应的防护着装。</w:t>
            </w:r>
          </w:p>
          <w:p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2、人员站立于稳固、安全的位置，在水中行走时注意探路缓行，避免掉落孔洞或滑入水中。</w:t>
            </w:r>
          </w:p>
          <w:p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3、加强对电线、配电箱等设施设备的观察，使用漏电探测棒确认作业区域安全，对发现的水面下的孔洞、斜坡或障碍物等设置醒目的标识，必要时实施监护。</w:t>
            </w:r>
          </w:p>
        </w:tc>
        <w:tc>
          <w:tcPr>
            <w:tcW w:w="3029" w:type="dxa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处置要点】1、根据指挥员指令选用车泵或搬运移动泵至安全、便于抽水的位置进行抽水，避免将泵浦置于不通风的封闭环境中。2、利用泵浦抽水时，将吸水管吸水部位置于相对较低处，采取措施防止滤水篮陷入淤泥或被垃圾堵塞。3、打开雨（污）水井盖，每隔一段时间清理排水口处的树叶和垃圾，加速排水。4、根据排水点距离备足水带，水带沿道路边沿铺设，尽量避免穿越道路，必须穿越时要设置护桥，并提示行人、车辆注意。</w:t>
            </w:r>
          </w:p>
        </w:tc>
        <w:tc>
          <w:tcPr>
            <w:tcW w:w="2656" w:type="dxa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【作战要则】1、对被水围困的群众，通过喊话确认人员位置，采取舟艇转移、人工背抱、担架转送等方式予以救助。</w:t>
            </w:r>
          </w:p>
          <w:p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2、观察水面下降情况，发现水中有车辆、人员等应立即报告指挥员。</w:t>
            </w:r>
          </w:p>
          <w:p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3、长时间抽水时，根据泵浦温度间歇性停机降温，及时补充油料，人员轮换休息和作业。</w:t>
            </w:r>
          </w:p>
          <w:p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</w:rPr>
              <w:t>4、撤离现场前，将打开的雨（污）水井盖复位。</w:t>
            </w:r>
          </w:p>
        </w:tc>
        <w:tc>
          <w:tcPr>
            <w:tcW w:w="3240" w:type="dxa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  <w:lang w:val="en-US" w:eastAsia="zh-CN"/>
              </w:rPr>
              <w:t>【城市内涝救援“六防”】</w:t>
            </w:r>
          </w:p>
          <w:p>
            <w:pP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  <w:shd w:val="clear" w:color="auto" w:fill="FFFFFF"/>
                <w:lang w:val="en-US" w:eastAsia="zh-CN"/>
              </w:rPr>
              <w:t>防触电、防雷击、防中暑、防食物中毒、防热射病，防水下暗井。</w:t>
            </w:r>
          </w:p>
          <w:p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</w:p>
        </w:tc>
        <w:tc>
          <w:tcPr>
            <w:tcW w:w="3030" w:type="dxa"/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color w:val="333333"/>
                <w:kern w:val="2"/>
                <w:sz w:val="18"/>
                <w:szCs w:val="18"/>
                <w:shd w:val="clear" w:color="auto" w:fill="FFFFFF"/>
                <w:lang w:val="en-US" w:eastAsia="zh-CN" w:bidi="ar-SA"/>
              </w:rPr>
            </w:pPr>
          </w:p>
        </w:tc>
      </w:tr>
      <w:bookmarkEnd w:id="0"/>
    </w:tbl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5YzQ5YmEyN2I3Mjk3YjBiOWQ2MGE4Mjg5ZmZmOGYifQ=="/>
  </w:docVars>
  <w:rsids>
    <w:rsidRoot w:val="5CA84F7B"/>
    <w:rsid w:val="5CA84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1"/>
    <w:qFormat/>
    <w:uiPriority w:val="0"/>
    <w:pPr>
      <w:spacing w:after="120"/>
      <w:ind w:firstLine="420"/>
    </w:pPr>
    <w:rPr>
      <w:sz w:val="28"/>
      <w:szCs w:val="21"/>
    </w:rPr>
  </w:style>
  <w:style w:type="paragraph" w:styleId="3">
    <w:name w:val="Body Text Indent"/>
    <w:basedOn w:val="1"/>
    <w:next w:val="4"/>
    <w:qFormat/>
    <w:uiPriority w:val="0"/>
    <w:pPr>
      <w:ind w:firstLine="627"/>
    </w:pPr>
    <w:rPr>
      <w:rFonts w:ascii="仿宋_GB2312"/>
      <w:color w:val="000000"/>
    </w:rPr>
  </w:style>
  <w:style w:type="paragraph" w:styleId="4">
    <w:name w:val="Normal Indent"/>
    <w:basedOn w:val="1"/>
    <w:qFormat/>
    <w:uiPriority w:val="0"/>
    <w:pPr>
      <w:ind w:firstLine="420" w:firstLineChars="200"/>
    </w:pPr>
    <w:rPr>
      <w:rFonts w:eastAsia="仿宋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2024-05-03T12:42:00Z</dcterms:created>
  <dc:creator>红茶。</dc:creator>
  <cp:lastModifiedBy>红茶。</cp:lastModifiedBy>
  <dcterms:modified xsi:type="dcterms:W3CDTF">2024-05-03T12:44:30Z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D18781B5BD5845149EE07C4863AC7165_11</vt:lpwstr>
  </property>
</Properties>
</file>