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1A2744"/>
          <w:sz w:val="72"/>
          <w:szCs w:val="72"/>
        </w:rPr>
        <w:t xml:space="preserve">PyEDI-Core</w:t>
      </w:r>
    </w:p>
    <w:p>
      <w:pPr>
        <w:spacing w:before="0" w:after="8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Configuration-Driven EDI &amp; Flat File Engine</w:t>
      </w:r>
    </w:p>
    <w:p>
      <w:pPr>
        <w:pBdr>
          <w:bottom w:val="single" w:color="C9A84C" w:sz="12"/>
        </w:pBdr>
        <w:spacing w:before="80" w:after="40"/>
      </w:pPr>
      <w:r>
        <w:rPr>
          <w:rFonts w:ascii="Arial" w:cs="Arial" w:eastAsia="Arial" w:hAnsi="Arial"/>
          <w:b/>
          <w:bCs/>
          <w:caps/>
          <w:color w:val="1A2744"/>
          <w:sz w:val="22"/>
          <w:szCs w:val="22"/>
        </w:rPr>
        <w:t xml:space="preserve">CONSOLIDATED DEVELOPER SPECIFICATION &amp; ROADMAP</w:t>
      </w:r>
    </w:p>
    <w:p>
      <w:pPr>
        <w:spacing w:before="12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2.0  |  Confidential</w:t>
      </w:r>
    </w:p>
    <w:p>
      <w:pPr>
        <w:spacing w:before="20" w:after="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Prepared for handoff to coding agent / development team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1. Executive Summary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PyEDI-Core is a configuration-driven, white-labeled ingestion and transformation engine that normalizes X12 EDI, CSV flat files, and XML (generic + cXML) into a standard JSON intermediate format. The engine is designed for deterministic, rule-based processing where all business logic is injected via YAML configuration — no hardcoded transaction logic exists in the codebase.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Philosophy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Configuration over Convention. No if/else chains for transaction types. Every mapping, schema rule, 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transformation is expressed in YAML. The Python engine is a generic executor — the YAML files are the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business logic.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1.1 Design Principles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Strategy Pattern — dynamically loaded drivers per file type/transaction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Deterministic Processing — identical input always produces identical output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Modularity — every concern is an independently callable .py module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Assisted Workflow Ready — designed for LLM-assisted human-in-the-loop operation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Observable — structured logging with correlation IDs at every stage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Testable at Scale — tiered test suite from unit to 5,000-file load tests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1.2 Immediate Use Case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primary goal of v1.0 is to take two normalized JSON outputs from the same or different source formats and compare them reliably. Every JSON output carries a consistent envelope (</w:t>
      </w:r>
      <w:r>
        <w:rPr>
          <w:rFonts w:ascii="Courier New" w:cs="Courier New" w:eastAsia="Courier New" w:hAnsi="Courier New"/>
          <w:sz w:val="18"/>
          <w:szCs w:val="18"/>
        </w:rPr>
        <w:t xml:space="preserve">schema_version, source_system_id, transaction_type, batch_id, correlation_id, processed_at, source_file</w:t>
      </w:r>
      <w:r>
        <w:rPr>
          <w:rFonts w:ascii="Arial" w:cs="Arial" w:eastAsia="Arial" w:hAnsi="Arial"/>
          <w:sz w:val="20"/>
          <w:szCs w:val="20"/>
        </w:rPr>
        <w:t xml:space="preserve">) enabling deterministic comparison without ambiguity.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2. System Architecture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2.1 File &amp; Module Structure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Every concern is encapsulated as an independently callable module. main.py is the CLI entry point. pipeline.py is the orchestrator callable from CLI, external programs, or a REST API layer.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pyedi_core/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main.py                  # CLI entry point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pipeline.py              # Orchestrator — callable by any caller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pyproject.toml           # Installable package definition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config/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config.yaml          # Master configuration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core/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error_handler.py     # Dead letter logic, multi-point injectable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manifest.py          # .processed log, idempotency / dedup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logger.py            # structlog setup, correlation ID generation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mapper.py            # YAML-driven transformation engine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schema_compiler.py   # LegacySchemaCompiler (hash + version aware)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drivers/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base.py              # Abstract TransactionProcessor (ABC)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x12_handler.py       # badx12-based driver (open-ended ST segments)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csv_handler.py       # pandas-based driver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xml_handler.py       # Generic + cXML driver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schemas/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source/              # Raw .txt DSL files from trading partners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compiled/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    ├── gfs_810_map.yaml # Auto-compiled YAML maps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    ├── *.meta.json      # Hash + version sidecar per compiled schema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    └── archive/         # Previous schema versions with datestamp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rules/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gfs_810_map.yaml     # Transaction mapping rules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default_x12_map.yaml # Passthrough fallback for unknown ST segments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outbound/                # Processed JSON output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failed/                  # Dead letter directory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*.error.json         # Sidecar error files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logs/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pyedi.log            # Structured log output (when file mode enabled)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└── .processed               # Flat manifest log — append-only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2.2 Interface Contracts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system must be callable in two modes simultaneously: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Caller Type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main.py --config config.yaml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 invocation, dry-run testing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library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from pyedi_core import Pipeline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Called by any .py script or service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 API (Phase 3)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/process, GET /status/{id}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Called by any HTTP-capable system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Tool (Phase 4)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Tool schema definition</w:t>
            </w:r>
          </w:p>
        </w:tc>
        <w:tc>
          <w:tcPr>
            <w:tcW w:type="dxa" w:w="3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Assisted workflow via function calling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2.3 PipelineResult — The Return Contract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run() always returns a structured PipelineResult Pydantic model. This makes the output programmatically usable by any caller — not just a file written to disk.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class PipelineResult(BaseModel):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status: Literal['SUCCESS', 'FAILED', 'SKIPPED']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correlation_id: str          # UUID per file processed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source_file: str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transaction_type: str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output_path: Optional[str]   # None in dry_run mode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payload: Optional[dict]      # In-memory JSON (available when return_payload=True)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errors: List[str]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processing_time_ms: int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3. Core Module Specifications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3.1 error_handler.py — Dead Letter Queue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error handler is a shared injectable utility called at every stage boundary across all drivers. It is never duplicated — every driver imports the same module.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Exposes a single callable: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handle_failure(file_path, stage, reason, exception)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Moves the failed file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./failed/ directory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Writes a sidecar .error.json with: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stage, reason, exception message, correlation_id, timestamp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Stage values: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DETECTION | VALIDATION | TRANSFORMATION | WRITE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Updates the .processed manifest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status=FAILED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Emits a structured log event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ERROR level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Coverage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error_handler.py is called at: (1) file detection/peek failures, (2) schema validation failures,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(3) transformation/mapping failures, (4) output write failures. No failure escapes silently.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3.2 manifest.py — Idempotency &amp; Dedup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Prevents reprocessing of duplicate files using a SHA-256 content hash. A renamed copy of the same file is still detected as a duplicate.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Format: {sha256_hash}|{filename}|{iso_timestamp}|{status} — one line per file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Status values: SUCCESS | FAILED | SKIPPED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File is append-only — never mutated, safe for concurrent reads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On invocation, pipeline filters inbound files against manifest before processing begins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dry_run mode does NOT update the manifest — re-runs against same files are safe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3.3 logger.py — Structured Observability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Wraps structlog and stamps every log event with a consistent set of fields. Three deployment tiers configured entirely via config.yaml — no code changes required.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80"/>
        <w:gridCol w:w="2280"/>
      </w:tblGrid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Option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Use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log_level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DEBUG | INFO | WARNING | ERROR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 for production, DEBUG for development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console | file | both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console for initial deploy, both for production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pretty | json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pretty for dev, json for log aggregator ingest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log_file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Any path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./logs/pyedi.log default</w:t>
            </w:r>
          </w:p>
        </w:tc>
        <w:tc>
          <w:tcPr>
            <w:tcW w:type="dxa" w:w="2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Every log event carries: </w:t>
      </w:r>
      <w:r>
        <w:rPr>
          <w:rFonts w:ascii="Courier New" w:cs="Courier New" w:eastAsia="Courier New" w:hAnsi="Courier New"/>
          <w:sz w:val="18"/>
          <w:szCs w:val="18"/>
        </w:rPr>
        <w:t xml:space="preserve">correlation_id, file_name, stage, transaction_type, processing_time_ms</w:t>
      </w:r>
      <w:r>
        <w:rPr>
          <w:rFonts w:ascii="Arial" w:cs="Arial" w:eastAsia="Arial" w:hAnsi="Arial"/>
          <w:sz w:val="20"/>
          <w:szCs w:val="20"/>
        </w:rPr>
        <w:t xml:space="preserve">. When </w:t>
      </w:r>
      <w:r>
        <w:rPr>
          <w:rFonts w:ascii="Courier New" w:cs="Courier New" w:eastAsia="Courier New" w:hAnsi="Courier New"/>
          <w:sz w:val="18"/>
          <w:szCs w:val="18"/>
        </w:rPr>
        <w:t xml:space="preserve">format: json</w:t>
      </w:r>
      <w:r>
        <w:rPr>
          <w:rFonts w:ascii="Arial" w:cs="Arial" w:eastAsia="Arial" w:hAnsi="Arial"/>
          <w:sz w:val="20"/>
          <w:szCs w:val="20"/>
        </w:rPr>
        <w:t xml:space="preserve"> is enabled, output is ready for direct ingest by Datadog, Splunk, CloudWatch, or any structured log aggregator with zero additional configuration.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3.4 schema_compiler.py — Version-Aware DSL Parser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Parses proprietary .txt DSL files (def record Header { ... } blocks) into standard PyEDI YAML map format. Designed to be idempotent and version-aware.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On every CSV file detection, check if a compiled YAML exists in ./schemas/compiled/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If it exists, compare SHA-256 hash of source .txt against the stored *.meta.json sidecar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If hashes match: load existing YAML and proceed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If hashes differ: recompile, archive previous version to ./schemas/compiled/archive/ with datestamp suffix, update meta.json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If no compiled YAML exists: compile and write fresh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Parsing rules: extract field names, map types (String→string, Decimal→float, Integer→integer), identify structure (Header / Details / Summary). Output is a standards-compliant gfs_810_map.yaml.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4. Driver Specifications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All drivers implement the AbstractTransactionProcessor base class defined in drivers/base.py with three required methods: read(), transform(), and write(). All drivers call error_handler.py at each stage boundary.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4.1 Abstract Base Class (drivers/base.py)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class TransactionProcessor(ABC):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@abstractmethod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def read(self, file_path: str) -&gt; dict: ...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@abstractmethod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def transform(self, raw_data: dict, map_yaml: dict) -&gt; dict: ...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@abstractmethod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def write(self, payload: dict, output_path: str) -&gt; None: ...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4.2 Driver A — X12 Handler (x12_handler.py)  ★ UPDATED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Input Sanitization (Pre-Parse)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Before any parsing occurs, the handler normalizes the raw X12 content to handle two physical file formats that exist in the wild: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Wrapped format: </w:t>
      </w:r>
      <w:r>
        <w:rPr>
          <w:rFonts w:ascii="Arial" w:cs="Arial" w:eastAsia="Arial" w:hAnsi="Arial"/>
          <w:sz w:val="20"/>
          <w:szCs w:val="20"/>
        </w:rPr>
        <w:t xml:space="preserve">A continuous stream where ~ is the segment terminator (typical of AS2/VAN feeds)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Unwrapped format: </w:t>
      </w:r>
      <w:r>
        <w:rPr>
          <w:rFonts w:ascii="Arial" w:cs="Arial" w:eastAsia="Arial" w:hAnsi="Arial"/>
          <w:sz w:val="20"/>
          <w:szCs w:val="20"/>
        </w:rPr>
        <w:t xml:space="preserve">Newlines added for human readability (common in manually edited files or some FTP drops)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ISA segment is always exactly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106 characters</w:t>
      </w:r>
      <w:r>
        <w:rPr>
          <w:rFonts w:ascii="Arial" w:cs="Arial" w:eastAsia="Arial" w:hAnsi="Arial"/>
          <w:sz w:val="20"/>
          <w:szCs w:val="20"/>
        </w:rPr>
        <w:t xml:space="preserve"> — a fixed guarantee of the X12 standard. The character at position 105 (0-indexed) is always the interchange segment terminator. The sanitizer exploits this: if </w:t>
      </w:r>
      <w:r>
        <w:rPr>
          <w:rFonts w:ascii="Courier New" w:cs="Courier New" w:eastAsia="Courier New" w:hAnsi="Courier New"/>
          <w:sz w:val="18"/>
          <w:szCs w:val="18"/>
        </w:rPr>
        <w:t xml:space="preserve">edi_content[105]</w:t>
      </w:r>
      <w:r>
        <w:rPr>
          <w:rFonts w:ascii="Arial" w:cs="Arial" w:eastAsia="Arial" w:hAnsi="Arial"/>
          <w:sz w:val="20"/>
          <w:szCs w:val="20"/>
        </w:rPr>
        <w:t xml:space="preserve"> is </w:t>
      </w:r>
      <w:r>
        <w:rPr>
          <w:rFonts w:ascii="Courier New" w:cs="Courier New" w:eastAsia="Courier New" w:hAnsi="Courier New"/>
          <w:sz w:val="18"/>
          <w:szCs w:val="18"/>
        </w:rPr>
        <w:t xml:space="preserve">\n</w:t>
      </w:r>
      <w:r>
        <w:rPr>
          <w:rFonts w:ascii="Arial" w:cs="Arial" w:eastAsia="Arial" w:hAnsi="Arial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sz w:val="18"/>
          <w:szCs w:val="18"/>
        </w:rPr>
        <w:t xml:space="preserve">\r</w:t>
      </w:r>
      <w:r>
        <w:rPr>
          <w:rFonts w:ascii="Arial" w:cs="Arial" w:eastAsia="Arial" w:hAnsi="Arial"/>
          <w:sz w:val="20"/>
          <w:szCs w:val="20"/>
        </w:rPr>
        <w:t xml:space="preserve">, newlines are real delimiters and must be preserved; if it is anything else (e.g. </w:t>
      </w:r>
      <w:r>
        <w:rPr>
          <w:rFonts w:ascii="Courier New" w:cs="Courier New" w:eastAsia="Courier New" w:hAnsi="Courier New"/>
          <w:sz w:val="18"/>
          <w:szCs w:val="18"/>
        </w:rPr>
        <w:t xml:space="preserve">~</w:t>
      </w:r>
      <w:r>
        <w:rPr>
          <w:rFonts w:ascii="Arial" w:cs="Arial" w:eastAsia="Arial" w:hAnsi="Arial"/>
          <w:sz w:val="20"/>
          <w:szCs w:val="20"/>
        </w:rPr>
        <w:t xml:space="preserve">), newlines are cosmetic and are stripped before parsing begins. This ensures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badx12</w:t>
      </w:r>
      <w:r>
        <w:rPr>
          <w:rFonts w:ascii="Arial" w:cs="Arial" w:eastAsia="Arial" w:hAnsi="Arial"/>
          <w:sz w:val="20"/>
          <w:szCs w:val="20"/>
        </w:rPr>
        <w:t xml:space="preserve"> always receives well-formed input regardless of source formatting.</w:t>
      </w:r>
    </w:p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if edi_content and len(edi_content) &gt; 106: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potential_terminator = edi_content[105]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if potential_terminator not in ['\r', '\n']: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edi_content = edi_content.replace('\n', '').replace('\r', '')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Parsing via badx12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handler delegates all X12 parsing to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badx12</w:t>
      </w:r>
      <w:r>
        <w:rPr>
          <w:rFonts w:ascii="Arial" w:cs="Arial" w:eastAsia="Arial" w:hAnsi="Arial"/>
          <w:sz w:val="20"/>
          <w:szCs w:val="20"/>
        </w:rPr>
        <w:t xml:space="preserve"> library. badx12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transaction-agnostic by design</w:t>
      </w:r>
      <w:r>
        <w:rPr>
          <w:rFonts w:ascii="Arial" w:cs="Arial" w:eastAsia="Arial" w:hAnsi="Arial"/>
          <w:sz w:val="20"/>
          <w:szCs w:val="20"/>
        </w:rPr>
        <w:t xml:space="preserve">: it parses the universal X12 envelope structure (ISA → GS → ST → body segments → SE → GE → IEA) without needing to know what the body segments mean. An 810 Invoice, 850 Purchase Order, 856 Ship Notice, and any other transaction set all parse successfully with the same two-line call — no per-transaction schema or configuration is required at the parsing layer.</w:t>
      </w:r>
    </w:p>
    <w:p>
      <w:pPr>
        <w:spacing w:before="8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parser = Parser()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document = parser.parse_document(edi_content)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full_data = document.to_dict()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returned </w:t>
      </w:r>
      <w:r>
        <w:rPr>
          <w:rFonts w:ascii="Courier New" w:cs="Courier New" w:eastAsia="Courier New" w:hAnsi="Courier New"/>
          <w:sz w:val="18"/>
          <w:szCs w:val="18"/>
        </w:rPr>
        <w:t xml:space="preserve">full_data</w:t>
      </w:r>
      <w:r>
        <w:rPr>
          <w:rFonts w:ascii="Arial" w:cs="Arial" w:eastAsia="Arial" w:hAnsi="Arial"/>
          <w:sz w:val="20"/>
          <w:szCs w:val="20"/>
        </w:rPr>
        <w:t xml:space="preserve"> dictionary exposes the full document hierarchy: interchange → groups → transaction_sets → body segments — all as generic field arrays.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There is no configuration loaded at this stage and no schema required. Any well-formed X12 document produces a valid output from these three lines.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Segment Detection &amp; Transaction Routing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After parsing, the ST segment header is inspected to extract the Transaction Set ID (ST01, e.g. '810', '850', '856'). This ID is looked up in the </w:t>
      </w:r>
      <w:r>
        <w:rPr>
          <w:rFonts w:ascii="Courier New" w:cs="Courier New" w:eastAsia="Courier New" w:hAnsi="Courier New"/>
          <w:sz w:val="18"/>
          <w:szCs w:val="18"/>
        </w:rPr>
        <w:t xml:space="preserve">transaction_registry</w:t>
      </w:r>
      <w:r>
        <w:rPr>
          <w:rFonts w:ascii="Arial" w:cs="Arial" w:eastAsia="Arial" w:hAnsi="Arial"/>
          <w:sz w:val="20"/>
          <w:szCs w:val="20"/>
        </w:rPr>
        <w:t xml:space="preserve"> defined in </w:t>
      </w:r>
      <w:r>
        <w:rPr>
          <w:rFonts w:ascii="Courier New" w:cs="Courier New" w:eastAsia="Courier New" w:hAnsi="Courier New"/>
          <w:sz w:val="18"/>
          <w:szCs w:val="18"/>
        </w:rPr>
        <w:t xml:space="preserve">config.yaml</w:t>
      </w:r>
      <w:r>
        <w:rPr>
          <w:rFonts w:ascii="Arial" w:cs="Arial" w:eastAsia="Arial" w:hAnsi="Arial"/>
          <w:sz w:val="20"/>
          <w:szCs w:val="20"/>
        </w:rPr>
        <w:t xml:space="preserve">. The registry is the only place transaction types are enumerated in the entire system.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Match found: </w:t>
      </w:r>
      <w:r>
        <w:rPr>
          <w:rFonts w:ascii="Arial" w:cs="Arial" w:eastAsia="Arial" w:hAnsi="Arial"/>
          <w:sz w:val="20"/>
          <w:szCs w:val="20"/>
        </w:rPr>
        <w:t xml:space="preserve">the corresponding map YAML is loaded and passed to mapper.py for field-level transformation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match found: </w:t>
      </w:r>
      <w:r>
        <w:rPr>
          <w:rFonts w:ascii="Arial" w:cs="Arial" w:eastAsia="Arial" w:hAnsi="Arial"/>
          <w:sz w:val="20"/>
          <w:szCs w:val="20"/>
        </w:rPr>
        <w:t xml:space="preserve">falls back to default_x12_map.yaml, produces raw passthrough JSON of all segments in document order, logs UNMAPPED_TRANSACTION at WARNING level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Normalized Segment Output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Regardless of transaction type, all body segments are reconstructed into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flat, ordered list</w:t>
      </w:r>
      <w:r>
        <w:rPr>
          <w:rFonts w:ascii="Arial" w:cs="Arial" w:eastAsia="Arial" w:hAnsi="Arial"/>
          <w:sz w:val="20"/>
          <w:szCs w:val="20"/>
        </w:rPr>
        <w:t xml:space="preserve"> preserving original document sequence (ISA → GS → ST → body → SE → GE → IEA). Each segment is emitted as a self-describing object: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"segment": "BIG",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"fields": [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 "name": "BIG01", "content": "20250221" 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 "name": "BIG02", "content": "INV-00123" 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 "name": "BIG03", "content": "" 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 "name": "BIG04", "content": "PO-456" 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Field names follow the standard X12 convention: </w:t>
      </w:r>
      <w:r>
        <w:rPr>
          <w:rFonts w:ascii="Courier New" w:cs="Courier New" w:eastAsia="Courier New" w:hAnsi="Courier New"/>
          <w:sz w:val="18"/>
          <w:szCs w:val="18"/>
        </w:rPr>
        <w:t xml:space="preserve">&lt;SEGMENT_TAG&gt;&lt;2-digit-position&gt;</w:t>
      </w:r>
      <w:r>
        <w:rPr>
          <w:rFonts w:ascii="Arial" w:cs="Arial" w:eastAsia="Arial" w:hAnsi="Arial"/>
          <w:sz w:val="20"/>
          <w:szCs w:val="20"/>
        </w:rPr>
        <w:t xml:space="preserve"> (e.g. ISA01, GS02, IT104). This normalized structure is the input that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mapper.py</w:t>
      </w:r>
      <w:r>
        <w:rPr>
          <w:rFonts w:ascii="Arial" w:cs="Arial" w:eastAsia="Arial" w:hAnsi="Arial"/>
          <w:sz w:val="20"/>
          <w:szCs w:val="20"/>
        </w:rPr>
        <w:t xml:space="preserve"> consumes to apply YAML-driven field mappings.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X12 Open-Ended Design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badx12 parses any well-formed X12 document without transaction-specific configuration — segment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meaning is deliberately deferred to the YAML mapping layer. The transaction_registry in config.yaml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 the only place transaction types are enumerated. The engine never hard-fails on an unknown 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segment: it processes all segments generically, emits ordered JSON, and flags unmapped types 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WARNING level. Adding support for a new transaction type requires dropping a new map YAML and adding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line to config.yaml — zero changes to x12_handler.py.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4.3 Driver B — CSV Handler (csv_handler.py)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Detection: file extension .csv or naming convention defined in config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Triggers LegacySchemaCompiler check before processing begins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Uses pandas to read CSV, enforcing data types and headers from compiled YAML schema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Row-level iteration mapped to lines[] array in output JSON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Missing required fields and type mismatches route to error_handler.py at VALIDATION stage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4.4 Driver C — XML Handler (xml_handler.py)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Detection: file extension .xml or .cxml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Auto-detect cXML: check root element or DOCTYPE declaration on file peek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Generic XML: uses Python built-in xml.etree.ElementTree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cXML: adds XPath-style source path awareness for cXML-specific hierarchy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map.yaml source paths use XPath notation for XML (e.g., source: './/OrderRequest/OrderRequestHeader/@orderID')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Fully parallel to X12 handler — same map.yaml structure, different source path syntax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5. Configuration Specification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5.1 Master config.yaml Structure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All config is loaded via a Pydantic BaseSettings model at startup. Type errors and missing required fields produce clear, human-readable errors before any file is touched.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system: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source_system_id: 'gfs'       # Stamped in every JSON envelope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max_workers: 8                 # ThreadPoolExecutor concurrency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dry_run: false                 # Override with --dry-run CLI flag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return_payload: false          # Return JSON in memory vs disk-only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observability: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log_level: INFO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output: console                # console | file | both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log_file: ./logs/pyedi.log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format: pretty                 # pretty | json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directories: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inbound: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 ./inbound/x12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 ./inbound/csv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 ./inbound/xml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outbound: ./outbound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failed: ./failed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manifest: ./.processed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transaction_registry: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'810': ./rules/gfs_810_map.yaml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'850': ./rules/gfs_850_map.yaml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gfs_csv: ./rules/gfs_csv_map.yaml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cxml_850: ./rules/cxml_850_map.yaml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_default_x12: ./rules/default_x12_map.yaml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5.2 Map YAML Structure — Reference Example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rules/gfs_810_map.yaml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transaction_type: '810_INVOICE'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input_format: 'CSV'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schema: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delimiter: ','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columns: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 name: 'Invoice Number'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type: string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required: 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 name: 'Invoice Date'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type: date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format: '%m/%d/%Y'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 name: 'Net Case Price'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type: float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default: 0.0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mapping: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header: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invoice_id: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source: 'Invoice Number'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date: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source: 'Invoice Date'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lines: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item_id: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source: 'Item Number'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unit_price: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source: 'Net Case Price'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transform: to_float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5.3 Output JSON Envelope — Standard Structure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Every output file shares this envelope regardless of source format. Enables reliable downstream comparison.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"envelope":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"schema_version": "1.0",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"source_system_id": "gfs",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"transaction_type": "810",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"input_format": "CSV",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"batch_id": "&lt;uuid&gt;",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"correlation_id": "&lt;uuid&gt;",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"processed_at": "2025-01-15T14:23:00Z",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"source_file": "GENSB_810_20250115.csv"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"payload": {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"header": {},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"lines": [],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"summary": {}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6. Multi-Caller Architecture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PyEDI-Core is designed from the ground up to be callable by any system. The core engine never changes — only thin interface layers are added per caller type.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6.1 Layer 1 — Python Library (Phase 2)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lowest-effort upgrade. Any Python script can import and call the pipeline directly: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pyedi_core import Pipeline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result = Pipeline(config_path='./config/config.yaml').run(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file='GENSB_810.csv',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return_payload=True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if result.status == 'SUCCESS':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compare_json(result.payload, other_payload)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Requires </w:t>
      </w:r>
      <w:r>
        <w:rPr>
          <w:rFonts w:ascii="Courier New" w:cs="Courier New" w:eastAsia="Courier New" w:hAnsi="Courier New"/>
          <w:sz w:val="18"/>
          <w:szCs w:val="18"/>
        </w:rPr>
        <w:t xml:space="preserve">pyproject.toml</w:t>
      </w:r>
      <w:r>
        <w:rPr>
          <w:rFonts w:ascii="Arial" w:cs="Arial" w:eastAsia="Arial" w:hAnsi="Arial"/>
          <w:sz w:val="20"/>
          <w:szCs w:val="20"/>
        </w:rPr>
        <w:t xml:space="preserve"> for </w:t>
      </w:r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  <w:r>
        <w:rPr>
          <w:rFonts w:ascii="Arial" w:cs="Arial" w:eastAsia="Arial" w:hAnsi="Arial"/>
          <w:sz w:val="20"/>
          <w:szCs w:val="20"/>
        </w:rPr>
        <w:t xml:space="preserve"> (local) or private PyPI (distributed)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Clean </w:t>
      </w:r>
      <w:r>
        <w:rPr>
          <w:rFonts w:ascii="Courier New" w:cs="Courier New" w:eastAsia="Courier New" w:hAnsi="Courier New"/>
          <w:sz w:val="18"/>
          <w:szCs w:val="18"/>
        </w:rPr>
        <w:t xml:space="preserve">__init__.py</w:t>
      </w:r>
      <w:r>
        <w:rPr>
          <w:rFonts w:ascii="Arial" w:cs="Arial" w:eastAsia="Arial" w:hAnsi="Arial"/>
          <w:sz w:val="20"/>
          <w:szCs w:val="20"/>
        </w:rPr>
        <w:t xml:space="preserve"> exposes only public interface: Pipeline, PipelineResult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6.2 Layer 2 — REST API (Phase 3, FastAPI)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 thin api/ layer wraps the library. Zero changes to core engine required.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/process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Submit file path or upload. Returns PipelineResult JSON.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/status/{correlation_id}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Look up processing status from manifest.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/manifest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Return full processing history log.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/dry-run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Validate + transform without writing output.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6.3 Layer 3 — LLM Assisted Workflow (Phase 4)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Decision: Assisted, Not Autonomous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LLM never writes to the pipeline or mutates config directly. It reads results, explains them, 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helps draft artifacts that a human reviews and approves. The pipeline remains a closed, deterministic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system. This is the correct boundary for financial document processing.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 Tool Action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Underlying Call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Value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Query failed files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/manifest (filter FAILED)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Plain English error summary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Triage error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/status/{id} + read .error.json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Explain what failed and why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Validate new file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/dry-run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Schema gap analysis in plain English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Draft map YAML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API call — LLM reasoning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Human reviews before committing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 pipeline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/process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Human triggers — LLM never auto-runs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7. Testing Strategy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Three tiers of test coverage provide confidence at every scale level. Tests are structured so each tier can run independently.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7.1 Test Stack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80"/>
        <w:gridCol w:w="1880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It Runs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pytest + pytest-mock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Unit and integration tests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 commit (CI)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pytest-benchmark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Performance benchmarking per stage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 commit (CI)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Locust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load testing at 50–5,000 file volume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Pre-release / scheduled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pytest-cov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Line coverage reporting (target: 85%+ core)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 commit (CI)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generator utility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Synthetic fixture generation at scale</w:t>
            </w:r>
          </w:p>
        </w:tc>
        <w:tc>
          <w:tcPr>
            <w:tcW w:type="dxa" w:w="3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Scale test runs</w:t>
            </w:r>
          </w:p>
        </w:tc>
        <w:tc>
          <w:tcPr>
            <w:tcW w:type="dxa" w:w="1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7.2 Tier 1 — Unit Tests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Every module with logic gets isolated unit tests. I/O is mocked. Runs in seconds.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manifest.py — duplicate detection via hash, status write correctness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schema_compiler.py — known .txt DSL input produces exact expected YAML output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mapper.py — known input dict + known map.yaml produces exact expected JSON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error_handler.py — correct .error.json written, file moved to ./failed/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Each driver in isolation — mock file I/O, test parse and transform logic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7.3 Tier 2 — Integration Tests (Fixture Files)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Full pipeline end-to-end against real representative files. Output validated against known-good expected JSON.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tests/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fixtures/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x12/valid_810.edi, malformed_810.edi, unknown_transaction.edi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csv/valid_gfs_810.csv, missing_required_field.csv, wrong_type.csv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xml/valid_cxml_850.xml, malformed.xml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└── expected_outputs/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├── valid_810_expected.json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└── valid_gfs_810_expected.json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Negative Path Testing is Mandatory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Files that are supposed to fail must be tested explicitly. Assert that malformed files land in ./failed/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with the correct stage and reason in the sidecar .error.json. Testing failure paths is as important 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testing success paths in a pipeline.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7.4 Tier 3 — Scale &amp; Load Tests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File generator utility creates N synthetic files parameterized by transaction type, row count, and error injection rate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pytest-benchmark measures per-stage performance to catch regressions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Locust tests FastAPI layer under concurrent load simulating real-time file drop volume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Scale tests run on a schedule or manually before releases — not on every commit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7.5 Test Configuration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pytest.ini or pyproject.toml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[tool.pytest.ini_options]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markers = [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'unit: fast, no I/O, runs in seconds',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'integration: uses fixture files, runs in under a minute',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'scale: heavy, run before releases only'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pytest -m unit            # CI — every commit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pytest -m integration     # CI — every commit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pytest -m scale           # Manual — pre-release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pytest --cov=pyedi_core --cov-report=html  # Coverage report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8. Dependencies &amp; Environment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000"/>
        <w:gridCol w:w="1760"/>
      </w:tblGrid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Pin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badx12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X12 EDI parsing, loop/segment hierarchy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&gt;=2.0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CSV ingestion, schema enforcement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pyyaml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&gt;=6.0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YAML config and map file loading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&gt;=2.0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 validation, PipelineResult model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structlog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&gt;=23.0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Structured logging with correlation IDs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&gt;=0.110 (Phase 3)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 API wrapper layer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uvicorn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&gt;=0.27 (Phase 3)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ASGI server for FastAPI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pytest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&gt;=8.0 (dev)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 runner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pytest-mock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latest (dev)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Mocking for unit tests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pytest-benchmark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latest (dev)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Performance benchmarking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pytest-cov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latest (dev)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Coverage reporting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locust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latest (dev)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Load / scale testing</w:t>
            </w:r>
          </w:p>
        </w:tc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9. Development Roadmaps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9.1 Build Sequence Roadmap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Each phase builds on the previous. No phase requires rework of prior phases — only additive layers.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5560"/>
        <w:gridCol w:w="1200"/>
      </w:tblGrid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Core Engine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core/ modules, all 3 drivers, config.yaml + Pydantic validation, CLI via main.py, .processed manifest, dead letter queue, dry-run mode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Weeks 1–3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Library Interface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pyproject.toml, clean __init__.py, PipelineResult model, pip install -e . support, ThreadPoolExecutor concurrency, 85%+ test coverage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 API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FastAPI app, /process /status /manifest /dry-run endpoints, Pydantic request/response models, API integration tests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Tool Layer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Tool schema definitions (read-only + dry-run), assisted workflow documentation, human-approval boundary enforcement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6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Scale Hardening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Locust load tests at 5,000 files, benchmark regressions resolved, max_workers tuning guide, monitoring dashboard config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7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9.2 Feature Roadmap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 Comparison Engine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 — v1.1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Built-in diff tool using the envelope correlation_id to match and compare two normalized JSON outputs field-by-field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Output Schema Versioning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 — v1.1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Define and enforce a canonical JSON schema contract. Version the envelope schema_version field.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Private PyPI Publishing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 — v1.2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Publish pyedi_core as an installable package to a private registry for distribution across projects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MCP Server Wrapper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 — v1.2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Expose pipeline as a Model Context Protocol server for native integration with MCP-compatible LLM clients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Webhook / Event Triggers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 — v2.0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Optional event-driven trigger layer (S3 events, message queue) as an alternative to on-demand CLI/API invocation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 Operator Dashboard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— v2.0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Simple UI for non-technical operators to view manifest, triage failures, and trigger dry-runs without CLI access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Additional XML Dialects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— v2.0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Extend xml_handler.py to support UBL, EDIFACT, or other dialects via additional driver sub-classes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Streaming Large Files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— v2.0</w:t>
            </w:r>
          </w:p>
        </w:tc>
        <w:tc>
          <w:tcPr>
            <w:tcW w:type="dxa" w:w="5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Chunked processing for CSV files exceeding memory limits (&gt;1M rows)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9.3 Observability Maturity Roadmap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 Unlocked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Initial Deploy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format: pretty, output: console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Human-readable logs for development and initial testing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Production v1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format: json, output: both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Structured logs ready for aggregator ingest. File log as backup.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Production v2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Pipe json log to aggregator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correlation ID trace across files. Alerting on ERROR events. Dashboard.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Scale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metrics endpoint to FastAPI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Prometheus/Grafana metrics: files/min, failure rate, stage latencies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10. Coding Agent Handoff Instructions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Instructions for the Coding Agent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Phase 1 first. Do not skip ahead to FastAPI or LLM layers. Every module in core/ is independently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testable — build and test each one before wiring them into pipeline.py. The YAML map files are the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business logic. The Python code is a generic executor. Never hardcode transaction type logic in .py files.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10.1 Build Order Within Phase 1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Follow this exact sequence to avoid circular dependencies: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1. logger.py — everything else will call this first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2. manifest.py — needs logger only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3. error_handler.py — needs logger and manifest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4. schema_compiler.py — needs logger and error_handler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5. mapper.py — needs logger and error_handler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6. drivers/base.py — abstract class, no dependencies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7. drivers/csv_handler.py — needs schema_compiler, mapper, error_handler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8. drivers/x12_handler.py — needs mapper, error_handler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9. drivers/xml_handler.py — needs mapper, error_handler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10. pipeline.py — wires all drivers, manifest, logger together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11. main.py — CLI entry point, calls pipeline.py only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10.2 Non-Negotiable Implementation Rules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No hardcoded transaction type logic anywhere in .py files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error_handler.py must be called at every stage boundary in every driver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All config loaded via Pydantic — no raw dict access from yaml.safe_load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logger.py must stamp correlation_id on every log event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dry_run mode must not write any files and must not update .processed manifest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ThreadPoolExecutor max_workers must be configurable — never hardcoded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schema_compiler must check hash before recompiling — never blindly overwrite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10.3 Definition of Done — Phase 1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All modules in core/ have unit tests passing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All three drivers process their respective fixture files successfully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Negative path fixtures route correctly to ./failed/ with populated .error.json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dry-run mode validates and transforms without writing any output files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pytest-cov reports 85%+ coverage on all core/ modules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A single unknown X12 transaction type is processed via default_x12_map.yaml fallback without crashing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pip install -e . completes without errors</w:t>
      </w:r>
    </w:p>
    <w:p>
      <w:r>
        <w:br w:type="page"/>
      </w:r>
    </w:p>
    <w:p>
      <w:pPr>
        <w:pBdr>
          <w:bottom w:val="single" w:color="2E75B6" w:sz="16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Change Control Record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section documents the specification change applied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Section 4.2 — Driver A: X12 Handler (x12_handler.py)</w:t>
      </w:r>
      <w:r>
        <w:rPr>
          <w:rFonts w:ascii="Arial" w:cs="Arial" w:eastAsia="Arial" w:hAnsi="Arial"/>
          <w:sz w:val="20"/>
          <w:szCs w:val="20"/>
        </w:rPr>
        <w:t xml:space="preserve"> in Version 2.0 of this document. The change refactors the X12 handler specification to incorporate the implementation patterns established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EDI_PROCESSOR_SPEC.md</w:t>
      </w:r>
      <w:r>
        <w:rPr>
          <w:rFonts w:ascii="Arial" w:cs="Arial" w:eastAsia="Arial" w:hAnsi="Arial"/>
          <w:sz w:val="20"/>
          <w:szCs w:val="20"/>
        </w:rPr>
        <w:t xml:space="preserve"> and validated by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edi_processor.py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Change ID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PCR-2025-001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PyEDI_Core_Specification.docx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2.0 → 2.0 (Section revision)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Section Affected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4.2 — Driver A: X12 Handler (x12_handler.py)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Reference Sources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EDI_PROCESSOR_SPEC.md · edi_processor.py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February 21, 2026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PyEDI-Core Architecture Review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Approved — Incorporated into Specification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11.1 Reason for Change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original Section 4.2 described the X12 handler in high-level terms — referencing badx12 and the transaction_registry — but omitted three implementation-critical behaviors that were only documented in a separate EDI processor specification and reference implementation. This gap created a risk that a coding agent or developer building x12_handler.py from the main specification alone would produce an incomplete or incorrectly behaving driver. The change closes this gap by promoting those behaviors to first-class specification requirements.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11.2 Summary of Changes</w:t>
      </w:r>
    </w:p>
    <w:p>
      <w:pPr>
        <w:spacing w:before="6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Change 1 of 4 — Input Sanitization Added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</w:t>
            </w:r>
          </w:p>
        </w:tc>
        <w:tc>
          <w:tcPr>
            <w:tcW w:type="dxa" w:w="8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The original specification contained no reference to input sanitization or the two physical EDI file formats (wrapped vs. unwrapped). The driver was specified only as:</w:t>
            </w:r>
          </w:p>
          <w:p>
            <w:pPr>
              <w:spacing w:before="40" w:after="2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"Detection: peek at file header, extract ST segment Transaction ID"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 mention of wrapped/unwrapped format handling, ISA segment length exploitation, or pre-parse normalization.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A7C5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</w:t>
            </w:r>
          </w:p>
        </w:tc>
        <w:tc>
          <w:tcPr>
            <w:tcW w:type="dxa" w:w="8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dedicated Input Sanitization (Pre-Parse) subsection now specifies: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two physical EDI format types (wrapped / unwrapped) and their real-world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ISA 106-character fixed-length guarantee and how position 105 (0-indexed) is used as the terminator detection mechanism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conditional logic: preserve newlines if they are terminators, strip if cosmetic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reference implementation code block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Change 2 of 4 — badx12 Parsing Mechanism Expanded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</w:t>
            </w:r>
          </w:p>
        </w:tc>
        <w:tc>
          <w:tcPr>
            <w:tcW w:type="dxa" w:w="8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The original specification described badx12 usage in a single bullet with no implementation detail:</w:t>
            </w:r>
          </w:p>
          <w:p>
            <w:pPr>
              <w:spacing w:before="40" w:after="2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"Uses badx12 library for all X12 parsing — loop awareness and segment hierarchy are handled by the library"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 explanation of why badx12 is transaction-agnostic, what the actual API call looks like, or what the output dictionary structure contains.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A7C5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</w:t>
            </w:r>
          </w:p>
        </w:tc>
        <w:tc>
          <w:tcPr>
            <w:tcW w:type="dxa" w:w="8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dedicated Parsing via badx12 subsection now specifies: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Why badx12 is transaction-agnostic: it parses the universal X12 envelope (ISA→GS→ST→body→SE→GE→IEA) without caring about body segment semantics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three-line parse API: Parser(), parse_document(), to_dict()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 explicit statement that no configuration or schema is loaded at the parsing stage — any well-formed X12 document produces valid output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Change 3 of 4 — Normalized Segment Output Format Defined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</w:t>
            </w:r>
          </w:p>
        </w:tc>
        <w:tc>
          <w:tcPr>
            <w:tcW w:type="dxa" w:w="8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The original specification described the driver output only in terms of its final destination:</w:t>
            </w:r>
          </w:p>
          <w:p>
            <w:pPr>
              <w:spacing w:before="40" w:after="2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"Apply YAML mapping rules from matched map file via mapper.py"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There was no specification of the intermediate normalized segment structure that mapper.py actually receives — leaving the interface contract between x12_handler.py and mapper.py undefined.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A7C5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</w:t>
            </w:r>
          </w:p>
        </w:tc>
        <w:tc>
          <w:tcPr>
            <w:tcW w:type="dxa" w:w="8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dedicated Normalized Segment Output subsection now specifies: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body segments are reconstructed into a flat, ordered list preserving original document sequence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self-describing segment object format: { "segment": "BIG", "fields": [{ "name": "BIG01", "content": "..." }]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X12 field naming convention: &lt;SEGMENT_TAG&gt;&lt;2-digit-position&gt; (e.g. ISA01, GS02, IT104)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Change 4 of 4 — Open-Ended Design Callout Updated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BEFORE</w:t>
            </w:r>
          </w:p>
        </w:tc>
        <w:tc>
          <w:tcPr>
            <w:tcW w:type="dxa" w:w="8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The original callout box stated the design principle but did not attribute the mechanism that makes it possible:</w:t>
            </w:r>
          </w:p>
          <w:p>
            <w:pPr>
              <w:spacing w:before="40" w:after="2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"The transaction_registry in config.yaml is the only place transaction types are enumerated. The engine never hard-fails on an unknown ST segment."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 mention of badx12's role in enabling this, or the explicit guarantee that x12_handler.py requires zero code changes for new transaction types.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A7C5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</w:t>
            </w:r>
          </w:p>
        </w:tc>
        <w:tc>
          <w:tcPr>
            <w:tcW w:type="dxa" w:w="88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5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callout now explicitly credits badx12 as the enabling mechanism and adds the zero-code-change guarantee: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States that badx12 parses any well-formed X12 document without transaction-specific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Clarifies that segment meaning is deferred to the YAML mapping layer — not suppressed or lost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Makes the zero-code-change guarantee explicit: new transaction type = new map YAML + one config.yaml line, zero changes to x12_handler.py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11.3 What Did Not Change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following behaviors from the original Section 4.2 are unchanged and carried forward into the revised section: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Transaction routing via transaction_registry in config.yaml — still the only enumeration point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Fallback to default_x12_map.yaml for unknown ST segments — still the graceful degradation path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UNMAPPED_TRANSACTION WARNING log — still emitted on fallback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Delegation to mapper.py for field-level transformation — still the handoff point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The strategy pattern and ABC compliance (read / transform / write) — unchanged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The non-negotiable rule: no hardcoded transaction type logic in .py files</w:t>
      </w:r>
    </w:p>
    <w:p>
      <w:pPr>
        <w:spacing w:before="1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11.4 Impact Assessment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960"/>
        <w:gridCol w:w="2200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x12_handler.py implementation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Three new implementation requirements added to the driver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sanitization, correct parse call, normalized segment output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mapper.py interface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Normalized segment structure now formally defined as the input contract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Verify mapper.py accepts the BIG01/BIG02-style field format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Unit tests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New sanitization and segment output behaviors require test coverage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unit tests for wrapped/unwrapped detection and segment format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Other drivers (CSV, XML)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Change is scoped exclusively to x12_handler.py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action required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config.yaml / YAML maps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configuration schema changes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action required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pipeline.py / main.py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orchestration changes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action required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11.5 Approval &amp; Sign-Off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Team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Architecture Lead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</w:tr>
      <w:t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Development Lead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</w:tr>
      <w:t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</w:tr>
      <w:t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_______________________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120" w:after="0"/>
    </w:pPr>
    <w:r>
      <w:rPr>
        <w:rFonts w:ascii="Arial" w:cs="Arial" w:eastAsia="Arial" w:hAnsi="Arial"/>
        <w:color w:val="595959"/>
        <w:sz w:val="16"/>
        <w:szCs w:val="16"/>
      </w:rPr>
      <w:t xml:space="preserve">Configuration-Driven EDI &amp; Flat File Engine  |  </w:t>
    </w: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spacing w:before="0" w:after="120"/>
    </w:pPr>
    <w:r>
      <w:rPr>
        <w:rFonts w:ascii="Arial" w:cs="Arial" w:eastAsia="Arial" w:hAnsi="Arial"/>
        <w:color w:val="595959"/>
        <w:sz w:val="16"/>
        <w:szCs w:val="16"/>
      </w:rPr>
      <w:t xml:space="preserve">PyEDI-Core  |  Developer Specification v2.0</w:t>
    </w: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4C" w:sz="6" w:space="4"/>
      </w:pBdr>
      <w:spacing w:before="360" w:after="12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274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73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2026-02-21T17:48:40.330Z</dcterms:created>
  <dcterms:modified xsi:type="dcterms:W3CDTF">2026-02-21T17:48:40.331Z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