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Draft Proclamation touching the Scottish border</w:t>
      </w:r>
    </w:p>
    <w:p>
      <w:r>
        <w:t>By the King our Sovereign Lord, and the advice of his Council:</w:t>
      </w:r>
    </w:p>
    <w:p>
      <w:r>
        <w:t>Whereas divers matters touching the Scottish border require ordering, be it proclaimed throughout the realm that the following shall be observed by all subjects.</w:t>
      </w:r>
    </w:p>
    <w:p>
      <w:r>
        <w:t>DRAFT — not for issue. Subject to the King's pleasure and the Council's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Proclamation touching the Scottish border</dc:title>
  <dc:subject/>
  <dc:creator>Queen Anne Boleyn</dc:creator>
  <cp:keywords/>
  <dc:description>generated by python-docx</dc:description>
  <cp:lastModifiedBy>Queen Anne Boleyn</cp:lastModifiedBy>
  <cp:revision>1</cp:revision>
  <dcterms:created xsi:type="dcterms:W3CDTF">1532-02-16T09:30:00Z</dcterms:created>
  <dcterms:modified xsi:type="dcterms:W3CDTF">1532-02-16T09:30:00Z</dcterms:modified>
  <cp:category>(loose)</cp:category>
</cp:coreProperties>
</file>