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Articles of Visitation for the Religious Houses</w:t>
      </w:r>
    </w:p>
    <w:p>
      <w:r>
        <w:t>By the King's authority as Supreme Head, the following houses are to be visited and their revenues, plate, and ornaments faithfully recorded.</w:t>
      </w:r>
    </w:p>
    <w:p>
      <w:r>
        <w:t>Commissioners shall enquire into the manner of life of the religious, the value of lands, and all debts owing.</w:t>
      </w:r>
    </w:p>
    <w:p>
      <w:r>
        <w:t>Returns are to be made to the office of the Vicegerent with all speed.</w:t>
      </w:r>
    </w:p>
    <w:p/>
    <w:p>
      <w:r>
        <w:t>By command of Thomas Cromwell, Vicegerent in Spirituals.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Articles of Visitation for the Religious Houses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1535-01-18T07:00:00Z</dcterms:created>
  <dcterms:modified xsi:type="dcterms:W3CDTF">1535-01-18T07:00:00Z</dcterms:modified>
  <cp:category>Dissolution</cp:category>
</cp:coreProperties>
</file>