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Global Technology Roadmap 2040</w:t>
      </w:r>
    </w:p>
    <w:p>
      <w:pPr>
        <w:pStyle w:val="Heading2"/>
      </w:pPr>
      <w:r>
        <w:t>Chapter 26 – Global Technology Roadmap</w:t>
      </w:r>
    </w:p>
    <w:p>
      <w:pPr>
        <w:pStyle w:val="Heading3"/>
      </w:pPr>
      <w:r>
        <w:t>Purpose</w:t>
      </w:r>
    </w:p>
    <w:p>
      <w:r>
        <w:t>Define the technology roadmap that will guide Fresco's R&amp;D, capital investment and partnerships through 2040.</w:t>
      </w:r>
    </w:p>
    <w:p>
      <w:pPr>
        <w:pStyle w:val="Heading3"/>
      </w:pPr>
      <w:r>
        <w:t>Technology Domains</w:t>
      </w:r>
    </w:p>
    <w:p>
      <w:r>
        <w:t>Priority technology platforms:</w:t>
        <w:br/>
        <w:t>• Mineral coating systems</w:t>
        <w:br/>
        <w:t>• Fire protection systems</w:t>
        <w:br/>
        <w:t>• Corrosion protection</w:t>
        <w:br/>
        <w:t>• Moisture management</w:t>
        <w:br/>
        <w:t>• Smart manufacturing</w:t>
        <w:br/>
        <w:t>• Digital quality</w:t>
        <w:br/>
        <w:t>• Sustainable raw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Target 2030</w:t>
            </w:r>
          </w:p>
        </w:tc>
        <w:tc>
          <w:tcPr>
            <w:tcW w:type="dxa" w:w="1728"/>
          </w:tcPr>
          <w:p>
            <w:r>
              <w:t>Target 2040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Fire protection</w:t>
            </w:r>
          </w:p>
        </w:tc>
        <w:tc>
          <w:tcPr>
            <w:tcW w:type="dxa" w:w="1728"/>
          </w:tcPr>
          <w:p>
            <w:r>
              <w:t>Commercial products</w:t>
            </w:r>
          </w:p>
        </w:tc>
        <w:tc>
          <w:tcPr>
            <w:tcW w:type="dxa" w:w="1728"/>
          </w:tcPr>
          <w:p>
            <w:r>
              <w:t>Advanced intumescent platform</w:t>
            </w:r>
          </w:p>
        </w:tc>
        <w:tc>
          <w:tcPr>
            <w:tcW w:type="dxa" w:w="1728"/>
          </w:tcPr>
          <w:p>
            <w:r>
              <w:t>Adaptive fire systems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Corrosion</w:t>
            </w:r>
          </w:p>
        </w:tc>
        <w:tc>
          <w:tcPr>
            <w:tcW w:type="dxa" w:w="1728"/>
          </w:tcPr>
          <w:p>
            <w:r>
              <w:t>Repair systems</w:t>
            </w:r>
          </w:p>
        </w:tc>
        <w:tc>
          <w:tcPr>
            <w:tcW w:type="dxa" w:w="1728"/>
          </w:tcPr>
          <w:p>
            <w:r>
              <w:t>Predictive protection</w:t>
            </w:r>
          </w:p>
        </w:tc>
        <w:tc>
          <w:tcPr>
            <w:tcW w:type="dxa" w:w="1728"/>
          </w:tcPr>
          <w:p>
            <w:r>
              <w:t>Self-monitoring systems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Mineral coatings</w:t>
            </w:r>
          </w:p>
        </w:tc>
        <w:tc>
          <w:tcPr>
            <w:tcW w:type="dxa" w:w="1728"/>
          </w:tcPr>
          <w:p>
            <w:r>
              <w:t>Silicate systems</w:t>
            </w:r>
          </w:p>
        </w:tc>
        <w:tc>
          <w:tcPr>
            <w:tcW w:type="dxa" w:w="1728"/>
          </w:tcPr>
          <w:p>
            <w:r>
              <w:t>Hybrid mineral systems</w:t>
            </w:r>
          </w:p>
        </w:tc>
        <w:tc>
          <w:tcPr>
            <w:tcW w:type="dxa" w:w="1728"/>
          </w:tcPr>
          <w:p>
            <w:r>
              <w:t>Low-carbon mineral platform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Manufacturing</w:t>
            </w:r>
          </w:p>
        </w:tc>
        <w:tc>
          <w:tcPr>
            <w:tcW w:type="dxa" w:w="1728"/>
          </w:tcPr>
          <w:p>
            <w:r>
              <w:t>Automated lines</w:t>
            </w:r>
          </w:p>
        </w:tc>
        <w:tc>
          <w:tcPr>
            <w:tcW w:type="dxa" w:w="1728"/>
          </w:tcPr>
          <w:p>
            <w:r>
              <w:t>Digital Twin</w:t>
            </w:r>
          </w:p>
        </w:tc>
        <w:tc>
          <w:tcPr>
            <w:tcW w:type="dxa" w:w="1728"/>
          </w:tcPr>
          <w:p>
            <w:r>
              <w:t>Autonomous optimization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Sustainability</w:t>
            </w:r>
          </w:p>
        </w:tc>
        <w:tc>
          <w:tcPr>
            <w:tcW w:type="dxa" w:w="1728"/>
          </w:tcPr>
          <w:p>
            <w:r>
              <w:t>Selected products</w:t>
            </w:r>
          </w:p>
        </w:tc>
        <w:tc>
          <w:tcPr>
            <w:tcW w:type="dxa" w:w="1728"/>
          </w:tcPr>
          <w:p>
            <w:r>
              <w:t>Low-carbon portfolio</w:t>
            </w:r>
          </w:p>
        </w:tc>
        <w:tc>
          <w:tcPr>
            <w:tcW w:type="dxa" w:w="1728"/>
          </w:tcPr>
          <w:p>
            <w:r>
              <w:t>Circular materials</w:t>
            </w:r>
          </w:p>
        </w:tc>
        <w:tc>
          <w:tcPr>
            <w:tcW w:type="dxa" w:w="1728"/>
          </w:tcPr>
          <w:p>
            <w:r>
              <w:t>B</w:t>
            </w:r>
          </w:p>
        </w:tc>
      </w:tr>
    </w:tbl>
    <w:p>
      <w:pPr>
        <w:pStyle w:val="Heading3"/>
      </w:pPr>
      <w:r>
        <w:t>Make vs Buy Framework</w:t>
      </w:r>
    </w:p>
    <w:p>
      <w:r>
        <w:t>Develop internally:</w:t>
        <w:br/>
        <w:t>• Core formulations</w:t>
        <w:br/>
        <w:t>• Recipe intelligence</w:t>
        <w:br/>
        <w:t>• Process know-how</w:t>
        <w:br/>
        <w:br/>
        <w:t>Acquire externally:</w:t>
        <w:br/>
        <w:t>• Standard automation</w:t>
        <w:br/>
        <w:t>• Commodity equipment</w:t>
        <w:br/>
        <w:t>• Standard robotics</w:t>
        <w:br/>
        <w:t>• Generic utilities</w:t>
      </w:r>
    </w:p>
    <w:p>
      <w:pPr>
        <w:pStyle w:val="Heading3"/>
      </w:pPr>
      <w:r>
        <w:t>Technology Watch</w:t>
      </w:r>
    </w:p>
    <w:p>
      <w:r>
        <w:t>Maintain an annual review of:</w:t>
        <w:br/>
        <w:t>• New raw materials</w:t>
        <w:br/>
        <w:t>• Patents</w:t>
        <w:br/>
        <w:t>• Equipment suppliers</w:t>
        <w:br/>
        <w:t>• AI for manufacturing</w:t>
        <w:br/>
        <w:t>• Low-carbon technologies</w:t>
        <w:br/>
        <w:t>• Regulatory changes</w:t>
      </w:r>
    </w:p>
    <w:p>
      <w:pPr>
        <w:pStyle w:val="Heading3"/>
      </w:pPr>
      <w:r>
        <w:t>Strategic Partnerships</w:t>
      </w:r>
    </w:p>
    <w:p>
      <w:r>
        <w:t>Build long-term relationships with:</w:t>
        <w:br/>
        <w:t>• Universities</w:t>
        <w:br/>
        <w:t>• Equipment manufacturers</w:t>
        <w:br/>
        <w:t>• Raw material suppliers</w:t>
        <w:br/>
        <w:t>• Research institutes</w:t>
        <w:br/>
        <w:t>• Selected pilot customers</w:t>
      </w:r>
    </w:p>
    <w:p>
      <w:pPr>
        <w:pStyle w:val="Heading3"/>
      </w:pPr>
      <w:r>
        <w:t>Innovation KPIs</w:t>
      </w:r>
    </w:p>
    <w:p>
      <w:r>
        <w:t>• % revenue from new products</w:t>
        <w:br/>
        <w:t>• Time from concept to launch</w:t>
        <w:br/>
        <w:t>• Patent activity</w:t>
        <w:br/>
        <w:t>• Scale-up success rate</w:t>
        <w:br/>
        <w:t>• Technology readiness (TRL)</w:t>
        <w:br/>
        <w:t>• R&amp;D ROI</w:t>
      </w:r>
    </w:p>
    <w:p>
      <w:pPr>
        <w:pStyle w:val="Heading3"/>
      </w:pPr>
      <w:r>
        <w:t>Deliverables</w:t>
      </w:r>
    </w:p>
    <w:p>
      <w:r>
        <w:t>Technology Roadmap</w:t>
        <w:br/>
        <w:t>Technology Radar</w:t>
        <w:br/>
        <w:t>TRL Portfolio</w:t>
        <w:br/>
        <w:t>Make-vs-Buy Matrix</w:t>
        <w:br/>
        <w:t>Innovation Dashboard</w:t>
        <w:br/>
        <w:t>Basis for Chapter 27 – Strategic R&amp;D Portfolio.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