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Global Technology Roadmap 2040</w:t>
      </w:r>
    </w:p>
    <w:p>
      <w:pPr>
        <w:pStyle w:val="Heading2"/>
      </w:pPr>
      <w:r>
        <w:t>Chapter 27 – Competitive Intelligence, Technology Radar &amp; Knowledge Graph</w:t>
      </w:r>
    </w:p>
    <w:p>
      <w:pPr>
        <w:pStyle w:val="Heading3"/>
      </w:pPr>
      <w:r>
        <w:t>מטרת הפרק</w:t>
      </w:r>
    </w:p>
    <w:p>
      <w:r>
        <w:t>להקים מערכת מודיעין טכנולוגי מתמשכת המשלבת מידע על מתחרים, ספקים, חומרי גלם, פטנטים, רגולציה, שווקים ומו"פ, כך שכל החלטה אסטרטגית תתבסס על מידע עדכני ולא על איסוף ידני.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תחום</w:t>
            </w:r>
          </w:p>
        </w:tc>
        <w:tc>
          <w:tcPr>
            <w:tcW w:type="dxa" w:w="4320"/>
          </w:tcPr>
          <w:p>
            <w:r>
              <w:t>נתונים לניטור</w:t>
            </w:r>
          </w:p>
        </w:tc>
      </w:tr>
      <w:tr>
        <w:tc>
          <w:tcPr>
            <w:tcW w:type="dxa" w:w="4320"/>
          </w:tcPr>
          <w:p>
            <w:r>
              <w:t>Competitor Intelligence</w:t>
            </w:r>
          </w:p>
        </w:tc>
        <w:tc>
          <w:tcPr>
            <w:tcW w:type="dxa" w:w="4320"/>
          </w:tcPr>
          <w:p>
            <w:r>
              <w:t>מוצרים, פרויקטים, פטנטים, רכישות, מפיצים, לקוחות, השקעות, ESG.</w:t>
            </w:r>
          </w:p>
        </w:tc>
      </w:tr>
      <w:tr>
        <w:tc>
          <w:tcPr>
            <w:tcW w:type="dxa" w:w="4320"/>
          </w:tcPr>
          <w:p>
            <w:r>
              <w:t>Supplier Intelligence</w:t>
            </w:r>
          </w:p>
        </w:tc>
        <w:tc>
          <w:tcPr>
            <w:tcW w:type="dxa" w:w="4320"/>
          </w:tcPr>
          <w:p>
            <w:r>
              <w:t>איכות, LCC, זמני אספקה, FAT/SAT, שירות, זמינות חלפים, דירוג סיכון.</w:t>
            </w:r>
          </w:p>
        </w:tc>
      </w:tr>
      <w:tr>
        <w:tc>
          <w:tcPr>
            <w:tcW w:type="dxa" w:w="4320"/>
          </w:tcPr>
          <w:p>
            <w:r>
              <w:t>Patent Radar</w:t>
            </w:r>
          </w:p>
        </w:tc>
        <w:tc>
          <w:tcPr>
            <w:tcW w:type="dxa" w:w="4320"/>
          </w:tcPr>
          <w:p>
            <w:r>
              <w:t>פטנטים חדשים, פקיעת פטנטים, מגמות, בעלי זכויות וחופש פעולה.</w:t>
            </w:r>
          </w:p>
        </w:tc>
      </w:tr>
      <w:tr>
        <w:tc>
          <w:tcPr>
            <w:tcW w:type="dxa" w:w="4320"/>
          </w:tcPr>
          <w:p>
            <w:r>
              <w:t>Raw Material Radar</w:t>
            </w:r>
          </w:p>
        </w:tc>
        <w:tc>
          <w:tcPr>
            <w:tcW w:type="dxa" w:w="4320"/>
          </w:tcPr>
          <w:p>
            <w:r>
              <w:t>מחירים, חלופות, סיכוני אספקה, רגולציה וביצועים.</w:t>
            </w:r>
          </w:p>
        </w:tc>
      </w:tr>
      <w:tr>
        <w:tc>
          <w:tcPr>
            <w:tcW w:type="dxa" w:w="4320"/>
          </w:tcPr>
          <w:p>
            <w:r>
              <w:t>University &amp; Research Radar</w:t>
            </w:r>
          </w:p>
        </w:tc>
        <w:tc>
          <w:tcPr>
            <w:tcW w:type="dxa" w:w="4320"/>
          </w:tcPr>
          <w:p>
            <w:r>
              <w:t>אוניברסיטאות, מכוני מחקר, מאמרים ושיתופי פעולה.</w:t>
            </w:r>
          </w:p>
        </w:tc>
      </w:tr>
      <w:tr>
        <w:tc>
          <w:tcPr>
            <w:tcW w:type="dxa" w:w="4320"/>
          </w:tcPr>
          <w:p>
            <w:r>
              <w:t>Startup Radar</w:t>
            </w:r>
          </w:p>
        </w:tc>
        <w:tc>
          <w:tcPr>
            <w:tcW w:type="dxa" w:w="4320"/>
          </w:tcPr>
          <w:p>
            <w:r>
              <w:t>TRL, מימון, לקוחות, התאמה לשיתוף פעולה או רכישה.</w:t>
            </w:r>
          </w:p>
        </w:tc>
      </w:tr>
      <w:tr>
        <w:tc>
          <w:tcPr>
            <w:tcW w:type="dxa" w:w="4320"/>
          </w:tcPr>
          <w:p>
            <w:r>
              <w:t>Regulation Radar</w:t>
            </w:r>
          </w:p>
        </w:tc>
        <w:tc>
          <w:tcPr>
            <w:tcW w:type="dxa" w:w="4320"/>
          </w:tcPr>
          <w:p>
            <w:r>
              <w:t>REACH, ASTM, ISO, EN, תקינה ישראלית ודרישות עתידיות.</w:t>
            </w:r>
          </w:p>
        </w:tc>
      </w:tr>
      <w:tr>
        <w:tc>
          <w:tcPr>
            <w:tcW w:type="dxa" w:w="4320"/>
          </w:tcPr>
          <w:p>
            <w:r>
              <w:t>AI &amp; Manufacturing Radar</w:t>
            </w:r>
          </w:p>
        </w:tc>
        <w:tc>
          <w:tcPr>
            <w:tcW w:type="dxa" w:w="4320"/>
          </w:tcPr>
          <w:p>
            <w:r>
              <w:t>Agentic AI, Digital Twin, Computer Vision, Predictive Maintenance.</w:t>
            </w:r>
          </w:p>
        </w:tc>
      </w:tr>
    </w:tbl>
    <w:p>
      <w:pPr>
        <w:pStyle w:val="Heading3"/>
      </w:pPr>
      <w:r>
        <w:t>Technology Scoring Model</w:t>
      </w:r>
    </w:p>
    <w:p>
      <w:r>
        <w:t>כל טכנולוגיה תקבל ציון על בסיס:</w:t>
        <w:br/>
        <w:t>• TRL</w:t>
        <w:br/>
        <w:t>• יתרון תחרותי</w:t>
        <w:br/>
        <w:t>• ROI</w:t>
        <w:br/>
        <w:t>• סיכון</w:t>
        <w:br/>
        <w:t>• Scalability</w:t>
        <w:br/>
        <w:t>• התאמה לאסטרטגיית פרסקו</w:t>
        <w:br/>
        <w:t>• קיימות</w:t>
      </w:r>
    </w:p>
    <w:p>
      <w:pPr>
        <w:pStyle w:val="Heading3"/>
      </w:pPr>
      <w:r>
        <w:t>Knowledge Graph</w:t>
      </w:r>
    </w:p>
    <w:p>
      <w:r>
        <w:t>גרף הידע יקשר בין:</w:t>
        <w:br/>
        <w:t>• חומרי גלם</w:t>
        <w:br/>
        <w:t>• פורמולציות</w:t>
        <w:br/>
        <w:t>• ניסויים</w:t>
        <w:br/>
        <w:t>• ציוד</w:t>
        <w:br/>
        <w:t>• ספקים</w:t>
        <w:br/>
        <w:t>• לקוחות</w:t>
        <w:br/>
        <w:t>• פרויקטים</w:t>
        <w:br/>
        <w:t>• פטנטים</w:t>
        <w:br/>
        <w:t>• תקנים</w:t>
        <w:br/>
        <w:t>• תקלות</w:t>
        <w:br/>
        <w:t>• עלויות</w:t>
        <w:br/>
        <w:t>• ביצועי שדה</w:t>
        <w:br/>
        <w:br/>
        <w:t>כל ישות תקושר לאחרות ותאפשר שאילתות וקבלת תובנות בזמן אמת.</w:t>
      </w:r>
    </w:p>
    <w:p>
      <w:pPr>
        <w:pStyle w:val="Heading3"/>
      </w:pPr>
      <w:r>
        <w:t>Matria CTO</w:t>
      </w:r>
    </w:p>
    <w:p>
      <w:r>
        <w:t>Matria תהווה CTO דיגיטלי ותפיק באופן יזום:</w:t>
        <w:br/>
        <w:t>• פטנטים חדשים רלוונטיים</w:t>
        <w:br/>
        <w:t>• שינויי רגולציה</w:t>
        <w:br/>
        <w:t>• סיכוני אספקה</w:t>
        <w:br/>
        <w:t>• הזדמנויות טכנולוגיות</w:t>
        <w:br/>
        <w:t>• המלצות Make vs Buy</w:t>
        <w:br/>
        <w:t>• המלצות לניסויי מו"פ</w:t>
        <w:br/>
        <w:t>• התרעות על פעילות מתחרים.</w:t>
      </w:r>
    </w:p>
    <w:p>
      <w:pPr>
        <w:pStyle w:val="Heading3"/>
      </w:pPr>
      <w:r>
        <w:t>Deliverables</w:t>
      </w:r>
    </w:p>
    <w:p>
      <w:r>
        <w:t>Technology Radar</w:t>
        <w:br/>
        <w:t>Competitive Intelligence Database</w:t>
        <w:br/>
        <w:t>Knowledge Graph Specification</w:t>
        <w:br/>
        <w:t>Supplier Intelligence Database</w:t>
        <w:br/>
        <w:t>Innovation Opportunity Register</w:t>
        <w:br/>
        <w:t>Basis for Chapter 28 – Strategic R&amp;D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