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19 – Fresco Owner Design Standards</w:t>
      </w:r>
    </w:p>
    <w:p>
      <w:pPr>
        <w:pStyle w:val="Heading3"/>
      </w:pPr>
      <w:r>
        <w:t>Purpose</w:t>
      </w:r>
    </w:p>
    <w:p>
      <w:r>
        <w:t>Define the mandatory engineering standards that every supplier, integrator and EPC contractor shall follow when designing, supplying and commissioning equipment for the Fresco plant.</w:t>
      </w:r>
    </w:p>
    <w:p>
      <w:pPr>
        <w:pStyle w:val="Heading3"/>
      </w:pPr>
      <w:r>
        <w:t>Design Philosophy</w:t>
      </w:r>
    </w:p>
    <w:p>
      <w:r>
        <w:t>Equipment shall be modular, maintainable, vendor-neutral where practical, fully documented, and compatible with the factory architecture defined in previous chapters.</w:t>
      </w:r>
    </w:p>
    <w:p>
      <w:pPr>
        <w:pStyle w:val="Heading3"/>
      </w:pPr>
      <w:r>
        <w:t>Mechanical Standard</w:t>
      </w:r>
    </w:p>
    <w:p>
      <w:r>
        <w:t>Requirements include:</w:t>
        <w:br/>
        <w:t>• Stainless steel where process requires.</w:t>
        <w:br/>
        <w:t>• Standard fasteners.</w:t>
        <w:br/>
        <w:t>• Accessible maintenance points.</w:t>
        <w:br/>
        <w:t>• Guards complying with safety requirements.</w:t>
        <w:br/>
        <w:t>• Modular replacement philosophy.</w:t>
      </w:r>
    </w:p>
    <w:p>
      <w:pPr>
        <w:pStyle w:val="Heading3"/>
      </w:pPr>
      <w:r>
        <w:t>Electrical Standard</w:t>
      </w:r>
    </w:p>
    <w:p>
      <w:r>
        <w:t>• Unified panel design.</w:t>
        <w:br/>
        <w:t>• Standard component families.</w:t>
        <w:br/>
        <w:t>• Spare I/O capacity.</w:t>
        <w:br/>
        <w:t>• Standard cable identification.</w:t>
        <w:br/>
        <w:t>• Unified grounding philosophy.</w:t>
      </w:r>
    </w:p>
    <w:p>
      <w:pPr>
        <w:pStyle w:val="Heading3"/>
      </w:pPr>
      <w:r>
        <w:t>Automation Standard</w:t>
      </w:r>
    </w:p>
    <w:p>
      <w:r>
        <w:t>• Common PLC coding rules.</w:t>
        <w:br/>
        <w:t>• Standard HMI templates.</w:t>
        <w:br/>
        <w:t>• Tag naming convention.</w:t>
        <w:br/>
        <w:t>• Alarm philosophy.</w:t>
        <w:br/>
        <w:t>• Historian connectivity.</w:t>
      </w:r>
    </w:p>
    <w:p>
      <w:pPr>
        <w:pStyle w:val="Heading3"/>
      </w:pPr>
      <w:r>
        <w:t>Documentation Standard</w:t>
      </w:r>
    </w:p>
    <w:p>
      <w:r>
        <w:t>Every machine shall be delivered with:</w:t>
        <w:br/>
        <w:t>• GA drawings.</w:t>
        <w:br/>
        <w:t>• P&amp;ID.</w:t>
        <w:br/>
        <w:t>• Electrical drawings.</w:t>
        <w:br/>
        <w:t>• PLC source code.</w:t>
        <w:br/>
        <w:t>• Spare parts list.</w:t>
        <w:br/>
        <w:t>• Maintenance manuals.</w:t>
        <w:br/>
        <w:t>• FAT/SAT reports.</w:t>
      </w:r>
    </w:p>
    <w:p>
      <w:pPr>
        <w:pStyle w:val="Heading3"/>
      </w:pPr>
      <w:r>
        <w:t>Acceptance Standard</w:t>
      </w:r>
    </w:p>
    <w:p>
      <w:r>
        <w:t>Acceptance will require:</w:t>
        <w:br/>
        <w:t>• FAT completion.</w:t>
        <w:br/>
        <w:t>• SAT completion.</w:t>
        <w:br/>
        <w:t>• Performance verification.</w:t>
        <w:br/>
        <w:t>• Training completion.</w:t>
        <w:br/>
        <w:t>• Documentation approval.</w:t>
      </w:r>
    </w:p>
    <w:p>
      <w:pPr>
        <w:pStyle w:val="Heading3"/>
      </w:pPr>
      <w:r>
        <w:t>Spare Parts Standard</w:t>
      </w:r>
    </w:p>
    <w:p>
      <w:r>
        <w:t>Critical spare parts list.</w:t>
        <w:br/>
        <w:t>Recommended stock levels.</w:t>
        <w:br/>
        <w:t>Lifecycle status.</w:t>
        <w:br/>
        <w:t>Approved alternatives.</w:t>
      </w:r>
    </w:p>
    <w:p>
      <w:pPr>
        <w:pStyle w:val="Heading3"/>
      </w:pPr>
      <w:r>
        <w:t>Engineering Change Standard</w:t>
      </w:r>
    </w:p>
    <w:p>
      <w:r>
        <w:t>All engineering changes shall follow a controlled Management of Change process with technical review, risk assessment, approval and documentation.</w:t>
      </w:r>
    </w:p>
    <w:p>
      <w:pPr>
        <w:pStyle w:val="Heading3"/>
      </w:pPr>
      <w:r>
        <w:t>Deliverables</w:t>
      </w:r>
    </w:p>
    <w:p>
      <w:r>
        <w:t>Owner Design Standards Manual.</w:t>
        <w:br/>
        <w:t>Supplier Compliance Checklist.</w:t>
        <w:br/>
        <w:t>Machine Acceptance Checklist.</w:t>
        <w:br/>
        <w:t>Basis for Chapter 20 – Procurement &amp; EPC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