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Fresco Manufacturing Master Plan 2040</w:t>
      </w:r>
    </w:p>
    <w:p>
      <w:pPr>
        <w:pStyle w:val="Heading2"/>
      </w:pPr>
      <w:r>
        <w:t>Chapter 20 – Procurement &amp; EPC Strategy</w:t>
      </w:r>
    </w:p>
    <w:p>
      <w:pPr>
        <w:pStyle w:val="Heading3"/>
      </w:pPr>
      <w:r>
        <w:t>Purpose</w:t>
      </w:r>
    </w:p>
    <w:p>
      <w:r>
        <w:t>Define how Fresco will procure, evaluate, contract and manage engineering, equipment supply and commissioning for the new factory.</w:t>
      </w:r>
    </w:p>
    <w:p>
      <w:pPr>
        <w:pStyle w:val="Heading3"/>
      </w:pPr>
      <w:r>
        <w:t>Procurement Philosophy</w:t>
      </w:r>
    </w:p>
    <w:p>
      <w:r>
        <w:t>Performance-based procurement. Suppliers compete on measurable outcomes rather than only equipment lists or lowest price.</w:t>
      </w:r>
    </w:p>
    <w:p>
      <w:pPr>
        <w:pStyle w:val="Heading3"/>
      </w:pPr>
      <w:r>
        <w:t>Contracting Strategy</w:t>
      </w:r>
    </w:p>
    <w:p>
      <w:r>
        <w:t>Separate packages for process equipment, automation, utilities and civil works, with one Lead System Integrator responsible for overall integration.</w:t>
      </w:r>
    </w:p>
    <w:p>
      <w:pPr>
        <w:pStyle w:val="Heading3"/>
      </w:pPr>
      <w:r>
        <w:t>Tender Package</w:t>
      </w:r>
    </w:p>
    <w:p>
      <w:r>
        <w:t>Each RFP shall include URS, performance specification, layout, utilities, FAT/SAT requirements, documentation requirements and acceptance criteria.</w:t>
      </w:r>
    </w:p>
    <w:p>
      <w:pPr>
        <w:pStyle w:val="Heading3"/>
      </w:pPr>
      <w:r>
        <w:t>Supplier Evaluation</w:t>
      </w:r>
    </w:p>
    <w:p>
      <w:r>
        <w:t>Weighted scoring: Technical compliance 40%, Lifecycle cost 20%, Service 15%, References 10%, Schedule 10%, Sustainability 5%.</w:t>
      </w:r>
    </w:p>
    <w:p>
      <w:pPr>
        <w:pStyle w:val="Heading3"/>
      </w:pPr>
      <w:r>
        <w:t>Project Governance</w:t>
      </w:r>
    </w:p>
    <w:p>
      <w:r>
        <w:t>Project Steering Committee, weekly engineering meetings, change control, risk register and milestone reviews.</w:t>
      </w:r>
    </w:p>
    <w:p>
      <w:pPr>
        <w:pStyle w:val="Heading3"/>
      </w:pPr>
      <w:r>
        <w:t>Project Phases</w:t>
      </w:r>
    </w:p>
    <w:p>
      <w:r>
        <w:t>Concept → Basic Engineering → Detailed Engineering → Procurement → FAT → Installation → SAT → Ramp-up → Final Acceptance.</w:t>
      </w:r>
    </w:p>
    <w:p>
      <w:pPr>
        <w:pStyle w:val="Heading3"/>
      </w:pPr>
      <w:r>
        <w:t>Risk Management</w:t>
      </w:r>
    </w:p>
    <w:p>
      <w:r>
        <w:t>Maintain live risk register with mitigation owners. Major changes require Management of Change review.</w:t>
      </w:r>
    </w:p>
    <w:p>
      <w:pPr>
        <w:pStyle w:val="Heading3"/>
      </w:pPr>
      <w:r>
        <w:t>KPIs</w:t>
      </w:r>
    </w:p>
    <w:p>
      <w:r>
        <w:t>Schedule adherence, CAPEX variance, technical compliance, FAT pass rate, SAT pass rate, ramp-up duration, supplier response time.</w:t>
      </w:r>
    </w:p>
    <w:p>
      <w:pPr>
        <w:pStyle w:val="Heading3"/>
      </w:pPr>
      <w:r>
        <w:t>Deliverables</w:t>
      </w:r>
    </w:p>
    <w:p>
      <w:r>
        <w:t>Master Procurement Plan, EPC Execution Plan, Supplier Evaluation Matrix, RFP Template, Contract Requirements, basis for Chapter 21 – Commissioning &amp;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