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Manufacturing Master Plan 2040</w:t>
      </w:r>
    </w:p>
    <w:p>
      <w:pPr>
        <w:pStyle w:val="Heading2"/>
      </w:pPr>
      <w:r>
        <w:t>Chapter 23 – Equipment Specifications</w:t>
      </w:r>
    </w:p>
    <w:p>
      <w:pPr>
        <w:pStyle w:val="Heading3"/>
      </w:pPr>
      <w:r>
        <w:t>Purpose</w:t>
      </w:r>
    </w:p>
    <w:p>
      <w:r>
        <w:t>Define the engineering specification for all major equipment groups in the factory. These specifications form the technical basis for supplier quotations and detailed engineering.</w:t>
      </w:r>
    </w:p>
    <w:p>
      <w:pPr>
        <w:pStyle w:val="Heading3"/>
      </w:pPr>
      <w:r>
        <w:t>General Requirements</w:t>
      </w:r>
    </w:p>
    <w:p>
      <w:r>
        <w:t>All equipment shall:</w:t>
        <w:br/>
        <w:t>• Meet the required process capacity.</w:t>
        <w:br/>
        <w:t>• Be maintainable from safe access points.</w:t>
        <w:br/>
        <w:t>• Include CE/Israeli compliance where applicable.</w:t>
        <w:br/>
        <w:t>• Be supplied with complete documentation.</w:t>
        <w:br/>
        <w:t>• Support integration with the factory automation architecture.</w:t>
      </w:r>
    </w:p>
    <w:p>
      <w:pPr>
        <w:pStyle w:val="Heading3"/>
      </w:pPr>
      <w:r>
        <w:t>Process Equipment</w:t>
      </w:r>
    </w:p>
    <w:p>
      <w:r>
        <w:t>Equipment families:</w:t>
        <w:br/>
        <w:t>• Mixing vessels</w:t>
        <w:br/>
        <w:t>• Stainless steel tanks</w:t>
        <w:br/>
        <w:t>• Silos</w:t>
        <w:br/>
        <w:t>• Screw conveyors</w:t>
        <w:br/>
        <w:t>• Pumps</w:t>
        <w:br/>
        <w:t>• Filling machines</w:t>
        <w:br/>
        <w:t>• Palletizing robots</w:t>
        <w:br/>
        <w:t>• Dust collection systems</w:t>
        <w:br/>
        <w:t>• Utility skids</w:t>
      </w:r>
    </w:p>
    <w:p>
      <w:pPr>
        <w:pStyle w:val="Heading3"/>
      </w:pPr>
      <w:r>
        <w:t>Mechanical Specification</w:t>
      </w:r>
    </w:p>
    <w:p>
      <w:r>
        <w:t>Define:</w:t>
        <w:br/>
        <w:t>• Construction materials</w:t>
        <w:br/>
        <w:t>• Surface finish</w:t>
        <w:br/>
        <w:t>• Design pressure</w:t>
        <w:br/>
        <w:t>• Operating temperature</w:t>
        <w:br/>
        <w:t>• Corrosion protection</w:t>
        <w:br/>
        <w:t>• Connections and nozzles</w:t>
        <w:br/>
        <w:t>• Lifting points</w:t>
      </w:r>
    </w:p>
    <w:p>
      <w:pPr>
        <w:pStyle w:val="Heading3"/>
      </w:pPr>
      <w:r>
        <w:t>Instrumentation</w:t>
      </w:r>
    </w:p>
    <w:p>
      <w:r>
        <w:t>Each equipment item shall specify:</w:t>
        <w:br/>
        <w:t>• Sensors</w:t>
        <w:br/>
        <w:t>• Accuracy</w:t>
        <w:br/>
        <w:t>• Calibration method</w:t>
        <w:br/>
        <w:t>• Communication protocol</w:t>
        <w:br/>
        <w:t>• Maintenance interval</w:t>
      </w:r>
    </w:p>
    <w:p>
      <w:pPr>
        <w:pStyle w:val="Heading3"/>
      </w:pPr>
      <w:r>
        <w:t>Automation Interfaces</w:t>
      </w:r>
    </w:p>
    <w:p>
      <w:r>
        <w:t>Required interfaces:</w:t>
        <w:br/>
        <w:t>• PLC I/O</w:t>
        <w:br/>
        <w:t>• Safety signals</w:t>
        <w:br/>
        <w:t>• SCADA tags</w:t>
        <w:br/>
        <w:t>• Historian variables</w:t>
        <w:br/>
        <w:t>• MES data objects</w:t>
      </w:r>
    </w:p>
    <w:p>
      <w:pPr>
        <w:pStyle w:val="Heading3"/>
      </w:pPr>
      <w:r>
        <w:t>Reliability Requirements</w:t>
      </w:r>
    </w:p>
    <w:p>
      <w:r>
        <w:t>Target MTBF, maintenance accessibility, recommended spare parts, lubrication points and expected service life shall be specified for each equipment class.</w:t>
      </w:r>
    </w:p>
    <w:p>
      <w:pPr>
        <w:pStyle w:val="Heading3"/>
      </w:pPr>
      <w:r>
        <w:t>Vendor Deliverables</w:t>
      </w:r>
    </w:p>
    <w:p>
      <w:r>
        <w:t>Suppliers shall provide:</w:t>
        <w:br/>
        <w:t>• GA drawings</w:t>
        <w:br/>
        <w:t>• Datasheets</w:t>
        <w:br/>
        <w:t>• P&amp;ID references</w:t>
        <w:br/>
        <w:t>• Wiring diagrams</w:t>
        <w:br/>
        <w:t>• PLC/HMI documentation</w:t>
        <w:br/>
        <w:t>• Spare parts catalogue</w:t>
        <w:br/>
        <w:t>• FAT documentation</w:t>
      </w:r>
    </w:p>
    <w:p>
      <w:pPr>
        <w:pStyle w:val="Heading3"/>
      </w:pPr>
      <w:r>
        <w:t>Acceptance Requirements</w:t>
      </w:r>
    </w:p>
    <w:p>
      <w:r>
        <w:t>Acceptance will verify:</w:t>
        <w:br/>
        <w:t>• Mechanical integrity</w:t>
        <w:br/>
        <w:t>• Functional performance</w:t>
        <w:br/>
        <w:t>• Automation integration</w:t>
        <w:br/>
        <w:t>• Safety compliance</w:t>
        <w:br/>
        <w:t>• Documentation completeness</w:t>
      </w:r>
    </w:p>
    <w:p>
      <w:pPr>
        <w:pStyle w:val="Heading3"/>
      </w:pPr>
      <w:r>
        <w:t>Deliverables</w:t>
      </w:r>
    </w:p>
    <w:p>
      <w:r>
        <w:t>Equipment Specification Library</w:t>
        <w:br/>
        <w:t>Approved Datasheet Templates</w:t>
        <w:br/>
        <w:t>Preferred Vendor Matrix</w:t>
        <w:br/>
        <w:t>Basis for Chapter 24 – International RFP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