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24 – International RFP Package &amp; Supplier Strategy</w:t>
      </w:r>
    </w:p>
    <w:p>
      <w:pPr>
        <w:pStyle w:val="Heading3"/>
      </w:pPr>
      <w:r>
        <w:t>מטרת הפרק</w:t>
      </w:r>
    </w:p>
    <w:p>
      <w:r>
        <w:t>הגדרת חבילת המכרז הבינלאומית ומתודולוגיית בחירת ספקים על בסיס עלות-מחזור-חיים, ביצועים, שירות וסיכון – ולא מחיר רכישה בלבד.</w:t>
      </w:r>
    </w:p>
    <w:p>
      <w:pPr>
        <w:pStyle w:val="Heading3"/>
      </w:pPr>
      <w:r>
        <w:t>מבנה חבילת המכרז</w:t>
      </w:r>
    </w:p>
    <w:p>
      <w:r>
        <w:t>כל RFP יכלול:</w:t>
        <w:br/>
        <w:t>• URS</w:t>
        <w:br/>
        <w:t>• FRS</w:t>
        <w:br/>
        <w:t>• Layout</w:t>
        <w:br/>
        <w:t>• PFD</w:t>
        <w:br/>
        <w:t>• דרישות Utilities</w:t>
        <w:br/>
        <w:t>• דרישות FAT/SAT</w:t>
        <w:br/>
        <w:t>• רשימת מסמכים</w:t>
        <w:br/>
        <w:t>• קריטריוני קבלה</w:t>
        <w:br/>
        <w:t>• מטריצת ציות (Compliance Matrix).</w:t>
      </w:r>
    </w:p>
    <w:p>
      <w:pPr>
        <w:pStyle w:val="Heading3"/>
      </w:pPr>
      <w:r>
        <w:t>מתודולוגיית הערכה</w:t>
      </w:r>
    </w:p>
    <w:p>
      <w:r>
        <w:t>משקל מומלץ:</w:t>
        <w:br/>
        <w:t>40% התאמה טכנית</w:t>
        <w:br/>
        <w:t>20% עלות מחזור חיים (LCC)</w:t>
        <w:br/>
        <w:t>15% שירות ותמיכה</w:t>
        <w:br/>
        <w:t>10% ניסיון מוכח</w:t>
        <w:br/>
        <w:t>10% לוחות זמנים</w:t>
        <w:br/>
        <w:t>5% קיימות וניהול סיכונים.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תחום</w:t>
            </w:r>
          </w:p>
        </w:tc>
        <w:tc>
          <w:tcPr>
            <w:tcW w:type="dxa" w:w="1728"/>
          </w:tcPr>
          <w:p>
            <w:r>
              <w:t>ספקים מובילים</w:t>
            </w:r>
          </w:p>
        </w:tc>
        <w:tc>
          <w:tcPr>
            <w:tcW w:type="dxa" w:w="1728"/>
          </w:tcPr>
          <w:p>
            <w:r>
              <w:t>חלופות סיניות</w:t>
            </w:r>
          </w:p>
        </w:tc>
        <w:tc>
          <w:tcPr>
            <w:tcW w:type="dxa" w:w="1728"/>
          </w:tcPr>
          <w:p>
            <w:r>
              <w:t>יתרון</w:t>
            </w:r>
          </w:p>
        </w:tc>
        <w:tc>
          <w:tcPr>
            <w:tcW w:type="dxa" w:w="1728"/>
          </w:tcPr>
          <w:p>
            <w:r>
              <w:t>חסרון</w:t>
            </w:r>
          </w:p>
        </w:tc>
      </w:tr>
      <w:tr>
        <w:tc>
          <w:tcPr>
            <w:tcW w:type="dxa" w:w="1728"/>
          </w:tcPr>
          <w:p>
            <w:r>
              <w:t>מערבלי צבע</w:t>
            </w:r>
          </w:p>
        </w:tc>
        <w:tc>
          <w:tcPr>
            <w:tcW w:type="dxa" w:w="1728"/>
          </w:tcPr>
          <w:p>
            <w:r>
              <w:t>NETZSCH, Oliver+Batlle</w:t>
            </w:r>
          </w:p>
        </w:tc>
        <w:tc>
          <w:tcPr>
            <w:tcW w:type="dxa" w:w="1728"/>
          </w:tcPr>
          <w:p>
            <w:r>
              <w:t>ONGOAL, Karvil</w:t>
            </w:r>
          </w:p>
        </w:tc>
        <w:tc>
          <w:tcPr>
            <w:tcW w:type="dxa" w:w="1728"/>
          </w:tcPr>
          <w:p>
            <w:r>
              <w:t>איכות ותמיכה מול מחיר נמוך</w:t>
            </w:r>
          </w:p>
        </w:tc>
        <w:tc>
          <w:tcPr>
            <w:tcW w:type="dxa" w:w="1728"/>
          </w:tcPr>
          <w:p>
            <w:r>
              <w:t>בסין נדרש אימות ביצועים ותיעוד</w:t>
            </w:r>
          </w:p>
        </w:tc>
      </w:tr>
      <w:tr>
        <w:tc>
          <w:tcPr>
            <w:tcW w:type="dxa" w:w="1728"/>
          </w:tcPr>
          <w:p>
            <w:r>
              <w:t>אבקות ומינון</w:t>
            </w:r>
          </w:p>
        </w:tc>
        <w:tc>
          <w:tcPr>
            <w:tcW w:type="dxa" w:w="1728"/>
          </w:tcPr>
          <w:p>
            <w:r>
              <w:t>AZO, Gericke, Hosokawa</w:t>
            </w:r>
          </w:p>
        </w:tc>
        <w:tc>
          <w:tcPr>
            <w:tcW w:type="dxa" w:w="1728"/>
          </w:tcPr>
          <w:p>
            <w:r>
              <w:t>Wuxi Taiyang, Jiangsu Grand</w:t>
            </w:r>
          </w:p>
        </w:tc>
        <w:tc>
          <w:tcPr>
            <w:tcW w:type="dxa" w:w="1728"/>
          </w:tcPr>
          <w:p>
            <w:r>
              <w:t>חיסכון משמעותי</w:t>
            </w:r>
          </w:p>
        </w:tc>
        <w:tc>
          <w:tcPr>
            <w:tcW w:type="dxa" w:w="1728"/>
          </w:tcPr>
          <w:p>
            <w:r>
              <w:t>פחות ניסיון בפרויקטים מורכבים</w:t>
            </w:r>
          </w:p>
        </w:tc>
      </w:tr>
      <w:tr>
        <w:tc>
          <w:tcPr>
            <w:tcW w:type="dxa" w:w="1728"/>
          </w:tcPr>
          <w:p>
            <w:r>
              <w:t>רובוטיקה</w:t>
            </w:r>
          </w:p>
        </w:tc>
        <w:tc>
          <w:tcPr>
            <w:tcW w:type="dxa" w:w="1728"/>
          </w:tcPr>
          <w:p>
            <w:r>
              <w:t>ABB, FANUC, Yaskawa</w:t>
            </w:r>
          </w:p>
        </w:tc>
        <w:tc>
          <w:tcPr>
            <w:tcW w:type="dxa" w:w="1728"/>
          </w:tcPr>
          <w:p>
            <w:r>
              <w:t>Estun, EFORT</w:t>
            </w:r>
          </w:p>
        </w:tc>
        <w:tc>
          <w:tcPr>
            <w:tcW w:type="dxa" w:w="1728"/>
          </w:tcPr>
          <w:p>
            <w:r>
              <w:t>עלות נמוכה</w:t>
            </w:r>
          </w:p>
        </w:tc>
        <w:tc>
          <w:tcPr>
            <w:tcW w:type="dxa" w:w="1728"/>
          </w:tcPr>
          <w:p>
            <w:r>
              <w:t>אקוסיסטם תוכנה קטן יותר</w:t>
            </w:r>
          </w:p>
        </w:tc>
      </w:tr>
      <w:tr>
        <w:tc>
          <w:tcPr>
            <w:tcW w:type="dxa" w:w="1728"/>
          </w:tcPr>
          <w:p>
            <w:r>
              <w:t>מסועים וחילזונים</w:t>
            </w:r>
          </w:p>
        </w:tc>
        <w:tc>
          <w:tcPr>
            <w:tcW w:type="dxa" w:w="1728"/>
          </w:tcPr>
          <w:p>
            <w:r>
              <w:t>WAMGROUP</w:t>
            </w:r>
          </w:p>
        </w:tc>
        <w:tc>
          <w:tcPr>
            <w:tcW w:type="dxa" w:w="1728"/>
          </w:tcPr>
          <w:p>
            <w:r>
              <w:t>SKE Industries</w:t>
            </w:r>
          </w:p>
        </w:tc>
        <w:tc>
          <w:tcPr>
            <w:tcW w:type="dxa" w:w="1728"/>
          </w:tcPr>
          <w:p>
            <w:r>
              <w:t>עלות נמוכה וזמינות</w:t>
            </w:r>
          </w:p>
        </w:tc>
        <w:tc>
          <w:tcPr>
            <w:tcW w:type="dxa" w:w="1728"/>
          </w:tcPr>
          <w:p>
            <w:r>
              <w:t>יש לאמת איכות וגימור</w:t>
            </w:r>
          </w:p>
        </w:tc>
      </w:tr>
      <w:tr>
        <w:tc>
          <w:tcPr>
            <w:tcW w:type="dxa" w:w="1728"/>
          </w:tcPr>
          <w:p>
            <w:r>
              <w:t>מילוי ואריזה</w:t>
            </w:r>
          </w:p>
        </w:tc>
        <w:tc>
          <w:tcPr>
            <w:tcW w:type="dxa" w:w="1728"/>
          </w:tcPr>
          <w:p>
            <w:r>
              <w:t>Premier Tech, Haver &amp; Boecker</w:t>
            </w:r>
          </w:p>
        </w:tc>
        <w:tc>
          <w:tcPr>
            <w:tcW w:type="dxa" w:w="1728"/>
          </w:tcPr>
          <w:p>
            <w:r>
              <w:t>Tech-Long, Zhongya</w:t>
            </w:r>
          </w:p>
        </w:tc>
        <w:tc>
          <w:tcPr>
            <w:tcW w:type="dxa" w:w="1728"/>
          </w:tcPr>
          <w:p>
            <w:r>
              <w:t>מחיר אטרקטיבי</w:t>
            </w:r>
          </w:p>
        </w:tc>
        <w:tc>
          <w:tcPr>
            <w:tcW w:type="dxa" w:w="1728"/>
          </w:tcPr>
          <w:p>
            <w:r>
              <w:t>בדיקת דיוק ושירות</w:t>
            </w:r>
          </w:p>
        </w:tc>
      </w:tr>
      <w:tr>
        <w:tc>
          <w:tcPr>
            <w:tcW w:type="dxa" w:w="1728"/>
          </w:tcPr>
          <w:p>
            <w:r>
              <w:t>שסתומים ומכשור</w:t>
            </w:r>
          </w:p>
        </w:tc>
        <w:tc>
          <w:tcPr>
            <w:tcW w:type="dxa" w:w="1728"/>
          </w:tcPr>
          <w:p>
            <w:r>
              <w:t>Endress+Hauser, Bürkert</w:t>
            </w:r>
          </w:p>
        </w:tc>
        <w:tc>
          <w:tcPr>
            <w:tcW w:type="dxa" w:w="1728"/>
          </w:tcPr>
          <w:p>
            <w:r>
              <w:t>SUPCON, Holykell</w:t>
            </w:r>
          </w:p>
        </w:tc>
        <w:tc>
          <w:tcPr>
            <w:tcW w:type="dxa" w:w="1728"/>
          </w:tcPr>
          <w:p>
            <w:r>
              <w:t>עלות נמוכה</w:t>
            </w:r>
          </w:p>
        </w:tc>
        <w:tc>
          <w:tcPr>
            <w:tcW w:type="dxa" w:w="1728"/>
          </w:tcPr>
          <w:p>
            <w:r>
              <w:t>אימות תאימות ודיוק</w:t>
            </w:r>
          </w:p>
        </w:tc>
      </w:tr>
    </w:tbl>
    <w:p>
      <w:pPr>
        <w:pStyle w:val="Heading3"/>
      </w:pPr>
      <w:r>
        <w:t>אסטרטגיית רכש</w:t>
      </w:r>
    </w:p>
    <w:p>
      <w:r>
        <w:t>המלצה:</w:t>
        <w:br/>
        <w:t>• ציוד ליבת התהליך – אירופה/יפן כאשר הסיכון הטכנולוגי גבוה.</w:t>
        <w:br/>
        <w:t>• ציוד סטנדרטי (מסועים, מבנים, מכלים, חלק ממערכות האריזה) – ניתן לבחון ספקים סיניים לאחר FAT מחמיר.</w:t>
        <w:br/>
        <w:t>• כל ספק יעבור Audit טכני לפני זכייה.</w:t>
      </w:r>
    </w:p>
    <w:p>
      <w:pPr>
        <w:pStyle w:val="Heading3"/>
      </w:pPr>
      <w:r>
        <w:t>כלל החלטה</w:t>
      </w:r>
    </w:p>
    <w:p>
      <w:r>
        <w:t>לא לבחור את ההצעה הזולה ביותר אלא את ההצעה בעלת עלות המחזור (LCC) הנמוכה ביותר לאורך 15–20 שנות הפעלה.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