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25 – Vendor Intelligence Database</w:t>
      </w:r>
    </w:p>
    <w:p>
      <w:pPr>
        <w:pStyle w:val="Heading3"/>
      </w:pPr>
      <w:r>
        <w:t>מטרת הפרק</w:t>
      </w:r>
    </w:p>
    <w:p>
      <w:r>
        <w:t>להקים מאגר ידע ארגוני אחיד על ספקי ציוד, כך שכל רכישה עתידית תתבסס על ניסיון מצטבר, נתוני אמת ועלות מחזור חיים (LCC).</w:t>
      </w:r>
    </w:p>
    <w:p>
      <w:pPr>
        <w:pStyle w:val="Heading3"/>
      </w:pPr>
      <w:r>
        <w:t>מבנה בסיס הנתונים</w:t>
      </w:r>
    </w:p>
    <w:p>
      <w:r>
        <w:t>לכל ספק ינוהלו:</w:t>
        <w:br/>
        <w:t>• מדינה</w:t>
        <w:br/>
        <w:t>• תחום התמחות</w:t>
        <w:br/>
        <w:t>• אנשי קשר</w:t>
        <w:br/>
        <w:t>• שנות פעילות</w:t>
        <w:br/>
        <w:t>• התקנות בעולם</w:t>
        <w:br/>
        <w:t>• לקוחות ייחוס</w:t>
        <w:br/>
        <w:t>• תמיכה אזורית</w:t>
        <w:br/>
        <w:t>• זמני אספקה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קטגוריה</w:t>
            </w:r>
          </w:p>
        </w:tc>
        <w:tc>
          <w:tcPr>
            <w:tcW w:type="dxa" w:w="1234"/>
          </w:tcPr>
          <w:p>
            <w:r>
              <w:t>מובילים</w:t>
            </w:r>
          </w:p>
        </w:tc>
        <w:tc>
          <w:tcPr>
            <w:tcW w:type="dxa" w:w="1234"/>
          </w:tcPr>
          <w:p>
            <w:r>
              <w:t>חלופות סיניות</w:t>
            </w:r>
          </w:p>
        </w:tc>
        <w:tc>
          <w:tcPr>
            <w:tcW w:type="dxa" w:w="1234"/>
          </w:tcPr>
          <w:p>
            <w:r>
              <w:t>LCC</w:t>
            </w:r>
          </w:p>
        </w:tc>
        <w:tc>
          <w:tcPr>
            <w:tcW w:type="dxa" w:w="1234"/>
          </w:tcPr>
          <w:p>
            <w:r>
              <w:t>סיכון</w:t>
            </w:r>
          </w:p>
        </w:tc>
        <w:tc>
          <w:tcPr>
            <w:tcW w:type="dxa" w:w="1234"/>
          </w:tcPr>
          <w:p>
            <w:r>
              <w:t>המלצה</w:t>
            </w:r>
          </w:p>
        </w:tc>
        <w:tc>
          <w:tcPr>
            <w:tcW w:type="dxa" w:w="1234"/>
          </w:tcPr>
          <w:p>
            <w:r>
              <w:t>עדיפות</w:t>
            </w:r>
          </w:p>
        </w:tc>
      </w:tr>
      <w:tr>
        <w:tc>
          <w:tcPr>
            <w:tcW w:type="dxa" w:w="1234"/>
          </w:tcPr>
          <w:p>
            <w:r>
              <w:t>מינון אבקות</w:t>
            </w:r>
          </w:p>
        </w:tc>
        <w:tc>
          <w:tcPr>
            <w:tcW w:type="dxa" w:w="1234"/>
          </w:tcPr>
          <w:p>
            <w:r>
              <w:t>AZO / Gericke</w:t>
            </w:r>
          </w:p>
        </w:tc>
        <w:tc>
          <w:tcPr>
            <w:tcW w:type="dxa" w:w="1234"/>
          </w:tcPr>
          <w:p>
            <w:r>
              <w:t>Jiangsu Grand</w:t>
            </w:r>
          </w:p>
        </w:tc>
        <w:tc>
          <w:tcPr>
            <w:tcW w:type="dxa" w:w="1234"/>
          </w:tcPr>
          <w:p>
            <w:r>
              <w:t>נמוך</w:t>
            </w:r>
          </w:p>
        </w:tc>
        <w:tc>
          <w:tcPr>
            <w:tcW w:type="dxa" w:w="1234"/>
          </w:tcPr>
          <w:p>
            <w:r>
              <w:t>נמוך</w:t>
            </w:r>
          </w:p>
        </w:tc>
        <w:tc>
          <w:tcPr>
            <w:tcW w:type="dxa" w:w="1234"/>
          </w:tcPr>
          <w:p>
            <w:r>
              <w:t>אירופה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מערבלים רטובים</w:t>
            </w:r>
          </w:p>
        </w:tc>
        <w:tc>
          <w:tcPr>
            <w:tcW w:type="dxa" w:w="1234"/>
          </w:tcPr>
          <w:p>
            <w:r>
              <w:t>NETZSCH / Oliver+Batlle</w:t>
            </w:r>
          </w:p>
        </w:tc>
        <w:tc>
          <w:tcPr>
            <w:tcW w:type="dxa" w:w="1234"/>
          </w:tcPr>
          <w:p>
            <w:r>
              <w:t>Karvil</w:t>
            </w:r>
          </w:p>
        </w:tc>
        <w:tc>
          <w:tcPr>
            <w:tcW w:type="dxa" w:w="1234"/>
          </w:tcPr>
          <w:p>
            <w:r>
              <w:t>נמוך</w:t>
            </w:r>
          </w:p>
        </w:tc>
        <w:tc>
          <w:tcPr>
            <w:tcW w:type="dxa" w:w="1234"/>
          </w:tcPr>
          <w:p>
            <w:r>
              <w:t>נמוך</w:t>
            </w:r>
          </w:p>
        </w:tc>
        <w:tc>
          <w:tcPr>
            <w:tcW w:type="dxa" w:w="1234"/>
          </w:tcPr>
          <w:p>
            <w:r>
              <w:t>אירופה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רובוטים</w:t>
            </w:r>
          </w:p>
        </w:tc>
        <w:tc>
          <w:tcPr>
            <w:tcW w:type="dxa" w:w="1234"/>
          </w:tcPr>
          <w:p>
            <w:r>
              <w:t>ABB / FANUC / Yaskawa</w:t>
            </w:r>
          </w:p>
        </w:tc>
        <w:tc>
          <w:tcPr>
            <w:tcW w:type="dxa" w:w="1234"/>
          </w:tcPr>
          <w:p>
            <w:r>
              <w:t>Estun / EFORT</w:t>
            </w:r>
          </w:p>
        </w:tc>
        <w:tc>
          <w:tcPr>
            <w:tcW w:type="dxa" w:w="1234"/>
          </w:tcPr>
          <w:p>
            <w:r>
              <w:t>בינוני</w:t>
            </w:r>
          </w:p>
        </w:tc>
        <w:tc>
          <w:tcPr>
            <w:tcW w:type="dxa" w:w="1234"/>
          </w:tcPr>
          <w:p>
            <w:r>
              <w:t>בינוני</w:t>
            </w:r>
          </w:p>
        </w:tc>
        <w:tc>
          <w:tcPr>
            <w:tcW w:type="dxa" w:w="1234"/>
          </w:tcPr>
          <w:p>
            <w:r>
              <w:t>היברידי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מסועים</w:t>
            </w:r>
          </w:p>
        </w:tc>
        <w:tc>
          <w:tcPr>
            <w:tcW w:type="dxa" w:w="1234"/>
          </w:tcPr>
          <w:p>
            <w:r>
              <w:t>WAMGROUP</w:t>
            </w:r>
          </w:p>
        </w:tc>
        <w:tc>
          <w:tcPr>
            <w:tcW w:type="dxa" w:w="1234"/>
          </w:tcPr>
          <w:p>
            <w:r>
              <w:t>SKE</w:t>
            </w:r>
          </w:p>
        </w:tc>
        <w:tc>
          <w:tcPr>
            <w:tcW w:type="dxa" w:w="1234"/>
          </w:tcPr>
          <w:p>
            <w:r>
              <w:t>נמוך</w:t>
            </w:r>
          </w:p>
        </w:tc>
        <w:tc>
          <w:tcPr>
            <w:tcW w:type="dxa" w:w="1234"/>
          </w:tcPr>
          <w:p>
            <w:r>
              <w:t>נמוך-בינוני</w:t>
            </w:r>
          </w:p>
        </w:tc>
        <w:tc>
          <w:tcPr>
            <w:tcW w:type="dxa" w:w="1234"/>
          </w:tcPr>
          <w:p>
            <w:r>
              <w:t>סין אפשרית</w:t>
            </w:r>
          </w:p>
        </w:tc>
        <w:tc>
          <w:tcPr>
            <w:tcW w:type="dxa" w:w="1234"/>
          </w:tcPr>
          <w:p>
            <w:r>
              <w:t>B</w:t>
            </w:r>
          </w:p>
        </w:tc>
      </w:tr>
      <w:tr>
        <w:tc>
          <w:tcPr>
            <w:tcW w:type="dxa" w:w="1234"/>
          </w:tcPr>
          <w:p>
            <w:r>
              <w:t>מכלים</w:t>
            </w:r>
          </w:p>
        </w:tc>
        <w:tc>
          <w:tcPr>
            <w:tcW w:type="dxa" w:w="1234"/>
          </w:tcPr>
          <w:p>
            <w:r>
              <w:t>יצרן מקומי/אירופי</w:t>
            </w:r>
          </w:p>
        </w:tc>
        <w:tc>
          <w:tcPr>
            <w:tcW w:type="dxa" w:w="1234"/>
          </w:tcPr>
          <w:p>
            <w:r>
              <w:t>יצרני לחץ סיניים</w:t>
            </w:r>
          </w:p>
        </w:tc>
        <w:tc>
          <w:tcPr>
            <w:tcW w:type="dxa" w:w="1234"/>
          </w:tcPr>
          <w:p>
            <w:r>
              <w:t>נמוך</w:t>
            </w:r>
          </w:p>
        </w:tc>
        <w:tc>
          <w:tcPr>
            <w:tcW w:type="dxa" w:w="1234"/>
          </w:tcPr>
          <w:p>
            <w:r>
              <w:t>בינוני</w:t>
            </w:r>
          </w:p>
        </w:tc>
        <w:tc>
          <w:tcPr>
            <w:tcW w:type="dxa" w:w="1234"/>
          </w:tcPr>
          <w:p>
            <w:r>
              <w:t>השוואת הצעות</w:t>
            </w:r>
          </w:p>
        </w:tc>
        <w:tc>
          <w:tcPr>
            <w:tcW w:type="dxa" w:w="1234"/>
          </w:tcPr>
          <w:p>
            <w:r>
              <w:t>B</w:t>
            </w:r>
          </w:p>
        </w:tc>
      </w:tr>
      <w:tr>
        <w:tc>
          <w:tcPr>
            <w:tcW w:type="dxa" w:w="1234"/>
          </w:tcPr>
          <w:p>
            <w:r>
              <w:t>אריזה</w:t>
            </w:r>
          </w:p>
        </w:tc>
        <w:tc>
          <w:tcPr>
            <w:tcW w:type="dxa" w:w="1234"/>
          </w:tcPr>
          <w:p>
            <w:r>
              <w:t>Premier Tech</w:t>
            </w:r>
          </w:p>
        </w:tc>
        <w:tc>
          <w:tcPr>
            <w:tcW w:type="dxa" w:w="1234"/>
          </w:tcPr>
          <w:p>
            <w:r>
              <w:t>Tech-Long</w:t>
            </w:r>
          </w:p>
        </w:tc>
        <w:tc>
          <w:tcPr>
            <w:tcW w:type="dxa" w:w="1234"/>
          </w:tcPr>
          <w:p>
            <w:r>
              <w:t>בינוני</w:t>
            </w:r>
          </w:p>
        </w:tc>
        <w:tc>
          <w:tcPr>
            <w:tcW w:type="dxa" w:w="1234"/>
          </w:tcPr>
          <w:p>
            <w:r>
              <w:t>בינוני</w:t>
            </w:r>
          </w:p>
        </w:tc>
        <w:tc>
          <w:tcPr>
            <w:tcW w:type="dxa" w:w="1234"/>
          </w:tcPr>
          <w:p>
            <w:r>
              <w:t>לפי FAT</w:t>
            </w:r>
          </w:p>
        </w:tc>
        <w:tc>
          <w:tcPr>
            <w:tcW w:type="dxa" w:w="1234"/>
          </w:tcPr>
          <w:p>
            <w:r>
              <w:t>B</w:t>
            </w:r>
          </w:p>
        </w:tc>
      </w:tr>
    </w:tbl>
    <w:p>
      <w:pPr>
        <w:pStyle w:val="Heading3"/>
      </w:pPr>
      <w:r>
        <w:t>שיטת דירוג</w:t>
      </w:r>
    </w:p>
    <w:p>
      <w:r>
        <w:t>לכל ספק יינתן ציון מתוך 100:</w:t>
        <w:br/>
        <w:t>40 – ביצועים טכניים</w:t>
        <w:br/>
        <w:t>20 – LCC</w:t>
        <w:br/>
        <w:t>15 – שירות</w:t>
        <w:br/>
        <w:t>10 – איכות תיעוד</w:t>
        <w:br/>
        <w:t>10 – זמני אספקה</w:t>
        <w:br/>
        <w:t>5 – חדשנות</w:t>
      </w:r>
    </w:p>
    <w:p>
      <w:pPr>
        <w:pStyle w:val="Heading3"/>
      </w:pPr>
      <w:r>
        <w:t>Audit</w:t>
      </w:r>
    </w:p>
    <w:p>
      <w:r>
        <w:t>לפני הזמנה:</w:t>
        <w:br/>
        <w:t>• ביקור במפעל</w:t>
        <w:br/>
        <w:t>• בדיקת לקוחות ייחוס</w:t>
        <w:br/>
        <w:t>• FAT באתר היצרן</w:t>
        <w:br/>
        <w:t>• סקירת תיעוד</w:t>
        <w:br/>
        <w:t>• הערכת סיכונים</w:t>
      </w:r>
    </w:p>
    <w:p>
      <w:pPr>
        <w:pStyle w:val="Heading3"/>
      </w:pPr>
      <w:r>
        <w:t>אינטגרציה עם Matria</w:t>
      </w:r>
    </w:p>
    <w:p>
      <w:r>
        <w:t>כל נתוני הספקים, הצעות המחיר, ביצועי ה-FAT, תקלות השירות והעלויות בפועל יוזרמו למערכת Matria. בכל רכש עתידי תתקבל המלצה אוטומטית המבוססת על ניסיון מצטבר של פרסקו.</w:t>
      </w:r>
    </w:p>
    <w:p>
      <w:pPr>
        <w:pStyle w:val="Heading3"/>
      </w:pPr>
      <w:r>
        <w:t>תוצרי הפרק</w:t>
      </w:r>
    </w:p>
    <w:p>
      <w:r>
        <w:t>Vendor Intelligence Database</w:t>
        <w:br/>
        <w:t>Supplier Scorecards</w:t>
        <w:br/>
        <w:t>Preferred Vendor List</w:t>
        <w:br/>
        <w:t>LCC Calculator</w:t>
        <w:br/>
        <w:t>Basis for Chapter 26 – Global Technology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