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Moving from standard text chunking to relational, graph-based data structures represents a massive leap forward in how we manage UX research. It changes the system from a passive "search engine" into a proactive </w:t>
      </w:r>
      <w:r w:rsidDel="00000000" w:rsidR="00000000" w:rsidRPr="00000000">
        <w:rPr>
          <w:rFonts w:ascii="Arial" w:cs="Arial" w:eastAsia="Arial" w:hAnsi="Arial"/>
          <w:b w:val="1"/>
          <w:bCs w:val="1"/>
          <w:color w:val="1f1f1f"/>
          <w:rtl w:val="0"/>
        </w:rPr>
        <w:t xml:space="preserve">insight engine</w:t>
      </w:r>
      <w:r w:rsidDel="00000000" w:rsidR="00000000" w:rsidRPr="00000000">
        <w:rPr>
          <w:rFonts w:ascii="Arial" w:cs="Arial" w:eastAsia="Arial" w:hAnsi="Arial"/>
          <w:color w:val="1f1f1f"/>
          <w:rtl w:val="0"/>
        </w:rPr>
        <w:t xml:space="preserve"> that maps what an organization knows against what it </w:t>
      </w:r>
      <w:r w:rsidDel="00000000" w:rsidR="00000000" w:rsidRPr="00000000">
        <w:rPr>
          <w:rFonts w:ascii="Arial" w:cs="Arial" w:eastAsia="Arial" w:hAnsi="Arial"/>
          <w:i w:val="1"/>
          <w:iCs w:val="1"/>
          <w:color w:val="1f1f1f"/>
          <w:rtl w:val="0"/>
        </w:rPr>
        <w:t xml:space="preserve">needs</w:t>
      </w:r>
      <w:r w:rsidDel="00000000" w:rsidR="00000000" w:rsidRPr="00000000">
        <w:rPr>
          <w:rFonts w:ascii="Arial" w:cs="Arial" w:eastAsia="Arial" w:hAnsi="Arial"/>
          <w:color w:val="1f1f1f"/>
          <w:rtl w:val="0"/>
        </w:rPr>
        <w:t xml:space="preserve"> to know.</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 The Storage Evolution: Vanilla RAG vs. Knowledge Graphs vs. GraphRAG</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understand which technology fits best, it helps to look at how they structure the underlying research data.</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Fonts w:ascii="Arial" w:cs="Arial" w:eastAsia="Arial" w:hAnsi="Arial"/>
          <w:color w:val="1f1f1f"/>
          <w:shd w:fill="141414" w:val="clear"/>
          <w:rtl w:val="0"/>
        </w:rPr>
        <w:t xml:space="preserve">[Traditional Vector RAG] -&gt; Matches words/meanings -&gt; Pulls isolated text chunks</w:t>
        <w:br w:type="textWrapping"/>
        <w:t xml:space="preserve">[Pure Knowledge Graph]    -&gt; Connects hard entities    -&gt; Traverses explicit relationships</w:t>
        <w:br w:type="textWrapping"/>
        <w:t xml:space="preserve">[GraphRAG (Hybrid)]       -&gt; Embeds + Links entities   -&gt; Reasons across global themes &amp; text</w:t>
        <w:br w:type="textWrapping"/>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Traditional RAG (Vector Search)</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How it works:</w:t>
      </w:r>
      <w:r w:rsidDel="00000000" w:rsidR="00000000" w:rsidRPr="00000000">
        <w:rPr>
          <w:rFonts w:ascii="Arial" w:cs="Arial" w:eastAsia="Arial" w:hAnsi="Arial"/>
          <w:color w:val="1f1f1f"/>
          <w:rtl w:val="0"/>
        </w:rPr>
        <w:t xml:space="preserve"> Slices your research reports and transcripts into arbitrary chunks (e.g., 500-character blocks), converts them into mathematical vectors, and finds chunks that are semantically close to a query.</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Why it fails UX research:</w:t>
      </w:r>
      <w:r w:rsidDel="00000000" w:rsidR="00000000" w:rsidRPr="00000000">
        <w:rPr>
          <w:rFonts w:ascii="Arial" w:cs="Arial" w:eastAsia="Arial" w:hAnsi="Arial"/>
          <w:color w:val="1f1f1f"/>
          <w:rtl w:val="0"/>
        </w:rPr>
        <w:t xml:space="preserve"> It is </w:t>
      </w:r>
      <w:r w:rsidDel="00000000" w:rsidR="00000000" w:rsidRPr="00000000">
        <w:rPr>
          <w:rFonts w:ascii="Arial" w:cs="Arial" w:eastAsia="Arial" w:hAnsi="Arial"/>
          <w:b w:val="1"/>
          <w:bCs w:val="1"/>
          <w:color w:val="1f1f1f"/>
          <w:rtl w:val="0"/>
        </w:rPr>
        <w:t xml:space="preserve">context-blind</w:t>
      </w:r>
      <w:r w:rsidDel="00000000" w:rsidR="00000000" w:rsidRPr="00000000">
        <w:rPr>
          <w:rFonts w:ascii="Arial" w:cs="Arial" w:eastAsia="Arial" w:hAnsi="Arial"/>
          <w:color w:val="1f1f1f"/>
          <w:rtl w:val="0"/>
        </w:rPr>
        <w:t xml:space="preserve">. If a user asks, </w:t>
      </w:r>
      <w:r w:rsidDel="00000000" w:rsidR="00000000" w:rsidRPr="00000000">
        <w:rPr>
          <w:rFonts w:ascii="Arial" w:cs="Arial" w:eastAsia="Arial" w:hAnsi="Arial"/>
          <w:i w:val="1"/>
          <w:iCs w:val="1"/>
          <w:color w:val="1f1f1f"/>
          <w:rtl w:val="0"/>
        </w:rPr>
        <w:t xml:space="preserve">"Why are users dropping off at checkout?"</w:t>
      </w:r>
      <w:r w:rsidDel="00000000" w:rsidR="00000000" w:rsidRPr="00000000">
        <w:rPr>
          <w:rFonts w:ascii="Arial" w:cs="Arial" w:eastAsia="Arial" w:hAnsi="Arial"/>
          <w:color w:val="1f1f1f"/>
          <w:rtl w:val="0"/>
        </w:rPr>
        <w:t xml:space="preserve">, RAG might pull a chunk about button placement from 2024 and a chunk about pricing hesitation from 2026, dropping them into the prompt together. It cannot deduce </w:t>
      </w:r>
      <w:r w:rsidDel="00000000" w:rsidR="00000000" w:rsidRPr="00000000">
        <w:rPr>
          <w:rFonts w:ascii="Arial" w:cs="Arial" w:eastAsia="Arial" w:hAnsi="Arial"/>
          <w:i w:val="1"/>
          <w:iCs w:val="1"/>
          <w:color w:val="1f1f1f"/>
          <w:rtl w:val="0"/>
        </w:rPr>
        <w:t xml:space="preserve">relationships</w:t>
      </w:r>
      <w:r w:rsidDel="00000000" w:rsidR="00000000" w:rsidRPr="00000000">
        <w:rPr>
          <w:rFonts w:ascii="Arial" w:cs="Arial" w:eastAsia="Arial" w:hAnsi="Arial"/>
          <w:color w:val="1f1f1f"/>
          <w:rtl w:val="0"/>
        </w:rPr>
        <w:t xml:space="preserve"> or synthesize global themes across thousands of interviews because it only sees text proximity, not conceptual hierarchy.</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Pure Knowledge Graphs (KG)</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How it works:</w:t>
      </w:r>
      <w:r w:rsidDel="00000000" w:rsidR="00000000" w:rsidRPr="00000000">
        <w:rPr>
          <w:rFonts w:ascii="Arial Unicode MS" w:cs="Arial Unicode MS" w:eastAsia="Arial Unicode MS" w:hAnsi="Arial Unicode MS"/>
          <w:color w:val="1f1f1f"/>
          <w:rtl w:val="0"/>
        </w:rPr>
        <w:t xml:space="preserve"> A deterministic database built on structured triples: Subject ➔ Predicate ➔ Object. For example: [User Segment: Enterprise] ➔ [Experiences Friction With] ➔ [Feature: MFA Setup].</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The UX Research Catch:</w:t>
      </w:r>
      <w:r w:rsidDel="00000000" w:rsidR="00000000" w:rsidRPr="00000000">
        <w:rPr>
          <w:rFonts w:ascii="Arial" w:cs="Arial" w:eastAsia="Arial" w:hAnsi="Arial"/>
          <w:color w:val="1f1f1f"/>
          <w:rtl w:val="0"/>
        </w:rPr>
        <w:t xml:space="preserve"> A pure graph requires a strictly defined ontology (schema) and deterministic data. Because UX data is overwhelmingly qualitative, conversational, and unstructured (e.g., a user rambling for three minutes about an emotional frustration), forcing it entirely into rigid graph nodes causes a massive loss of nuance. It gives high precision but low flexibility.</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GraphRAG (The Hybrid Approach)</w:t>
      </w:r>
    </w:p>
    <w:p w:rsidR="00000000" w:rsidDel="00000000" w:rsidP="00000000" w:rsidRDefault="00000000" w:rsidRPr="00000000" w14:paraId="0000000F">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How it works:</w:t>
      </w:r>
      <w:r w:rsidDel="00000000" w:rsidR="00000000" w:rsidRPr="00000000">
        <w:rPr>
          <w:rFonts w:ascii="Arial" w:cs="Arial" w:eastAsia="Arial" w:hAnsi="Arial"/>
          <w:color w:val="1f1f1f"/>
          <w:rtl w:val="0"/>
        </w:rPr>
        <w:t xml:space="preserve"> It uses an LLM to scan unstructured research text, extract the key entities (e.g., specific user actions, pain points, product components), and automatically map them into a knowledge graph layer </w:t>
      </w:r>
      <w:r w:rsidDel="00000000" w:rsidR="00000000" w:rsidRPr="00000000">
        <w:rPr>
          <w:rFonts w:ascii="Arial" w:cs="Arial" w:eastAsia="Arial" w:hAnsi="Arial"/>
          <w:i w:val="1"/>
          <w:iCs w:val="1"/>
          <w:color w:val="1f1f1f"/>
          <w:rtl w:val="0"/>
        </w:rPr>
        <w:t xml:space="preserve">while retaining links back to the original source text chunks</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0">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Why it wins for research reuse:</w:t>
      </w:r>
      <w:r w:rsidDel="00000000" w:rsidR="00000000" w:rsidRPr="00000000">
        <w:rPr>
          <w:rFonts w:ascii="Arial" w:cs="Arial" w:eastAsia="Arial" w:hAnsi="Arial"/>
          <w:color w:val="1f1f1f"/>
          <w:rtl w:val="0"/>
        </w:rPr>
        <w:t xml:space="preserve"> It enables </w:t>
      </w:r>
      <w:r w:rsidDel="00000000" w:rsidR="00000000" w:rsidRPr="00000000">
        <w:rPr>
          <w:rFonts w:ascii="Arial" w:cs="Arial" w:eastAsia="Arial" w:hAnsi="Arial"/>
          <w:b w:val="1"/>
          <w:bCs w:val="1"/>
          <w:color w:val="1f1f1f"/>
          <w:rtl w:val="0"/>
        </w:rPr>
        <w:t xml:space="preserve">multi-hop reasoning</w:t>
      </w:r>
      <w:r w:rsidDel="00000000" w:rsidR="00000000" w:rsidRPr="00000000">
        <w:rPr>
          <w:rFonts w:ascii="Arial" w:cs="Arial" w:eastAsia="Arial" w:hAnsi="Arial"/>
          <w:color w:val="1f1f1f"/>
          <w:rtl w:val="0"/>
        </w:rPr>
        <w:t xml:space="preserve">. You can query the system to find indirect connections: </w:t>
      </w:r>
      <w:r w:rsidDel="00000000" w:rsidR="00000000" w:rsidRPr="00000000">
        <w:rPr>
          <w:rFonts w:ascii="Arial" w:cs="Arial" w:eastAsia="Arial" w:hAnsi="Arial"/>
          <w:i w:val="1"/>
          <w:iCs w:val="1"/>
          <w:color w:val="1f1f1f"/>
          <w:rtl w:val="0"/>
        </w:rPr>
        <w:t xml:space="preserve">"Show me how changing the onboarding flow impacted the downstream customer support tickets for feature X."</w:t>
      </w:r>
      <w:r w:rsidDel="00000000" w:rsidR="00000000" w:rsidRPr="00000000">
        <w:rPr>
          <w:rFonts w:ascii="Arial" w:cs="Arial" w:eastAsia="Arial" w:hAnsi="Arial"/>
          <w:color w:val="1f1f1f"/>
          <w:rtl w:val="0"/>
        </w:rPr>
        <w:t xml:space="preserve"> GraphRAG traverses the entity paths to connect the onboarding research to the support logs, using vector search to pull the highly descriptive narrative quotes that give the data its human texture.</w:t>
      </w:r>
    </w:p>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 Programmative Research &amp; Identifying Knowledge Gaps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Instead of treating research as a reactive task triggered by a product manager's immediate feature request, this technology lets you treat research </w:t>
      </w:r>
      <w:r w:rsidDel="00000000" w:rsidR="00000000" w:rsidRPr="00000000">
        <w:rPr>
          <w:rFonts w:ascii="Arial" w:cs="Arial" w:eastAsia="Arial" w:hAnsi="Arial"/>
          <w:b w:val="1"/>
          <w:bCs w:val="1"/>
          <w:color w:val="1f1f1f"/>
          <w:rtl w:val="0"/>
        </w:rPr>
        <w:t xml:space="preserve">programmatically</w:t>
      </w:r>
      <w:r w:rsidDel="00000000" w:rsidR="00000000" w:rsidRPr="00000000">
        <w:rPr>
          <w:rFonts w:ascii="Arial" w:cs="Arial" w:eastAsia="Arial" w:hAnsi="Arial"/>
          <w:color w:val="1f1f1f"/>
          <w:rtl w:val="0"/>
        </w:rPr>
        <w:t xml:space="preserve">—as a continuous map of an organization's collective intelligence.</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Mapping the "Knowns" via Graph Density</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When you pipe continuous user data (transcripts, surveys, telemetry) into a GraphRAG system, you can visually or programmatically evaluate the </w:t>
      </w:r>
      <w:r w:rsidDel="00000000" w:rsidR="00000000" w:rsidRPr="00000000">
        <w:rPr>
          <w:rFonts w:ascii="Arial" w:cs="Arial" w:eastAsia="Arial" w:hAnsi="Arial"/>
          <w:b w:val="1"/>
          <w:bCs w:val="1"/>
          <w:color w:val="1f1f1f"/>
          <w:rtl w:val="0"/>
        </w:rPr>
        <w:t xml:space="preserve">density</w:t>
      </w:r>
      <w:r w:rsidDel="00000000" w:rsidR="00000000" w:rsidRPr="00000000">
        <w:rPr>
          <w:rFonts w:ascii="Arial" w:cs="Arial" w:eastAsia="Arial" w:hAnsi="Arial"/>
          <w:color w:val="1f1f1f"/>
          <w:rtl w:val="0"/>
        </w:rPr>
        <w:t xml:space="preserve"> of the graph clusters.</w:t>
      </w:r>
    </w:p>
    <w:p w:rsidR="00000000" w:rsidDel="00000000" w:rsidP="00000000" w:rsidRDefault="00000000" w:rsidRPr="00000000" w14:paraId="00000015">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Unicode MS" w:cs="Arial Unicode MS" w:eastAsia="Arial Unicode MS" w:hAnsi="Arial Unicode MS"/>
          <w:color w:val="1f1f1f"/>
          <w:rtl w:val="0"/>
        </w:rPr>
        <w:t xml:space="preserve">High node density around [Checkout Page] ➔ [Error Code 404] means that area is thoroughly understood.</w:t>
      </w:r>
    </w:p>
    <w:p w:rsidR="00000000" w:rsidDel="00000000" w:rsidP="00000000" w:rsidRDefault="00000000" w:rsidRPr="00000000" w14:paraId="00000016">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The system can surface structural "knowns" instantly, preventing researchers from spinning up redundant studies on topics that are already saturated with data.</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Automated Gap Analysis &amp; Prompting</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By evaluating the missing links or low-density edges in the graph, an LLM can explicitly tell you where your programmatic research needs to go next.</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Fonts w:ascii="Arial" w:cs="Arial" w:eastAsia="Arial" w:hAnsi="Arial"/>
          <w:color w:val="1f1f1f"/>
          <w:shd w:fill="141414" w:val="clear"/>
          <w:rtl w:val="0"/>
        </w:rPr>
        <w:t xml:space="preserve">[Known: Heavy mobile usage] &lt;──(Weak Connection?)──&gt; [Unknown: Tablet behavior]</w:t>
        <w:br w:type="textWrapping"/>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You can prompt the LLM to run an automated gap analysis against the current graph:</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1"/>
          <w:iCs w:val="1"/>
          <w:color w:val="1f1f1f"/>
        </w:rPr>
      </w:pPr>
      <w:r w:rsidDel="00000000" w:rsidR="00000000" w:rsidRPr="00000000">
        <w:rPr>
          <w:rFonts w:ascii="Arial" w:cs="Arial" w:eastAsia="Arial" w:hAnsi="Arial"/>
          <w:i w:val="1"/>
          <w:iCs w:val="1"/>
          <w:color w:val="1f1f1f"/>
          <w:rtl w:val="0"/>
        </w:rPr>
        <w:t xml:space="preserve">"Analyze the clusters related to our 'Core Workflow' entity. Cross-reference this with our target 'Enterprise Admin' persona. Identify which stages of the journey have the lowest density of recent qualitative insights, and generate three targeted study briefs to fill those gaps."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LLM can proactively output structured research plans based on structural holes in the corporate knowledge base, shifting the research department from a reactive service desk to a strategic, predictive partner.</w:t>
      </w:r>
    </w:p>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 The Gaps That Will Still Remain</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No matter how advanced the underlying graph data structure is, major structural gaps will always exist.</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 The Temporal Decay of Insights (The "Staleness" Problem)</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knowledge graph treats connections as structural facts, but human behavior drifts. A highly dense, beautifully mapped cluster regarding user attitudes toward data privacy from 2024 might be entirely obsolete by 2026 due to a single high-profile news event or a shift in competitor patterns. Graph engines struggles to calculate the </w:t>
      </w:r>
      <w:r w:rsidDel="00000000" w:rsidR="00000000" w:rsidRPr="00000000">
        <w:rPr>
          <w:rFonts w:ascii="Arial" w:cs="Arial" w:eastAsia="Arial" w:hAnsi="Arial"/>
          <w:i w:val="1"/>
          <w:iCs w:val="1"/>
          <w:color w:val="1f1f1f"/>
          <w:rtl w:val="0"/>
        </w:rPr>
        <w:t xml:space="preserve">half-life</w:t>
      </w:r>
      <w:r w:rsidDel="00000000" w:rsidR="00000000" w:rsidRPr="00000000">
        <w:rPr>
          <w:rFonts w:ascii="Arial" w:cs="Arial" w:eastAsia="Arial" w:hAnsi="Arial"/>
          <w:color w:val="1f1f1f"/>
          <w:rtl w:val="0"/>
        </w:rPr>
        <w:t xml:space="preserve"> of qualitative insights; they will continue to surface historically true connections that are behaviorally dead.</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 The "Unknown Unknowns" Barrier</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An AI can only find gaps in relationships between things it </w:t>
      </w:r>
      <w:r w:rsidDel="00000000" w:rsidR="00000000" w:rsidRPr="00000000">
        <w:rPr>
          <w:rFonts w:ascii="Arial" w:cs="Arial" w:eastAsia="Arial" w:hAnsi="Arial"/>
          <w:i w:val="1"/>
          <w:iCs w:val="1"/>
          <w:color w:val="1f1f1f"/>
          <w:rtl w:val="0"/>
        </w:rPr>
        <w:t xml:space="preserve">already knows exist</w:t>
      </w:r>
      <w:r w:rsidDel="00000000" w:rsidR="00000000" w:rsidRPr="00000000">
        <w:rPr>
          <w:rFonts w:ascii="Arial" w:cs="Arial" w:eastAsia="Arial" w:hAnsi="Arial"/>
          <w:color w:val="1f1f1f"/>
          <w:rtl w:val="0"/>
        </w:rPr>
        <w:t xml:space="preserve"> within its data pool. If a disruptive new competitor enters the market with a completely unimagined paradigm, or if a foundational technological shift alters how users interact with software entirely, your internal knowledge graph has no vocabulary for it. It cannot flag a gap for a concept it has never ingested.</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 The Multimodal "Lossy" Translation</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UX research relies heavily on visual, spatial, and auditory cues—the micro-hesitation of a mouse cursor, a user squinting at a poorly aligned UI element, or the specific tone of voice when they say, "Yeah, I guess that makes sense." While multimodal models are improving, translating a rich, multi-layered video session into text or graph nodes inherently strips away the emotional metadata. The graph maps the </w:t>
      </w:r>
      <w:r w:rsidDel="00000000" w:rsidR="00000000" w:rsidRPr="00000000">
        <w:rPr>
          <w:rFonts w:ascii="Arial" w:cs="Arial" w:eastAsia="Arial" w:hAnsi="Arial"/>
          <w:i w:val="1"/>
          <w:iCs w:val="1"/>
          <w:color w:val="1f1f1f"/>
          <w:rtl w:val="0"/>
        </w:rPr>
        <w:t xml:space="preserve">what</w:t>
      </w:r>
      <w:r w:rsidDel="00000000" w:rsidR="00000000" w:rsidRPr="00000000">
        <w:rPr>
          <w:rFonts w:ascii="Arial" w:cs="Arial" w:eastAsia="Arial" w:hAnsi="Arial"/>
          <w:color w:val="1f1f1f"/>
          <w:rtl w:val="0"/>
        </w:rPr>
        <w:t xml:space="preserve">, but it frequently flattens the </w:t>
      </w:r>
      <w:r w:rsidDel="00000000" w:rsidR="00000000" w:rsidRPr="00000000">
        <w:rPr>
          <w:rFonts w:ascii="Arial" w:cs="Arial" w:eastAsia="Arial" w:hAnsi="Arial"/>
          <w:i w:val="1"/>
          <w:iCs w:val="1"/>
          <w:color w:val="1f1f1f"/>
          <w:rtl w:val="0"/>
        </w:rPr>
        <w:t xml:space="preserve">intensity</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 Intentional Non-Linears and Outliers</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Great innovation often comes from acting on an outlier—the one bizarre user who used a feature completely backwards to solve a totally different problem. Knowledge graphs and RAG systems are fundamentally built to find </w:t>
      </w:r>
      <w:r w:rsidDel="00000000" w:rsidR="00000000" w:rsidRPr="00000000">
        <w:rPr>
          <w:rFonts w:ascii="Arial" w:cs="Arial" w:eastAsia="Arial" w:hAnsi="Arial"/>
          <w:i w:val="1"/>
          <w:iCs w:val="1"/>
          <w:color w:val="1f1f1f"/>
          <w:rtl w:val="0"/>
        </w:rPr>
        <w:t xml:space="preserve">commonality, patterns, and dense clusters</w:t>
      </w:r>
      <w:r w:rsidDel="00000000" w:rsidR="00000000" w:rsidRPr="00000000">
        <w:rPr>
          <w:rFonts w:ascii="Arial" w:cs="Arial" w:eastAsia="Arial" w:hAnsi="Arial"/>
          <w:color w:val="1f1f1f"/>
          <w:rtl w:val="0"/>
        </w:rPr>
        <w:t xml:space="preserve">. In doing so, they inherently smooth out or downweight the weird, beautiful, non-linear edge cases where the next breakthrough feature actually lives.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rFonts w:ascii="Arial" w:cs="Arial" w:eastAsia="Arial" w:hAnsi="Arial"/>
          <w:color w:val="1f1f1f"/>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