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right"/>
        <w:bidi w:val="1"/>
      </w:pPr>
      <w:r>
        <w:rPr>
          <w:b/>
          <w:color w:val="1F4D78"/>
          <w:sz w:val="50"/>
        </w:rPr>
        <w:t>گزارش تحلیل فنی و ارزیابی پروژه</w:t>
      </w:r>
    </w:p>
    <w:p>
      <w:pPr>
        <w:jc w:val="right"/>
        <w:bidi w:val="1"/>
      </w:pPr>
      <w:r>
        <w:rPr>
          <w:color w:val="2E74B5"/>
          <w:sz w:val="30"/>
        </w:rPr>
        <w:t>سامانه قطعه‌بندی پولیپ با معماری ConvNeXt-UNet</w:t>
      </w:r>
    </w:p>
    <w:p>
      <w:pPr>
        <w:spacing w:after="320" w:line="264" w:lineRule="auto"/>
        <w:bidi w:val="1"/>
      </w:pPr>
      <w:r>
        <w:rPr>
          <w:color w:val="666666"/>
          <w:sz w:val="21"/>
        </w:rPr>
        <w:t>نسخه بررسی: snapshot پروژه Convnext-unet-main به‌همراه ویدیوی kvasir_30s_slow_prediction.mp4</w:t>
      </w:r>
    </w:p>
    <w:tbl>
      <w:tblPr>
        <w:tblStyle w:val="TableGrid"/>
        <w:tblW w:type="dxa" w:w="9360"/>
        <w:jc w:val="left"/>
        <w:tblLayout w:type="fixed"/>
        <w:tblLook w:firstColumn="1" w:firstRow="1" w:lastColumn="0" w:lastRow="0" w:noHBand="0" w:noVBand="1" w:val="04A0"/>
      </w:tblPr>
      <w:tblGrid>
        <w:gridCol w:w="1900"/>
        <w:gridCol w:w="7460"/>
      </w:tblGrid>
      <w:tr>
        <w:tc>
          <w:tcPr>
            <w:tcW w:type="dxa" w:w="1900"/>
            <w:tcMar>
              <w:top w:w="80" w:type="dxa"/>
              <w:start w:w="120" w:type="dxa"/>
              <w:bottom w:w="80" w:type="dxa"/>
              <w:end w:w="120" w:type="dxa"/>
            </w:tcMar>
            <w:vAlign w:val="center"/>
            <w:shd w:fill="E8EEF5"/>
          </w:tcPr>
          <w:p>
            <w:pPr>
              <w:jc w:val="center"/>
              <w:bidi w:val="1"/>
            </w:pPr>
            <w:r>
              <w:rPr>
                <w:b/>
                <w:color w:val="1F4D78"/>
                <w:sz w:val="18"/>
              </w:rPr>
              <w:t>موضوع</w:t>
            </w:r>
          </w:p>
        </w:tc>
        <w:tc>
          <w:tcPr>
            <w:tcW w:type="dxa" w:w="7460"/>
            <w:tcMar>
              <w:top w:w="80" w:type="dxa"/>
              <w:start w:w="120" w:type="dxa"/>
              <w:bottom w:w="80" w:type="dxa"/>
              <w:end w:w="120" w:type="dxa"/>
            </w:tcMar>
            <w:vAlign w:val="center"/>
            <w:shd w:fill="E8EEF5"/>
          </w:tcPr>
          <w:p>
            <w:pPr>
              <w:jc w:val="center"/>
              <w:bidi w:val="1"/>
            </w:pPr>
            <w:r>
              <w:rPr>
                <w:b/>
                <w:color w:val="1F4D78"/>
                <w:sz w:val="18"/>
              </w:rPr>
              <w:t>شرح</w:t>
            </w:r>
          </w:p>
        </w:tc>
      </w:tr>
      <w:tr>
        <w:tc>
          <w:tcPr>
            <w:tcW w:type="dxa" w:w="1900"/>
          </w:tcPr>
          <w:p>
            <w:pPr>
              <w:bidi w:val="1"/>
              <w:jc w:val="center"/>
            </w:pPr>
            <w:r>
              <w:rPr>
                <w:sz w:val="18"/>
              </w:rPr>
              <w:t>هدف سند</w:t>
            </w:r>
          </w:p>
        </w:tc>
        <w:tc>
          <w:tcPr>
            <w:tcW w:type="dxa" w:w="7460"/>
          </w:tcPr>
          <w:p>
            <w:pPr>
              <w:bidi w:val="1"/>
              <w:jc w:val="left"/>
            </w:pPr>
            <w:r>
              <w:rPr>
                <w:sz w:val="18"/>
              </w:rPr>
              <w:t>ارائه تصویر دقیق از قابلیت‌های فعلی، کیفیت فنی، نتایج ثبت‌شده، محدودیت‌ها و مسیر تکمیل پروژه</w:t>
            </w:r>
          </w:p>
        </w:tc>
      </w:tr>
      <w:tr>
        <w:tc>
          <w:tcPr>
            <w:tcW w:type="dxa" w:w="1900"/>
          </w:tcPr>
          <w:p>
            <w:pPr>
              <w:bidi w:val="1"/>
              <w:jc w:val="center"/>
            </w:pPr>
            <w:r>
              <w:rPr>
                <w:sz w:val="18"/>
              </w:rPr>
              <w:t>مبنای تحلیل</w:t>
            </w:r>
          </w:p>
        </w:tc>
        <w:tc>
          <w:tcPr>
            <w:tcW w:type="dxa" w:w="7460"/>
          </w:tcPr>
          <w:p>
            <w:pPr>
              <w:bidi w:val="1"/>
              <w:jc w:val="left"/>
            </w:pPr>
            <w:r>
              <w:rPr>
                <w:sz w:val="18"/>
              </w:rPr>
              <w:t>کد Python/PyTorch، فایل‌های مدل، لاگ‌های آموزش، فایل‌های ارزیابی و فریم‌های نمونه ویدیو</w:t>
            </w:r>
          </w:p>
        </w:tc>
      </w:tr>
      <w:tr>
        <w:tc>
          <w:tcPr>
            <w:tcW w:type="dxa" w:w="1900"/>
          </w:tcPr>
          <w:p>
            <w:pPr>
              <w:bidi w:val="1"/>
              <w:jc w:val="center"/>
            </w:pPr>
            <w:r>
              <w:rPr>
                <w:sz w:val="18"/>
              </w:rPr>
              <w:t>وضعیت شواهد</w:t>
            </w:r>
          </w:p>
        </w:tc>
        <w:tc>
          <w:tcPr>
            <w:tcW w:type="dxa" w:w="7460"/>
          </w:tcPr>
          <w:p>
            <w:pPr>
              <w:bidi w:val="1"/>
              <w:jc w:val="left"/>
            </w:pPr>
            <w:r>
              <w:rPr>
                <w:sz w:val="18"/>
              </w:rPr>
              <w:t>تحلیل snapshot موجود؛ نتایج چند-seed نهایی و تست تولیدی هنوز در پروژه ثبت نشده است</w:t>
            </w:r>
          </w:p>
        </w:tc>
      </w:tr>
    </w:tbl>
    <w:p>
      <w:pPr>
        <w:spacing w:after="40"/>
      </w:pPr>
    </w:p>
    <w:p>
      <w:pPr>
        <w:spacing w:after="240" w:line="264" w:lineRule="auto"/>
        <w:bidi w:val="1"/>
      </w:pPr>
      <w:r>
        <w:rPr>
          <w:color w:val="7A5A00"/>
          <w:sz w:val="20"/>
        </w:rPr>
        <w:t>این گزارش با هدف انتقال شفاف وضعیت فعلی به مشتری نوشته شده است. اعداد موجود به‌عنوان نتایج ثبت‌شده در snapshot گزارش می‌شوند و با نتایج نهایی قابل‌انتشار یا تضمین عملکرد عملیاتی یکسان فرض نمی‌شوند.</w:t>
      </w:r>
    </w:p>
    <w:p>
      <w:pPr>
        <w:pStyle w:val="Heading1"/>
        <w:bidi w:val="1"/>
      </w:pPr>
      <w:r>
        <w:t>۱. خلاصه مدیریتی</w:t>
      </w:r>
    </w:p>
    <w:p>
      <w:pPr>
        <w:spacing w:after="120" w:line="264" w:lineRule="auto"/>
        <w:bidi w:val="1"/>
      </w:pPr>
      <w:r>
        <w:rPr>
          <w:sz w:val="21"/>
        </w:rPr>
        <w:t>این پروژه یک سامانه یادگیری عمیق برای قطعه‌بندی دودویی پولیپ در تصاویر کولونوسکوپی است. هسته مدل از encoder نوع ConvNeXt-Tiny و decoder سبک U-Net تشکیل شده و در نسخه فعلی Multi-Scale Context (MSC) نیز فعال است. خروجی پروژه شامل mask قطعه‌بندی، ارزیابی چند دیتاست و ویدیوی بصری‌سازی‌شده با bounding box و contour است.</w:t>
      </w:r>
    </w:p>
    <w:p>
      <w:pPr>
        <w:spacing w:after="120" w:line="264" w:lineRule="auto"/>
        <w:bidi w:val="1"/>
      </w:pPr>
      <w:r>
        <w:rPr>
          <w:sz w:val="21"/>
        </w:rPr>
        <w:t>از نظر فنی، پروژه یک پایه قابل‌توسعه و قابل‌ارائه دارد: معماری ConvNeXt، preprocessing مشخص، checkpoint loading، محاسبه پارامتر و FLOPs، TTA، ارزیابی چند دیتاست و logهای آموزش در repository دیده می‌شوند. با این حال، snapshot فعلی هنوز نسخه نهایی validation‌شده برای ادعای ژورنالی یا تضمین محصولی نیست؛ زیرا بخشی از ablationهای مطرح‌شده فعال نشده‌اند، چند تناقض بین protocol و کد وجود دارد و mean±std چند seed ثبت نشده است.</w:t>
      </w:r>
    </w:p>
    <w:p>
      <w:pPr>
        <w:spacing w:after="120" w:line="264" w:lineRule="auto"/>
        <w:bidi w:val="1"/>
      </w:pPr>
      <w:r>
        <w:rPr>
          <w:sz w:val="21"/>
        </w:rPr>
        <w:t>ویدیوی ارائه‌شده نشان می‌دهد که pipeline بصری‌سازی قادر است برای نمونه‌های کوچک، متوسط، بزرگ و چندپولیپی، ناحیه پولیپ را با contour و bounding box نمایش دهد. در نمونه‌های مشاهده‌شده هم‌پوشانی بصری مناسبی بین contourها دیده می‌شود، اما ویدیو به‌تنهایی برای محاسبه معیار کمی یا اثبات پایداری زمانی کافی نیست.</w:t>
      </w:r>
    </w:p>
    <w:p>
      <w:pPr>
        <w:pStyle w:val="Heading1"/>
        <w:bidi w:val="1"/>
      </w:pPr>
      <w:r>
        <w:t>۲. دامنه و شواهد بررسی</w:t>
      </w:r>
    </w:p>
    <w:p>
      <w:pPr>
        <w:pStyle w:val="ListBullet"/>
        <w:spacing w:after="60" w:line="264" w:lineRule="auto"/>
        <w:bidi w:val="1"/>
      </w:pPr>
      <w:r>
        <w:rPr>
          <w:sz w:val="20"/>
        </w:rPr>
        <w:t>فایل‌های اصلی کد: main_torch.py، evaluate_all_datasets.py، models/convnext_pretrain.py، models/convnext_unet.py، مدل‌های attention و utils_torch.py.</w:t>
      </w:r>
    </w:p>
    <w:p>
      <w:pPr>
        <w:pStyle w:val="ListBullet"/>
        <w:spacing w:after="60" w:line="264" w:lineRule="auto"/>
        <w:bidi w:val="1"/>
      </w:pPr>
      <w:r>
        <w:rPr>
          <w:sz w:val="20"/>
        </w:rPr>
        <w:t>مستندات: ABLATION_TRAINING_PROTOCOL.md، README.md و فایل‌های manuscript/مقایسه موجود در snapshot.</w:t>
      </w:r>
    </w:p>
    <w:p>
      <w:pPr>
        <w:pStyle w:val="ListBullet"/>
        <w:spacing w:after="60" w:line="264" w:lineRule="auto"/>
        <w:bidi w:val="1"/>
      </w:pPr>
      <w:r>
        <w:rPr>
          <w:sz w:val="20"/>
        </w:rPr>
        <w:t>لاگ‌های موجود برای ablation/baseline و ablation/baseline+MSC.</w:t>
      </w:r>
    </w:p>
    <w:p>
      <w:pPr>
        <w:pStyle w:val="ListBullet"/>
        <w:spacing w:after="60" w:line="264" w:lineRule="auto"/>
        <w:bidi w:val="1"/>
      </w:pPr>
      <w:r>
        <w:rPr>
          <w:sz w:val="20"/>
        </w:rPr>
        <w:t>all_dataset_eval_results.csv و all_dataset_eval_results.json.</w:t>
      </w:r>
    </w:p>
    <w:p>
      <w:pPr>
        <w:pStyle w:val="ListBullet"/>
        <w:spacing w:after="60" w:line="264" w:lineRule="auto"/>
        <w:bidi w:val="1"/>
      </w:pPr>
      <w:r>
        <w:rPr>
          <w:sz w:val="20"/>
        </w:rPr>
        <w:t>ویدیوی ۳۰ ثانیه‌ای دارای ۳۰۰ فریم، رزولوشن 640×480 و نرخ 10 FPS.</w:t>
      </w:r>
    </w:p>
    <w:p>
      <w:pPr>
        <w:spacing w:after="120" w:line="264" w:lineRule="auto"/>
        <w:bidi w:val="1"/>
      </w:pPr>
      <w:r>
        <w:rPr>
          <w:sz w:val="21"/>
        </w:rPr>
        <w:t>تصاویر و maskهای کامل دیتاست و همچنین وزن encoder در ZIP کد ارائه‌شده به‌صورت کامل موجود نیستند؛ بنابراین این سند وضعیت implementation و شواهد ثبت‌شده را تحلیل می‌کند، نه بازآموزی مجدد مدل را.</w:t>
      </w:r>
    </w:p>
    <w:p>
      <w:pPr>
        <w:pStyle w:val="Heading1"/>
        <w:bidi w:val="1"/>
      </w:pPr>
      <w:r>
        <w:t>۳. معماری فنی</w:t>
      </w:r>
    </w:p>
    <w:p>
      <w:pPr>
        <w:pStyle w:val="Heading2"/>
        <w:bidi w:val="1"/>
      </w:pPr>
      <w:r>
        <w:t>۳.۱ Encoder</w:t>
      </w:r>
    </w:p>
    <w:p>
      <w:pPr>
        <w:spacing w:after="120" w:line="264" w:lineRule="auto"/>
        <w:bidi w:val="1"/>
      </w:pPr>
      <w:r>
        <w:rPr>
          <w:sz w:val="21"/>
        </w:rPr>
        <w:t>Encoder در models/convnext_pretrain.py پیاده‌سازی شده و چهار stage با ابعاد کانالی [96, 192, 384, 768] و عمق [3, 3, 9, 3] دارد. stem با convolution چهاردرچهار و stride چهار شروع می‌شود و downsamplingهای بعدی با LayerNorm و convolution دو در دو انجام می‌شوند. بلوک ConvNeXt از depthwise convolution هفت‌درهفت، LayerNorm، pointwise expansion، GELU، layer scale و stochastic depth استفاده می‌کند.</w:t>
      </w:r>
    </w:p>
    <w:p>
      <w:pPr>
        <w:spacing w:after="120" w:line="264" w:lineRule="auto"/>
        <w:bidi w:val="1"/>
      </w:pPr>
      <w:r>
        <w:rPr>
          <w:sz w:val="21"/>
        </w:rPr>
        <w:t>قبل از ورود به encoder، تصویر با mean/std استاندارد ImageNet نرمال می‌شود. این نرمال‌سازی داخل forward مدل انجام می‌شود؛ بنابراین pipeline inference باید فقط یک بار تصویر را به RGB و بازه 0 تا 1 تبدیل کند و نباید normalization ImageNet را دوباره در بیرون اعمال کند.</w:t>
      </w:r>
    </w:p>
    <w:p>
      <w:pPr>
        <w:pStyle w:val="Heading2"/>
        <w:bidi w:val="1"/>
      </w:pPr>
      <w:r>
        <w:t>۳.۲ Decoder و head</w:t>
      </w:r>
    </w:p>
    <w:p>
      <w:pPr>
        <w:spacing w:after="120" w:line="264" w:lineRule="auto"/>
        <w:bidi w:val="1"/>
      </w:pPr>
      <w:r>
        <w:rPr>
          <w:sz w:val="21"/>
        </w:rPr>
        <w:t>Decoder شامل چهار DecoderBlock است. هر بلوک از upsampling bilinear، separable convolution، LayerNorm، GELU و Dropout2d استفاده می‌کند. در سه سطح اول skip feature با decoder feature concatenate و سپس با SimpleFusion ادغام می‌شود. در انتها final_refine از separable convolution و convolution یک‌در‌یک برای تولید logit تک‌کاناله استفاده می‌کند.</w:t>
      </w:r>
    </w:p>
    <w:p>
      <w:pPr>
        <w:pStyle w:val="Heading2"/>
        <w:bidi w:val="1"/>
      </w:pPr>
      <w:r>
        <w:t>۳.۳ MSC، Detail و GDF</w:t>
      </w:r>
    </w:p>
    <w:p>
      <w:pPr>
        <w:spacing w:after="120" w:line="264" w:lineRule="auto"/>
        <w:bidi w:val="1"/>
      </w:pPr>
      <w:r>
        <w:rPr>
          <w:sz w:val="21"/>
        </w:rPr>
        <w:t>کلاس MultiScaleContext در مدل فعلی فعال است. این ماژول feature را کاهش کانال می‌دهد، سه branch با dilationهای 1، 3 و 5 می‌سازد، یک global pooling branch اضافه می‌کند و با projection نهایی به feature اصلی residual اضافه می‌شود. gamma اولیه صفر است؛ بنابراین contribution ماژول در شروع آموزش به‌صورت تدریجی یاد گرفته می‌شود.</w:t>
      </w:r>
    </w:p>
    <w:p>
      <w:pPr>
        <w:spacing w:after="120" w:line="264" w:lineRule="auto"/>
        <w:bidi w:val="1"/>
      </w:pPr>
      <w:r>
        <w:rPr>
          <w:sz w:val="21"/>
        </w:rPr>
        <w:t>DetailBranch و GatedDetailFusion در فایل مدل تعریف شده‌اند، اما در ConvNeXtUNet فعلی instantiate و در forward استفاده نمی‌شوند. کلاس BSEI نیز وجود دارد، ولی decoder فعلی از SimpleFusion استفاده می‌کند. این نکته باید پیش از هر ادعای مقاله‌ای درباره LRSE/BSEI، Detail Branch یا GDF اصلاح و به‌طور صریح در کد فعال شود.</w:t>
      </w:r>
    </w:p>
    <w:p>
      <w:pPr>
        <w:pStyle w:val="Heading1"/>
        <w:bidi w:val="1"/>
      </w:pPr>
      <w:r>
        <w:t>۴. داده، preprocessing و آموزش</w:t>
      </w:r>
    </w:p>
    <w:tbl>
      <w:tblPr>
        <w:tblStyle w:val="TableGrid"/>
        <w:tblW w:type="dxa" w:w="9360"/>
        <w:jc w:val="left"/>
        <w:tblLayout w:type="fixed"/>
        <w:tblLook w:firstColumn="1" w:firstRow="1" w:lastColumn="0" w:lastRow="0" w:noHBand="0" w:noVBand="1" w:val="04A0"/>
      </w:tblPr>
      <w:tblGrid>
        <w:gridCol w:w="1650"/>
        <w:gridCol w:w="4000"/>
        <w:gridCol w:w="3710"/>
      </w:tblGrid>
      <w:tr>
        <w:tc>
          <w:tcPr>
            <w:tcW w:type="dxa" w:w="1650"/>
            <w:tcMar>
              <w:top w:w="80" w:type="dxa"/>
              <w:start w:w="120" w:type="dxa"/>
              <w:bottom w:w="80" w:type="dxa"/>
              <w:end w:w="120" w:type="dxa"/>
            </w:tcMar>
            <w:vAlign w:val="center"/>
            <w:shd w:fill="E8EEF5"/>
          </w:tcPr>
          <w:p>
            <w:pPr>
              <w:jc w:val="center"/>
              <w:bidi w:val="1"/>
            </w:pPr>
            <w:r>
              <w:rPr>
                <w:b/>
                <w:color w:val="1F4D78"/>
                <w:sz w:val="18"/>
              </w:rPr>
              <w:t>موضوع</w:t>
            </w:r>
          </w:p>
        </w:tc>
        <w:tc>
          <w:tcPr>
            <w:tcW w:type="dxa" w:w="4000"/>
            <w:tcMar>
              <w:top w:w="80" w:type="dxa"/>
              <w:start w:w="120" w:type="dxa"/>
              <w:bottom w:w="80" w:type="dxa"/>
              <w:end w:w="120" w:type="dxa"/>
            </w:tcMar>
            <w:vAlign w:val="center"/>
            <w:shd w:fill="E8EEF5"/>
          </w:tcPr>
          <w:p>
            <w:pPr>
              <w:jc w:val="center"/>
              <w:bidi w:val="1"/>
            </w:pPr>
            <w:r>
              <w:rPr>
                <w:b/>
                <w:color w:val="1F4D78"/>
                <w:sz w:val="18"/>
              </w:rPr>
              <w:t>وضعیت مشاهده‌شده</w:t>
            </w:r>
          </w:p>
        </w:tc>
        <w:tc>
          <w:tcPr>
            <w:tcW w:type="dxa" w:w="3710"/>
            <w:tcMar>
              <w:top w:w="80" w:type="dxa"/>
              <w:start w:w="120" w:type="dxa"/>
              <w:bottom w:w="80" w:type="dxa"/>
              <w:end w:w="120" w:type="dxa"/>
            </w:tcMar>
            <w:vAlign w:val="center"/>
            <w:shd w:fill="E8EEF5"/>
          </w:tcPr>
          <w:p>
            <w:pPr>
              <w:jc w:val="center"/>
              <w:bidi w:val="1"/>
            </w:pPr>
            <w:r>
              <w:rPr>
                <w:b/>
                <w:color w:val="1F4D78"/>
                <w:sz w:val="18"/>
              </w:rPr>
              <w:t>ارزیابی فنی</w:t>
            </w:r>
          </w:p>
        </w:tc>
      </w:tr>
      <w:tr>
        <w:tc>
          <w:tcPr>
            <w:tcW w:type="dxa" w:w="1650"/>
          </w:tcPr>
          <w:p>
            <w:pPr>
              <w:bidi w:val="1"/>
              <w:jc w:val="center"/>
            </w:pPr>
            <w:r>
              <w:rPr>
                <w:sz w:val="18"/>
              </w:rPr>
              <w:t>داده آموزشی</w:t>
            </w:r>
          </w:p>
        </w:tc>
        <w:tc>
          <w:tcPr>
            <w:tcW w:type="dxa" w:w="4000"/>
          </w:tcPr>
          <w:p>
            <w:pPr>
              <w:bidi w:val="1"/>
              <w:jc w:val="left"/>
            </w:pPr>
            <w:r>
              <w:rPr>
                <w:sz w:val="18"/>
              </w:rPr>
              <w:t>Kvasir-SEG و CVC-ClinicDB</w:t>
            </w:r>
          </w:p>
        </w:tc>
        <w:tc>
          <w:tcPr>
            <w:tcW w:type="dxa" w:w="3710"/>
          </w:tcPr>
          <w:p>
            <w:pPr>
              <w:bidi w:val="1"/>
              <w:jc w:val="left"/>
            </w:pPr>
            <w:r>
              <w:rPr>
                <w:sz w:val="18"/>
              </w:rPr>
              <w:t>مناسب برای آموزش ترکیبی، مشروط به split شفاف</w:t>
            </w:r>
          </w:p>
        </w:tc>
      </w:tr>
      <w:tr>
        <w:tc>
          <w:tcPr>
            <w:tcW w:type="dxa" w:w="1650"/>
          </w:tcPr>
          <w:p>
            <w:pPr>
              <w:bidi w:val="1"/>
              <w:jc w:val="center"/>
            </w:pPr>
            <w:r>
              <w:rPr>
                <w:sz w:val="18"/>
              </w:rPr>
              <w:t>تصویر</w:t>
            </w:r>
          </w:p>
        </w:tc>
        <w:tc>
          <w:tcPr>
            <w:tcW w:type="dxa" w:w="4000"/>
          </w:tcPr>
          <w:p>
            <w:pPr>
              <w:bidi w:val="1"/>
              <w:jc w:val="left"/>
            </w:pPr>
            <w:r>
              <w:rPr>
                <w:sz w:val="18"/>
              </w:rPr>
              <w:t>RGB، تبدیل به float و تقسیم بر 255</w:t>
            </w:r>
          </w:p>
        </w:tc>
        <w:tc>
          <w:tcPr>
            <w:tcW w:type="dxa" w:w="3710"/>
          </w:tcPr>
          <w:p>
            <w:pPr>
              <w:bidi w:val="1"/>
              <w:jc w:val="left"/>
            </w:pPr>
            <w:r>
              <w:rPr>
                <w:sz w:val="18"/>
              </w:rPr>
              <w:t>سازگار با ورودی مدل</w:t>
            </w:r>
          </w:p>
        </w:tc>
      </w:tr>
      <w:tr>
        <w:tc>
          <w:tcPr>
            <w:tcW w:type="dxa" w:w="1650"/>
          </w:tcPr>
          <w:p>
            <w:pPr>
              <w:bidi w:val="1"/>
              <w:jc w:val="center"/>
            </w:pPr>
            <w:r>
              <w:rPr>
                <w:sz w:val="18"/>
              </w:rPr>
              <w:t>رزولوشن</w:t>
            </w:r>
          </w:p>
        </w:tc>
        <w:tc>
          <w:tcPr>
            <w:tcW w:type="dxa" w:w="4000"/>
          </w:tcPr>
          <w:p>
            <w:pPr>
              <w:bidi w:val="1"/>
              <w:jc w:val="left"/>
            </w:pPr>
            <w:r>
              <w:rPr>
                <w:sz w:val="18"/>
              </w:rPr>
              <w:t>resize مستقیم به 352×352</w:t>
            </w:r>
          </w:p>
        </w:tc>
        <w:tc>
          <w:tcPr>
            <w:tcW w:type="dxa" w:w="3710"/>
          </w:tcPr>
          <w:p>
            <w:pPr>
              <w:bidi w:val="1"/>
              <w:jc w:val="left"/>
            </w:pPr>
            <w:r>
              <w:rPr>
                <w:sz w:val="18"/>
              </w:rPr>
              <w:t>ساده و reproducible؛ نسبت تصویر حفظ نمی‌شود</w:t>
            </w:r>
          </w:p>
        </w:tc>
      </w:tr>
      <w:tr>
        <w:tc>
          <w:tcPr>
            <w:tcW w:type="dxa" w:w="1650"/>
          </w:tcPr>
          <w:p>
            <w:pPr>
              <w:bidi w:val="1"/>
              <w:jc w:val="center"/>
            </w:pPr>
            <w:r>
              <w:rPr>
                <w:sz w:val="18"/>
              </w:rPr>
              <w:t>Mask</w:t>
            </w:r>
          </w:p>
        </w:tc>
        <w:tc>
          <w:tcPr>
            <w:tcW w:type="dxa" w:w="4000"/>
          </w:tcPr>
          <w:p>
            <w:pPr>
              <w:bidi w:val="1"/>
              <w:jc w:val="left"/>
            </w:pPr>
            <w:r>
              <w:rPr>
                <w:sz w:val="18"/>
              </w:rPr>
              <w:t>resize با nearest و threshold برابر 127</w:t>
            </w:r>
          </w:p>
        </w:tc>
        <w:tc>
          <w:tcPr>
            <w:tcW w:type="dxa" w:w="3710"/>
          </w:tcPr>
          <w:p>
            <w:pPr>
              <w:bidi w:val="1"/>
              <w:jc w:val="left"/>
            </w:pPr>
            <w:r>
              <w:rPr>
                <w:sz w:val="18"/>
              </w:rPr>
              <w:t>مناسب برای mask دودویی</w:t>
            </w:r>
          </w:p>
        </w:tc>
      </w:tr>
      <w:tr>
        <w:tc>
          <w:tcPr>
            <w:tcW w:type="dxa" w:w="1650"/>
          </w:tcPr>
          <w:p>
            <w:pPr>
              <w:bidi w:val="1"/>
              <w:jc w:val="center"/>
            </w:pPr>
            <w:r>
              <w:rPr>
                <w:sz w:val="18"/>
              </w:rPr>
              <w:t>Augmentation</w:t>
            </w:r>
          </w:p>
        </w:tc>
        <w:tc>
          <w:tcPr>
            <w:tcW w:type="dxa" w:w="4000"/>
          </w:tcPr>
          <w:p>
            <w:pPr>
              <w:bidi w:val="1"/>
              <w:jc w:val="left"/>
            </w:pPr>
            <w:r>
              <w:rPr>
                <w:sz w:val="18"/>
              </w:rPr>
              <w:t>horizontal/vertical flip، rotation حدود ±15 درجه و transformهای کمکی</w:t>
            </w:r>
          </w:p>
        </w:tc>
        <w:tc>
          <w:tcPr>
            <w:tcW w:type="dxa" w:w="3710"/>
          </w:tcPr>
          <w:p>
            <w:pPr>
              <w:bidi w:val="1"/>
              <w:jc w:val="left"/>
            </w:pPr>
            <w:r>
              <w:rPr>
                <w:sz w:val="18"/>
              </w:rPr>
              <w:t>باید در همه ablationها ثابت بماند</w:t>
            </w:r>
          </w:p>
        </w:tc>
      </w:tr>
      <w:tr>
        <w:tc>
          <w:tcPr>
            <w:tcW w:type="dxa" w:w="1650"/>
          </w:tcPr>
          <w:p>
            <w:pPr>
              <w:bidi w:val="1"/>
              <w:jc w:val="center"/>
            </w:pPr>
            <w:r>
              <w:rPr>
                <w:sz w:val="18"/>
              </w:rPr>
              <w:t>Split فعلی</w:t>
            </w:r>
          </w:p>
        </w:tc>
        <w:tc>
          <w:tcPr>
            <w:tcW w:type="dxa" w:w="4000"/>
          </w:tcPr>
          <w:p>
            <w:pPr>
              <w:bidi w:val="1"/>
              <w:jc w:val="left"/>
            </w:pPr>
            <w:r>
              <w:rPr>
                <w:sz w:val="18"/>
              </w:rPr>
              <w:t>train_test_split با random_state=42 و test_size=0.1</w:t>
            </w:r>
          </w:p>
        </w:tc>
        <w:tc>
          <w:tcPr>
            <w:tcW w:type="dxa" w:w="3710"/>
          </w:tcPr>
          <w:p>
            <w:pPr>
              <w:bidi w:val="1"/>
              <w:jc w:val="left"/>
            </w:pPr>
            <w:r>
              <w:rPr>
                <w:sz w:val="18"/>
              </w:rPr>
              <w:t>برای گزارش ژورنالی باید manifest و test مستقل تثبیت شود</w:t>
            </w:r>
          </w:p>
        </w:tc>
      </w:tr>
    </w:tbl>
    <w:p>
      <w:pPr>
        <w:spacing w:after="40"/>
      </w:pPr>
    </w:p>
    <w:p>
      <w:pPr>
        <w:spacing w:after="120" w:line="264" w:lineRule="auto"/>
        <w:bidi w:val="1"/>
      </w:pPr>
      <w:r>
        <w:rPr>
          <w:sz w:val="21"/>
        </w:rPr>
        <w:t>کد فعلی داده‌ها را در حافظه بارگذاری می‌کند، آن‌ها را به‌صورت numpy array نگه می‌دارد و سپس DataLoader می‌سازد. این روش برای دیتاست‌های فعلی ساده و سریع است، ولی برای توسعه بزرگ‌تر یا اجرای چند آزمایش موازی بهتر است Dataset به‌صورت lazy و مبتنی بر manifest پیاده‌سازی شود.</w:t>
      </w:r>
    </w:p>
    <w:p>
      <w:pPr>
        <w:pStyle w:val="Heading1"/>
        <w:bidi w:val="1"/>
      </w:pPr>
      <w:r>
        <w:t>۵. نتایج ثبت‌شده در snapshot</w:t>
      </w:r>
    </w:p>
    <w:p>
      <w:pPr>
        <w:spacing w:after="120" w:line="264" w:lineRule="auto"/>
        <w:bidi w:val="1"/>
      </w:pPr>
      <w:r>
        <w:rPr>
          <w:sz w:val="21"/>
        </w:rPr>
        <w:t>دو log اصلی در پوشه logs/ablation موجود است. این دو اجرا با checkpointهای قبلی load شده‌اند و بنابراین مقایسه آن‌ها باید به‌عنوان شواهد مقدماتی تلقی شود، نه آزمایش controlled با چند seed.</w:t>
      </w:r>
    </w:p>
    <w:tbl>
      <w:tblPr>
        <w:tblStyle w:val="TableGrid"/>
        <w:tblW w:type="dxa" w:w="9360"/>
        <w:jc w:val="left"/>
        <w:tblLayout w:type="fixed"/>
        <w:tblLook w:firstColumn="1" w:firstRow="1" w:lastColumn="0" w:lastRow="0" w:noHBand="0" w:noVBand="1" w:val="04A0"/>
      </w:tblPr>
      <w:tblGrid>
        <w:gridCol w:w="1750"/>
        <w:gridCol w:w="1350"/>
        <w:gridCol w:w="1350"/>
        <w:gridCol w:w="1750"/>
        <w:gridCol w:w="1750"/>
        <w:gridCol w:w="1410"/>
      </w:tblGrid>
      <w:tr>
        <w:tc>
          <w:tcPr>
            <w:tcW w:type="dxa" w:w="1750"/>
            <w:tcMar>
              <w:top w:w="80" w:type="dxa"/>
              <w:start w:w="120" w:type="dxa"/>
              <w:bottom w:w="80" w:type="dxa"/>
              <w:end w:w="120" w:type="dxa"/>
            </w:tcMar>
            <w:vAlign w:val="center"/>
            <w:shd w:fill="E8EEF5"/>
          </w:tcPr>
          <w:p>
            <w:pPr>
              <w:jc w:val="center"/>
              <w:bidi w:val="1"/>
            </w:pPr>
            <w:r>
              <w:rPr>
                <w:b/>
                <w:color w:val="1F4D78"/>
                <w:sz w:val="18"/>
              </w:rPr>
              <w:t>Variant</w:t>
            </w:r>
          </w:p>
        </w:tc>
        <w:tc>
          <w:tcPr>
            <w:tcW w:type="dxa" w:w="1350"/>
            <w:tcMar>
              <w:top w:w="80" w:type="dxa"/>
              <w:start w:w="120" w:type="dxa"/>
              <w:bottom w:w="80" w:type="dxa"/>
              <w:end w:w="120" w:type="dxa"/>
            </w:tcMar>
            <w:vAlign w:val="center"/>
            <w:shd w:fill="E8EEF5"/>
          </w:tcPr>
          <w:p>
            <w:pPr>
              <w:jc w:val="center"/>
              <w:bidi w:val="1"/>
            </w:pPr>
            <w:r>
              <w:rPr>
                <w:b/>
                <w:color w:val="1F4D78"/>
                <w:sz w:val="18"/>
              </w:rPr>
              <w:t>Params</w:t>
            </w:r>
          </w:p>
        </w:tc>
        <w:tc>
          <w:tcPr>
            <w:tcW w:type="dxa" w:w="1350"/>
            <w:tcMar>
              <w:top w:w="80" w:type="dxa"/>
              <w:start w:w="120" w:type="dxa"/>
              <w:bottom w:w="80" w:type="dxa"/>
              <w:end w:w="120" w:type="dxa"/>
            </w:tcMar>
            <w:vAlign w:val="center"/>
            <w:shd w:fill="E8EEF5"/>
          </w:tcPr>
          <w:p>
            <w:pPr>
              <w:jc w:val="center"/>
              <w:bidi w:val="1"/>
            </w:pPr>
            <w:r>
              <w:rPr>
                <w:b/>
                <w:color w:val="1F4D78"/>
                <w:sz w:val="18"/>
              </w:rPr>
              <w:t>Encoder</w:t>
            </w:r>
          </w:p>
        </w:tc>
        <w:tc>
          <w:tcPr>
            <w:tcW w:type="dxa" w:w="1750"/>
            <w:tcMar>
              <w:top w:w="80" w:type="dxa"/>
              <w:start w:w="120" w:type="dxa"/>
              <w:bottom w:w="80" w:type="dxa"/>
              <w:end w:w="120" w:type="dxa"/>
            </w:tcMar>
            <w:vAlign w:val="center"/>
            <w:shd w:fill="E8EEF5"/>
          </w:tcPr>
          <w:p>
            <w:pPr>
              <w:jc w:val="center"/>
              <w:bidi w:val="1"/>
            </w:pPr>
            <w:r>
              <w:rPr>
                <w:b/>
                <w:color w:val="1F4D78"/>
                <w:sz w:val="18"/>
              </w:rPr>
              <w:t>Dice ثبت‌شده</w:t>
            </w:r>
          </w:p>
        </w:tc>
        <w:tc>
          <w:tcPr>
            <w:tcW w:type="dxa" w:w="1750"/>
            <w:tcMar>
              <w:top w:w="80" w:type="dxa"/>
              <w:start w:w="120" w:type="dxa"/>
              <w:bottom w:w="80" w:type="dxa"/>
              <w:end w:w="120" w:type="dxa"/>
            </w:tcMar>
            <w:vAlign w:val="center"/>
            <w:shd w:fill="E8EEF5"/>
          </w:tcPr>
          <w:p>
            <w:pPr>
              <w:jc w:val="center"/>
              <w:bidi w:val="1"/>
            </w:pPr>
            <w:r>
              <w:rPr>
                <w:b/>
                <w:color w:val="1F4D78"/>
                <w:sz w:val="18"/>
              </w:rPr>
              <w:t>IoU ثبت‌شده</w:t>
            </w:r>
          </w:p>
        </w:tc>
        <w:tc>
          <w:tcPr>
            <w:tcW w:type="dxa" w:w="1410"/>
            <w:tcMar>
              <w:top w:w="80" w:type="dxa"/>
              <w:start w:w="120" w:type="dxa"/>
              <w:bottom w:w="80" w:type="dxa"/>
              <w:end w:w="120" w:type="dxa"/>
            </w:tcMar>
            <w:vAlign w:val="center"/>
            <w:shd w:fill="E8EEF5"/>
          </w:tcPr>
          <w:p>
            <w:pPr>
              <w:jc w:val="center"/>
              <w:bidi w:val="1"/>
            </w:pPr>
            <w:r>
              <w:rPr>
                <w:b/>
                <w:color w:val="1F4D78"/>
                <w:sz w:val="18"/>
              </w:rPr>
              <w:t>Loss</w:t>
            </w:r>
          </w:p>
        </w:tc>
      </w:tr>
      <w:tr>
        <w:tc>
          <w:tcPr>
            <w:tcW w:type="dxa" w:w="1750"/>
          </w:tcPr>
          <w:p>
            <w:pPr>
              <w:bidi w:val="1"/>
              <w:jc w:val="center"/>
            </w:pPr>
            <w:r>
              <w:rPr>
                <w:sz w:val="18"/>
              </w:rPr>
              <w:t>Baseline</w:t>
            </w:r>
          </w:p>
        </w:tc>
        <w:tc>
          <w:tcPr>
            <w:tcW w:type="dxa" w:w="1350"/>
          </w:tcPr>
          <w:p>
            <w:pPr>
              <w:bidi w:val="1"/>
              <w:jc w:val="left"/>
            </w:pPr>
            <w:r>
              <w:rPr>
                <w:sz w:val="18"/>
              </w:rPr>
              <w:t>29.19M</w:t>
            </w:r>
          </w:p>
        </w:tc>
        <w:tc>
          <w:tcPr>
            <w:tcW w:type="dxa" w:w="1350"/>
          </w:tcPr>
          <w:p>
            <w:pPr>
              <w:bidi w:val="1"/>
              <w:jc w:val="left"/>
            </w:pPr>
            <w:r>
              <w:rPr>
                <w:sz w:val="18"/>
              </w:rPr>
              <w:t>27.82M</w:t>
            </w:r>
          </w:p>
        </w:tc>
        <w:tc>
          <w:tcPr>
            <w:tcW w:type="dxa" w:w="1750"/>
          </w:tcPr>
          <w:p>
            <w:pPr>
              <w:bidi w:val="1"/>
              <w:jc w:val="left"/>
            </w:pPr>
            <w:r>
              <w:rPr>
                <w:sz w:val="18"/>
              </w:rPr>
              <w:t>0.9226</w:t>
            </w:r>
          </w:p>
        </w:tc>
        <w:tc>
          <w:tcPr>
            <w:tcW w:type="dxa" w:w="1750"/>
          </w:tcPr>
          <w:p>
            <w:pPr>
              <w:bidi w:val="1"/>
              <w:jc w:val="left"/>
            </w:pPr>
            <w:r>
              <w:rPr>
                <w:sz w:val="18"/>
              </w:rPr>
              <w:t>0.8579</w:t>
            </w:r>
          </w:p>
        </w:tc>
        <w:tc>
          <w:tcPr>
            <w:tcW w:type="dxa" w:w="1410"/>
          </w:tcPr>
          <w:p>
            <w:pPr>
              <w:bidi w:val="1"/>
              <w:jc w:val="left"/>
            </w:pPr>
            <w:r>
              <w:rPr>
                <w:sz w:val="18"/>
              </w:rPr>
              <w:t>0.2166</w:t>
            </w:r>
          </w:p>
        </w:tc>
      </w:tr>
      <w:tr>
        <w:tc>
          <w:tcPr>
            <w:tcW w:type="dxa" w:w="1750"/>
          </w:tcPr>
          <w:p>
            <w:pPr>
              <w:bidi w:val="1"/>
              <w:jc w:val="center"/>
            </w:pPr>
            <w:r>
              <w:rPr>
                <w:sz w:val="18"/>
              </w:rPr>
              <w:t>Baseline + MSC</w:t>
            </w:r>
          </w:p>
        </w:tc>
        <w:tc>
          <w:tcPr>
            <w:tcW w:type="dxa" w:w="1350"/>
          </w:tcPr>
          <w:p>
            <w:pPr>
              <w:bidi w:val="1"/>
              <w:jc w:val="left"/>
            </w:pPr>
            <w:r>
              <w:rPr>
                <w:sz w:val="18"/>
              </w:rPr>
              <w:t>29.57M</w:t>
            </w:r>
          </w:p>
        </w:tc>
        <w:tc>
          <w:tcPr>
            <w:tcW w:type="dxa" w:w="1350"/>
          </w:tcPr>
          <w:p>
            <w:pPr>
              <w:bidi w:val="1"/>
              <w:jc w:val="left"/>
            </w:pPr>
            <w:r>
              <w:rPr>
                <w:sz w:val="18"/>
              </w:rPr>
              <w:t>27.82M</w:t>
            </w:r>
          </w:p>
        </w:tc>
        <w:tc>
          <w:tcPr>
            <w:tcW w:type="dxa" w:w="1750"/>
          </w:tcPr>
          <w:p>
            <w:pPr>
              <w:bidi w:val="1"/>
              <w:jc w:val="left"/>
            </w:pPr>
            <w:r>
              <w:rPr>
                <w:sz w:val="18"/>
              </w:rPr>
              <w:t>0.9273</w:t>
            </w:r>
          </w:p>
        </w:tc>
        <w:tc>
          <w:tcPr>
            <w:tcW w:type="dxa" w:w="1750"/>
          </w:tcPr>
          <w:p>
            <w:pPr>
              <w:bidi w:val="1"/>
              <w:jc w:val="left"/>
            </w:pPr>
            <w:r>
              <w:rPr>
                <w:sz w:val="18"/>
              </w:rPr>
              <w:t>0.8661</w:t>
            </w:r>
          </w:p>
        </w:tc>
        <w:tc>
          <w:tcPr>
            <w:tcW w:type="dxa" w:w="1410"/>
          </w:tcPr>
          <w:p>
            <w:pPr>
              <w:bidi w:val="1"/>
              <w:jc w:val="left"/>
            </w:pPr>
            <w:r>
              <w:rPr>
                <w:sz w:val="18"/>
              </w:rPr>
              <w:t>0.2058</w:t>
            </w:r>
          </w:p>
        </w:tc>
      </w:tr>
    </w:tbl>
    <w:p>
      <w:pPr>
        <w:spacing w:after="40"/>
      </w:pPr>
    </w:p>
    <w:p>
      <w:pPr>
        <w:spacing w:after="120" w:line="264" w:lineRule="auto"/>
        <w:bidi w:val="1"/>
      </w:pPr>
      <w:r>
        <w:rPr>
          <w:sz w:val="21"/>
        </w:rPr>
        <w:t>در log baseline، checkpoint از epoch 361 با best IoU قبلی 0.8685 load شده است. در log baseline+MSC، checkpoint از epoch 179 با best IoU قبلی 0.8600 load شده است. چون epoch، checkpoint history و شرایط کامل اجرا یکسان و مستقل ثبت نشده‌اند، اختلاف Dice حدود 0.0047 تنها یک نشانه مقدماتی از contribution MSC است.</w:t>
      </w:r>
    </w:p>
    <w:tbl>
      <w:tblPr>
        <w:tblStyle w:val="TableGrid"/>
        <w:tblW w:type="dxa" w:w="9360"/>
        <w:jc w:val="left"/>
        <w:tblLayout w:type="fixed"/>
        <w:tblLook w:firstColumn="1" w:firstRow="1" w:lastColumn="0" w:lastRow="0" w:noHBand="0" w:noVBand="1" w:val="04A0"/>
      </w:tblPr>
      <w:tblGrid>
        <w:gridCol w:w="2100"/>
        <w:gridCol w:w="1050"/>
        <w:gridCol w:w="1100"/>
        <w:gridCol w:w="1300"/>
        <w:gridCol w:w="1300"/>
        <w:gridCol w:w="2510"/>
      </w:tblGrid>
      <w:tr>
        <w:tc>
          <w:tcPr>
            <w:tcW w:type="dxa" w:w="2100"/>
            <w:tcMar>
              <w:top w:w="80" w:type="dxa"/>
              <w:start w:w="120" w:type="dxa"/>
              <w:bottom w:w="80" w:type="dxa"/>
              <w:end w:w="120" w:type="dxa"/>
            </w:tcMar>
            <w:vAlign w:val="center"/>
            <w:shd w:fill="E8EEF5"/>
          </w:tcPr>
          <w:p>
            <w:pPr>
              <w:jc w:val="center"/>
              <w:bidi w:val="1"/>
            </w:pPr>
            <w:r>
              <w:rPr>
                <w:b/>
                <w:color w:val="1F4D78"/>
                <w:sz w:val="18"/>
              </w:rPr>
              <w:t>Dataset</w:t>
            </w:r>
          </w:p>
        </w:tc>
        <w:tc>
          <w:tcPr>
            <w:tcW w:type="dxa" w:w="1050"/>
            <w:tcMar>
              <w:top w:w="80" w:type="dxa"/>
              <w:start w:w="120" w:type="dxa"/>
              <w:bottom w:w="80" w:type="dxa"/>
              <w:end w:w="120" w:type="dxa"/>
            </w:tcMar>
            <w:vAlign w:val="center"/>
            <w:shd w:fill="E8EEF5"/>
          </w:tcPr>
          <w:p>
            <w:pPr>
              <w:jc w:val="center"/>
              <w:bidi w:val="1"/>
            </w:pPr>
            <w:r>
              <w:rPr>
                <w:b/>
                <w:color w:val="1F4D78"/>
                <w:sz w:val="18"/>
              </w:rPr>
              <w:t>تعداد</w:t>
            </w:r>
          </w:p>
        </w:tc>
        <w:tc>
          <w:tcPr>
            <w:tcW w:type="dxa" w:w="1100"/>
            <w:tcMar>
              <w:top w:w="80" w:type="dxa"/>
              <w:start w:w="120" w:type="dxa"/>
              <w:bottom w:w="80" w:type="dxa"/>
              <w:end w:w="120" w:type="dxa"/>
            </w:tcMar>
            <w:vAlign w:val="center"/>
            <w:shd w:fill="E8EEF5"/>
          </w:tcPr>
          <w:p>
            <w:pPr>
              <w:jc w:val="center"/>
              <w:bidi w:val="1"/>
            </w:pPr>
            <w:r>
              <w:rPr>
                <w:b/>
                <w:color w:val="1F4D78"/>
                <w:sz w:val="18"/>
              </w:rPr>
              <w:t>Threshold</w:t>
            </w:r>
          </w:p>
        </w:tc>
        <w:tc>
          <w:tcPr>
            <w:tcW w:type="dxa" w:w="1300"/>
            <w:tcMar>
              <w:top w:w="80" w:type="dxa"/>
              <w:start w:w="120" w:type="dxa"/>
              <w:bottom w:w="80" w:type="dxa"/>
              <w:end w:w="120" w:type="dxa"/>
            </w:tcMar>
            <w:vAlign w:val="center"/>
            <w:shd w:fill="E8EEF5"/>
          </w:tcPr>
          <w:p>
            <w:pPr>
              <w:jc w:val="center"/>
              <w:bidi w:val="1"/>
            </w:pPr>
            <w:r>
              <w:rPr>
                <w:b/>
                <w:color w:val="1F4D78"/>
                <w:sz w:val="18"/>
              </w:rPr>
              <w:t>Dice</w:t>
            </w:r>
          </w:p>
        </w:tc>
        <w:tc>
          <w:tcPr>
            <w:tcW w:type="dxa" w:w="1300"/>
            <w:tcMar>
              <w:top w:w="80" w:type="dxa"/>
              <w:start w:w="120" w:type="dxa"/>
              <w:bottom w:w="80" w:type="dxa"/>
              <w:end w:w="120" w:type="dxa"/>
            </w:tcMar>
            <w:vAlign w:val="center"/>
            <w:shd w:fill="E8EEF5"/>
          </w:tcPr>
          <w:p>
            <w:pPr>
              <w:jc w:val="center"/>
              <w:bidi w:val="1"/>
            </w:pPr>
            <w:r>
              <w:rPr>
                <w:b/>
                <w:color w:val="1F4D78"/>
                <w:sz w:val="18"/>
              </w:rPr>
              <w:t>IoU</w:t>
            </w:r>
          </w:p>
        </w:tc>
        <w:tc>
          <w:tcPr>
            <w:tcW w:type="dxa" w:w="2510"/>
            <w:tcMar>
              <w:top w:w="80" w:type="dxa"/>
              <w:start w:w="120" w:type="dxa"/>
              <w:bottom w:w="80" w:type="dxa"/>
              <w:end w:w="120" w:type="dxa"/>
            </w:tcMar>
            <w:vAlign w:val="center"/>
            <w:shd w:fill="E8EEF5"/>
          </w:tcPr>
          <w:p>
            <w:pPr>
              <w:jc w:val="center"/>
              <w:bidi w:val="1"/>
            </w:pPr>
            <w:r>
              <w:rPr>
                <w:b/>
                <w:color w:val="1F4D78"/>
                <w:sz w:val="18"/>
              </w:rPr>
              <w:t>TTA</w:t>
            </w:r>
          </w:p>
        </w:tc>
      </w:tr>
      <w:tr>
        <w:tc>
          <w:tcPr>
            <w:tcW w:type="dxa" w:w="2100"/>
          </w:tcPr>
          <w:p>
            <w:pPr>
              <w:bidi w:val="1"/>
              <w:jc w:val="center"/>
            </w:pPr>
            <w:r>
              <w:rPr>
                <w:sz w:val="18"/>
              </w:rPr>
              <w:t>Kvasir validation</w:t>
            </w:r>
          </w:p>
        </w:tc>
        <w:tc>
          <w:tcPr>
            <w:tcW w:type="dxa" w:w="1050"/>
          </w:tcPr>
          <w:p>
            <w:pPr>
              <w:bidi w:val="1"/>
              <w:jc w:val="left"/>
            </w:pPr>
            <w:r>
              <w:rPr>
                <w:sz w:val="18"/>
              </w:rPr>
              <w:t>100</w:t>
            </w:r>
          </w:p>
        </w:tc>
        <w:tc>
          <w:tcPr>
            <w:tcW w:type="dxa" w:w="1100"/>
          </w:tcPr>
          <w:p>
            <w:pPr>
              <w:bidi w:val="1"/>
              <w:jc w:val="left"/>
            </w:pPr>
            <w:r>
              <w:rPr>
                <w:sz w:val="18"/>
              </w:rPr>
              <w:t>0.60</w:t>
            </w:r>
          </w:p>
        </w:tc>
        <w:tc>
          <w:tcPr>
            <w:tcW w:type="dxa" w:w="1300"/>
          </w:tcPr>
          <w:p>
            <w:pPr>
              <w:bidi w:val="1"/>
              <w:jc w:val="left"/>
            </w:pPr>
            <w:r>
              <w:rPr>
                <w:sz w:val="18"/>
              </w:rPr>
              <w:t>0.9268</w:t>
            </w:r>
          </w:p>
        </w:tc>
        <w:tc>
          <w:tcPr>
            <w:tcW w:type="dxa" w:w="1300"/>
          </w:tcPr>
          <w:p>
            <w:pPr>
              <w:bidi w:val="1"/>
              <w:jc w:val="left"/>
            </w:pPr>
            <w:r>
              <w:rPr>
                <w:sz w:val="18"/>
              </w:rPr>
              <w:t>0.8756</w:t>
            </w:r>
          </w:p>
        </w:tc>
        <w:tc>
          <w:tcPr>
            <w:tcW w:type="dxa" w:w="2510"/>
          </w:tcPr>
          <w:p>
            <w:pPr>
              <w:bidi w:val="1"/>
              <w:jc w:val="left"/>
            </w:pPr>
            <w:r>
              <w:rPr>
                <w:sz w:val="18"/>
              </w:rPr>
              <w:t>فعال</w:t>
            </w:r>
          </w:p>
        </w:tc>
      </w:tr>
      <w:tr>
        <w:tc>
          <w:tcPr>
            <w:tcW w:type="dxa" w:w="2100"/>
          </w:tcPr>
          <w:p>
            <w:pPr>
              <w:bidi w:val="1"/>
              <w:jc w:val="center"/>
            </w:pPr>
            <w:r>
              <w:rPr>
                <w:sz w:val="18"/>
              </w:rPr>
              <w:t>ClinicDB validation</w:t>
            </w:r>
          </w:p>
        </w:tc>
        <w:tc>
          <w:tcPr>
            <w:tcW w:type="dxa" w:w="1050"/>
          </w:tcPr>
          <w:p>
            <w:pPr>
              <w:bidi w:val="1"/>
              <w:jc w:val="left"/>
            </w:pPr>
            <w:r>
              <w:rPr>
                <w:sz w:val="18"/>
              </w:rPr>
              <w:t>62</w:t>
            </w:r>
          </w:p>
        </w:tc>
        <w:tc>
          <w:tcPr>
            <w:tcW w:type="dxa" w:w="1100"/>
          </w:tcPr>
          <w:p>
            <w:pPr>
              <w:bidi w:val="1"/>
              <w:jc w:val="left"/>
            </w:pPr>
            <w:r>
              <w:rPr>
                <w:sz w:val="18"/>
              </w:rPr>
              <w:t>0.60</w:t>
            </w:r>
          </w:p>
        </w:tc>
        <w:tc>
          <w:tcPr>
            <w:tcW w:type="dxa" w:w="1300"/>
          </w:tcPr>
          <w:p>
            <w:pPr>
              <w:bidi w:val="1"/>
              <w:jc w:val="left"/>
            </w:pPr>
            <w:r>
              <w:rPr>
                <w:sz w:val="18"/>
              </w:rPr>
              <w:t>0.9422</w:t>
            </w:r>
          </w:p>
        </w:tc>
        <w:tc>
          <w:tcPr>
            <w:tcW w:type="dxa" w:w="1300"/>
          </w:tcPr>
          <w:p>
            <w:pPr>
              <w:bidi w:val="1"/>
              <w:jc w:val="left"/>
            </w:pPr>
            <w:r>
              <w:rPr>
                <w:sz w:val="18"/>
              </w:rPr>
              <w:t>0.8946</w:t>
            </w:r>
          </w:p>
        </w:tc>
        <w:tc>
          <w:tcPr>
            <w:tcW w:type="dxa" w:w="2510"/>
          </w:tcPr>
          <w:p>
            <w:pPr>
              <w:bidi w:val="1"/>
              <w:jc w:val="left"/>
            </w:pPr>
            <w:r>
              <w:rPr>
                <w:sz w:val="18"/>
              </w:rPr>
              <w:t>فعال</w:t>
            </w:r>
          </w:p>
        </w:tc>
      </w:tr>
      <w:tr>
        <w:tc>
          <w:tcPr>
            <w:tcW w:type="dxa" w:w="2100"/>
          </w:tcPr>
          <w:p>
            <w:pPr>
              <w:bidi w:val="1"/>
              <w:jc w:val="center"/>
            </w:pPr>
            <w:r>
              <w:rPr>
                <w:sz w:val="18"/>
              </w:rPr>
              <w:t>Combined</w:t>
            </w:r>
          </w:p>
        </w:tc>
        <w:tc>
          <w:tcPr>
            <w:tcW w:type="dxa" w:w="1050"/>
          </w:tcPr>
          <w:p>
            <w:pPr>
              <w:bidi w:val="1"/>
              <w:jc w:val="left"/>
            </w:pPr>
            <w:r>
              <w:rPr>
                <w:sz w:val="18"/>
              </w:rPr>
              <w:t>162</w:t>
            </w:r>
          </w:p>
        </w:tc>
        <w:tc>
          <w:tcPr>
            <w:tcW w:type="dxa" w:w="1100"/>
          </w:tcPr>
          <w:p>
            <w:pPr>
              <w:bidi w:val="1"/>
              <w:jc w:val="left"/>
            </w:pPr>
            <w:r>
              <w:rPr>
                <w:sz w:val="18"/>
              </w:rPr>
              <w:t>0.60</w:t>
            </w:r>
          </w:p>
        </w:tc>
        <w:tc>
          <w:tcPr>
            <w:tcW w:type="dxa" w:w="1300"/>
          </w:tcPr>
          <w:p>
            <w:pPr>
              <w:bidi w:val="1"/>
              <w:jc w:val="left"/>
            </w:pPr>
            <w:r>
              <w:rPr>
                <w:sz w:val="18"/>
              </w:rPr>
              <w:t>0.9327</w:t>
            </w:r>
          </w:p>
        </w:tc>
        <w:tc>
          <w:tcPr>
            <w:tcW w:type="dxa" w:w="1300"/>
          </w:tcPr>
          <w:p>
            <w:pPr>
              <w:bidi w:val="1"/>
              <w:jc w:val="left"/>
            </w:pPr>
            <w:r>
              <w:rPr>
                <w:sz w:val="18"/>
              </w:rPr>
              <w:t>0.8829</w:t>
            </w:r>
          </w:p>
        </w:tc>
        <w:tc>
          <w:tcPr>
            <w:tcW w:type="dxa" w:w="2510"/>
          </w:tcPr>
          <w:p>
            <w:pPr>
              <w:bidi w:val="1"/>
              <w:jc w:val="left"/>
            </w:pPr>
            <w:r>
              <w:rPr>
                <w:sz w:val="18"/>
              </w:rPr>
              <w:t>فعال</w:t>
            </w:r>
          </w:p>
        </w:tc>
      </w:tr>
      <w:tr>
        <w:tc>
          <w:tcPr>
            <w:tcW w:type="dxa" w:w="2100"/>
          </w:tcPr>
          <w:p>
            <w:pPr>
              <w:bidi w:val="1"/>
              <w:jc w:val="center"/>
            </w:pPr>
            <w:r>
              <w:rPr>
                <w:sz w:val="18"/>
              </w:rPr>
              <w:t>CVC-300</w:t>
            </w:r>
          </w:p>
        </w:tc>
        <w:tc>
          <w:tcPr>
            <w:tcW w:type="dxa" w:w="1050"/>
          </w:tcPr>
          <w:p>
            <w:pPr>
              <w:bidi w:val="1"/>
              <w:jc w:val="left"/>
            </w:pPr>
            <w:r>
              <w:rPr>
                <w:sz w:val="18"/>
              </w:rPr>
              <w:t>60</w:t>
            </w:r>
          </w:p>
        </w:tc>
        <w:tc>
          <w:tcPr>
            <w:tcW w:type="dxa" w:w="1100"/>
          </w:tcPr>
          <w:p>
            <w:pPr>
              <w:bidi w:val="1"/>
              <w:jc w:val="left"/>
            </w:pPr>
            <w:r>
              <w:rPr>
                <w:sz w:val="18"/>
              </w:rPr>
              <w:t>0.60</w:t>
            </w:r>
          </w:p>
        </w:tc>
        <w:tc>
          <w:tcPr>
            <w:tcW w:type="dxa" w:w="1300"/>
          </w:tcPr>
          <w:p>
            <w:pPr>
              <w:bidi w:val="1"/>
              <w:jc w:val="left"/>
            </w:pPr>
            <w:r>
              <w:rPr>
                <w:sz w:val="18"/>
              </w:rPr>
              <w:t>0.8988</w:t>
            </w:r>
          </w:p>
        </w:tc>
        <w:tc>
          <w:tcPr>
            <w:tcW w:type="dxa" w:w="1300"/>
          </w:tcPr>
          <w:p>
            <w:pPr>
              <w:bidi w:val="1"/>
              <w:jc w:val="left"/>
            </w:pPr>
            <w:r>
              <w:rPr>
                <w:sz w:val="18"/>
              </w:rPr>
              <w:t>0.8292</w:t>
            </w:r>
          </w:p>
        </w:tc>
        <w:tc>
          <w:tcPr>
            <w:tcW w:type="dxa" w:w="2510"/>
          </w:tcPr>
          <w:p>
            <w:pPr>
              <w:bidi w:val="1"/>
              <w:jc w:val="left"/>
            </w:pPr>
            <w:r>
              <w:rPr>
                <w:sz w:val="18"/>
              </w:rPr>
              <w:t>فعال</w:t>
            </w:r>
          </w:p>
        </w:tc>
      </w:tr>
      <w:tr>
        <w:tc>
          <w:tcPr>
            <w:tcW w:type="dxa" w:w="2100"/>
          </w:tcPr>
          <w:p>
            <w:pPr>
              <w:bidi w:val="1"/>
              <w:jc w:val="center"/>
            </w:pPr>
            <w:r>
              <w:rPr>
                <w:sz w:val="18"/>
              </w:rPr>
              <w:t>CVC-ColonDB</w:t>
            </w:r>
          </w:p>
        </w:tc>
        <w:tc>
          <w:tcPr>
            <w:tcW w:type="dxa" w:w="1050"/>
          </w:tcPr>
          <w:p>
            <w:pPr>
              <w:bidi w:val="1"/>
              <w:jc w:val="left"/>
            </w:pPr>
            <w:r>
              <w:rPr>
                <w:sz w:val="18"/>
              </w:rPr>
              <w:t>380</w:t>
            </w:r>
          </w:p>
        </w:tc>
        <w:tc>
          <w:tcPr>
            <w:tcW w:type="dxa" w:w="1100"/>
          </w:tcPr>
          <w:p>
            <w:pPr>
              <w:bidi w:val="1"/>
              <w:jc w:val="left"/>
            </w:pPr>
            <w:r>
              <w:rPr>
                <w:sz w:val="18"/>
              </w:rPr>
              <w:t>0.60</w:t>
            </w:r>
          </w:p>
        </w:tc>
        <w:tc>
          <w:tcPr>
            <w:tcW w:type="dxa" w:w="1300"/>
          </w:tcPr>
          <w:p>
            <w:pPr>
              <w:bidi w:val="1"/>
              <w:jc w:val="left"/>
            </w:pPr>
            <w:r>
              <w:rPr>
                <w:sz w:val="18"/>
              </w:rPr>
              <w:t>0.7750</w:t>
            </w:r>
          </w:p>
        </w:tc>
        <w:tc>
          <w:tcPr>
            <w:tcW w:type="dxa" w:w="1300"/>
          </w:tcPr>
          <w:p>
            <w:pPr>
              <w:bidi w:val="1"/>
              <w:jc w:val="left"/>
            </w:pPr>
            <w:r>
              <w:rPr>
                <w:sz w:val="18"/>
              </w:rPr>
              <w:t>0.6960</w:t>
            </w:r>
          </w:p>
        </w:tc>
        <w:tc>
          <w:tcPr>
            <w:tcW w:type="dxa" w:w="2510"/>
          </w:tcPr>
          <w:p>
            <w:pPr>
              <w:bidi w:val="1"/>
              <w:jc w:val="left"/>
            </w:pPr>
            <w:r>
              <w:rPr>
                <w:sz w:val="18"/>
              </w:rPr>
              <w:t>فعال</w:t>
            </w:r>
          </w:p>
        </w:tc>
      </w:tr>
      <w:tr>
        <w:tc>
          <w:tcPr>
            <w:tcW w:type="dxa" w:w="2100"/>
          </w:tcPr>
          <w:p>
            <w:pPr>
              <w:bidi w:val="1"/>
              <w:jc w:val="center"/>
            </w:pPr>
            <w:r>
              <w:rPr>
                <w:sz w:val="18"/>
              </w:rPr>
              <w:t>ETIS-LARIBPOLYPDB</w:t>
            </w:r>
          </w:p>
        </w:tc>
        <w:tc>
          <w:tcPr>
            <w:tcW w:type="dxa" w:w="1050"/>
          </w:tcPr>
          <w:p>
            <w:pPr>
              <w:bidi w:val="1"/>
              <w:jc w:val="left"/>
            </w:pPr>
            <w:r>
              <w:rPr>
                <w:sz w:val="18"/>
              </w:rPr>
              <w:t>196</w:t>
            </w:r>
          </w:p>
        </w:tc>
        <w:tc>
          <w:tcPr>
            <w:tcW w:type="dxa" w:w="1100"/>
          </w:tcPr>
          <w:p>
            <w:pPr>
              <w:bidi w:val="1"/>
              <w:jc w:val="left"/>
            </w:pPr>
            <w:r>
              <w:rPr>
                <w:sz w:val="18"/>
              </w:rPr>
              <w:t>0.60</w:t>
            </w:r>
          </w:p>
        </w:tc>
        <w:tc>
          <w:tcPr>
            <w:tcW w:type="dxa" w:w="1300"/>
          </w:tcPr>
          <w:p>
            <w:pPr>
              <w:bidi w:val="1"/>
              <w:jc w:val="left"/>
            </w:pPr>
            <w:r>
              <w:rPr>
                <w:sz w:val="18"/>
              </w:rPr>
              <w:t>0.7859</w:t>
            </w:r>
          </w:p>
        </w:tc>
        <w:tc>
          <w:tcPr>
            <w:tcW w:type="dxa" w:w="1300"/>
          </w:tcPr>
          <w:p>
            <w:pPr>
              <w:bidi w:val="1"/>
              <w:jc w:val="left"/>
            </w:pPr>
            <w:r>
              <w:rPr>
                <w:sz w:val="18"/>
              </w:rPr>
              <w:t>0.7108</w:t>
            </w:r>
          </w:p>
        </w:tc>
        <w:tc>
          <w:tcPr>
            <w:tcW w:type="dxa" w:w="2510"/>
          </w:tcPr>
          <w:p>
            <w:pPr>
              <w:bidi w:val="1"/>
              <w:jc w:val="left"/>
            </w:pPr>
            <w:r>
              <w:rPr>
                <w:sz w:val="18"/>
              </w:rPr>
              <w:t>فعال</w:t>
            </w:r>
          </w:p>
        </w:tc>
      </w:tr>
    </w:tbl>
    <w:p>
      <w:pPr>
        <w:spacing w:after="40"/>
      </w:pPr>
    </w:p>
    <w:p>
      <w:pPr>
        <w:spacing w:after="120" w:line="264" w:lineRule="auto"/>
        <w:bidi w:val="1"/>
      </w:pPr>
      <w:r>
        <w:rPr>
          <w:sz w:val="21"/>
        </w:rPr>
        <w:t>این جدول از all_dataset_eval_results استخراج شده است. threshold با validation تعیین شده و TTA فعال بوده است. برای گزارش نهایی باید همین سیاست برای همه مدل‌ها یکسان باشد؛ همچنین mean±std بین seedها و منبع دقیق checkpoint باید اضافه شود.</w:t>
      </w:r>
    </w:p>
    <w:p>
      <w:pPr>
        <w:pStyle w:val="Heading1"/>
        <w:bidi w:val="1"/>
      </w:pPr>
      <w:r>
        <w:t>۶. تحلیل ویدیوی Ground Truth و Prediction</w:t>
      </w:r>
    </w:p>
    <w:p>
      <w:pPr>
        <w:spacing w:after="120" w:line="264" w:lineRule="auto"/>
        <w:bidi w:val="1"/>
      </w:pPr>
      <w:r>
        <w:rPr>
          <w:sz w:val="21"/>
        </w:rPr>
        <w:t>مشخصات فایل ویدیو: مدت 30 ثانیه، 300 فریم، 10 FPS، رزولوشن 640×480، codec برابر MPEG-4 Part 2 با pixel format برابر yuv420p و bitrate حدود 632 kb/s. ویدیو برای نمایش کیفی مناسب است و به‌دلیل slow playback، از آن نمی‌توان FPS واقعی inference یا latency مدل را نتیجه‌گیری کرد.</w:t>
      </w:r>
    </w:p>
    <w:p>
      <w:pPr>
        <w:jc w:val="center"/>
      </w:pPr>
      <w:r>
        <w:drawing>
          <wp:inline xmlns:a="http://schemas.openxmlformats.org/drawingml/2006/main" xmlns:pic="http://schemas.openxmlformats.org/drawingml/2006/picture">
            <wp:extent cx="5715000" cy="2902857"/>
            <wp:docPr id="1" name="Picture 1"/>
            <wp:cNvGraphicFramePr>
              <a:graphicFrameLocks noChangeAspect="1"/>
            </wp:cNvGraphicFramePr>
            <a:graphic>
              <a:graphicData uri="http://schemas.openxmlformats.org/drawingml/2006/picture">
                <pic:pic>
                  <pic:nvPicPr>
                    <pic:cNvPr id="0" name="video_contact.jpg"/>
                    <pic:cNvPicPr/>
                  </pic:nvPicPr>
                  <pic:blipFill>
                    <a:blip r:embed="rId11"/>
                    <a:stretch>
                      <a:fillRect/>
                    </a:stretch>
                  </pic:blipFill>
                  <pic:spPr>
                    <a:xfrm>
                      <a:off x="0" y="0"/>
                      <a:ext cx="5715000" cy="2902857"/>
                    </a:xfrm>
                    <a:prstGeom prst="rect"/>
                  </pic:spPr>
                </pic:pic>
              </a:graphicData>
            </a:graphic>
          </wp:inline>
        </w:drawing>
      </w:r>
    </w:p>
    <w:p>
      <w:pPr>
        <w:spacing w:after="160"/>
        <w:jc w:val="center"/>
        <w:bidi w:val="1"/>
      </w:pPr>
      <w:r>
        <w:rPr>
          <w:i/>
          <w:color w:val="5A5A5A"/>
          <w:sz w:val="17"/>
        </w:rPr>
        <w:t>شکل ۱ — نمونه فریم‌های استخراج‌شده از ویدیو؛ نمایش bounding box سبز، contour رنگی، confidence و چند سناریوی اندازه و تعداد پولیپ.</w:t>
      </w:r>
    </w:p>
    <w:p>
      <w:pPr>
        <w:pStyle w:val="Heading2"/>
        <w:bidi w:val="1"/>
      </w:pPr>
      <w:r>
        <w:t>۶.۱ نقاط قوت بصری</w:t>
      </w:r>
    </w:p>
    <w:p>
      <w:pPr>
        <w:pStyle w:val="ListBullet"/>
        <w:spacing w:after="60" w:line="264" w:lineRule="auto"/>
        <w:bidi w:val="1"/>
      </w:pPr>
      <w:r>
        <w:rPr>
          <w:sz w:val="20"/>
        </w:rPr>
        <w:t>برای پولیپ‌های بزرگ و نامنظم، contour تقریباً مرز ضایعه را دنبال می‌کند و bounding box ناحیه را پوشش می‌دهد.</w:t>
      </w:r>
    </w:p>
    <w:p>
      <w:pPr>
        <w:pStyle w:val="ListBullet"/>
        <w:spacing w:after="60" w:line="264" w:lineRule="auto"/>
        <w:bidi w:val="1"/>
      </w:pPr>
      <w:r>
        <w:rPr>
          <w:sz w:val="20"/>
        </w:rPr>
        <w:t>در نمونه‌های دارای دو ناحیه، دو برچسب Polyp و دو bounding box جدا دیده می‌شود؛ این نشان می‌دهد خروجی بصری‌سازی از یک mask واحد به componentهای جداگانه می‌رسد یا حداقل برای اجزای جدا خروجی جدا نمایش می‌دهد.</w:t>
      </w:r>
    </w:p>
    <w:p>
      <w:pPr>
        <w:pStyle w:val="ListBullet"/>
        <w:spacing w:after="60" w:line="264" w:lineRule="auto"/>
        <w:bidi w:val="1"/>
      </w:pPr>
      <w:r>
        <w:rPr>
          <w:sz w:val="20"/>
        </w:rPr>
        <w:t>نمونه‌های کوچک نیز با confidence بصری بالا، مانند 0.97 و 0.98، نمایش داده شده‌اند؛ این موضوع برای بررسی robustness در اندازه‌های مختلف مفید است، اما confidence باید با روش محاسبه مستند شود.</w:t>
      </w:r>
    </w:p>
    <w:p>
      <w:pPr>
        <w:pStyle w:val="ListBullet"/>
        <w:spacing w:after="60" w:line="264" w:lineRule="auto"/>
        <w:bidi w:val="1"/>
      </w:pPr>
      <w:r>
        <w:rPr>
          <w:sz w:val="20"/>
        </w:rPr>
        <w:t>در چند فریم، contour رنگی و rectangle هم‌پوشانی مناسبی دارند و نشانه‌ای از localization کلی صحیح دیده می‌شود.</w:t>
      </w:r>
    </w:p>
    <w:p>
      <w:pPr>
        <w:pStyle w:val="Heading2"/>
        <w:bidi w:val="1"/>
      </w:pPr>
      <w:r>
        <w:t>۶.۲ ملاحظات بصری و موارد قابل بهبود</w:t>
      </w:r>
    </w:p>
    <w:p>
      <w:pPr>
        <w:pStyle w:val="ListBullet"/>
        <w:spacing w:after="60" w:line="264" w:lineRule="auto"/>
        <w:bidi w:val="1"/>
      </w:pPr>
      <w:r>
        <w:rPr>
          <w:sz w:val="20"/>
        </w:rPr>
        <w:t>ویدیو legend رسمی برای مشخص‌کردن اینکه هر رنگ دقیقاً Ground Truth یا Prediction است ندارد؛ برای ارائه مشتری باید legend ثابت و واضح اضافه شود.</w:t>
      </w:r>
    </w:p>
    <w:p>
      <w:pPr>
        <w:pStyle w:val="ListBullet"/>
        <w:spacing w:after="60" w:line="264" w:lineRule="auto"/>
        <w:bidi w:val="1"/>
      </w:pPr>
      <w:r>
        <w:rPr>
          <w:sz w:val="20"/>
        </w:rPr>
        <w:t>در بعضی نمونه‌های بزرگ و لبه‌های نامنظم، اختلاف‌های کوچک contour در حاشیه یا نواحی کم‌کنتراست محتمل است؛ برای قضاوت قطعی باید frame-level Dice/IoU محاسبه شود.</w:t>
      </w:r>
    </w:p>
    <w:p>
      <w:pPr>
        <w:pStyle w:val="ListBullet"/>
        <w:spacing w:after="60" w:line="264" w:lineRule="auto"/>
        <w:bidi w:val="1"/>
      </w:pPr>
      <w:r>
        <w:rPr>
          <w:sz w:val="20"/>
        </w:rPr>
        <w:t>timestamp و overlayهای دوربین در بعضی فریم‌ها با خروجی مدل مخلوط شده‌اند و برای ارائه رسمی بهتر است crop/overlay تمیز یا نسخه side-by-side تولید شود.</w:t>
      </w:r>
    </w:p>
    <w:p>
      <w:pPr>
        <w:pStyle w:val="ListBullet"/>
        <w:spacing w:after="60" w:line="264" w:lineRule="auto"/>
        <w:bidi w:val="1"/>
      </w:pPr>
      <w:r>
        <w:rPr>
          <w:sz w:val="20"/>
        </w:rPr>
        <w:t>گوشه‌های مشکی و نسبت 4:3 نشان می‌دهند preprocessing و نمایش ویدیو باید از نظر حفظ نسبت تصویر و padding مستند شود.</w:t>
      </w:r>
    </w:p>
    <w:p>
      <w:pPr>
        <w:pStyle w:val="ListBullet"/>
        <w:spacing w:after="60" w:line="264" w:lineRule="auto"/>
        <w:bidi w:val="1"/>
      </w:pPr>
      <w:r>
        <w:rPr>
          <w:sz w:val="20"/>
        </w:rPr>
        <w:t>ویدیو به‌تنهایی false positive، false negative و پایداری temporal را quantify نمی‌کند؛ وجود manifest فریم-به-نام تصویر و mask برای ارزیابی کامل لازم است.</w:t>
      </w:r>
    </w:p>
    <w:p>
      <w:pPr>
        <w:pStyle w:val="Heading1"/>
        <w:bidi w:val="1"/>
      </w:pPr>
      <w:r>
        <w:t>۷. ارزیابی کیفیت فنی</w:t>
      </w:r>
    </w:p>
    <w:tbl>
      <w:tblPr>
        <w:tblStyle w:val="TableGrid"/>
        <w:tblW w:type="dxa" w:w="9360"/>
        <w:jc w:val="left"/>
        <w:tblLayout w:type="fixed"/>
        <w:tblLook w:firstColumn="1" w:firstRow="1" w:lastColumn="0" w:lastRow="0" w:noHBand="0" w:noVBand="1" w:val="04A0"/>
      </w:tblPr>
      <w:tblGrid>
        <w:gridCol w:w="1700"/>
        <w:gridCol w:w="3200"/>
        <w:gridCol w:w="1200"/>
        <w:gridCol w:w="3260"/>
      </w:tblGrid>
      <w:tr>
        <w:tc>
          <w:tcPr>
            <w:tcW w:type="dxa" w:w="1700"/>
            <w:tcMar>
              <w:top w:w="80" w:type="dxa"/>
              <w:start w:w="120" w:type="dxa"/>
              <w:bottom w:w="80" w:type="dxa"/>
              <w:end w:w="120" w:type="dxa"/>
            </w:tcMar>
            <w:vAlign w:val="center"/>
            <w:shd w:fill="E8EEF5"/>
          </w:tcPr>
          <w:p>
            <w:pPr>
              <w:jc w:val="center"/>
              <w:bidi w:val="1"/>
            </w:pPr>
            <w:r>
              <w:rPr>
                <w:b/>
                <w:color w:val="1F4D78"/>
                <w:sz w:val="18"/>
              </w:rPr>
              <w:t>حوزه</w:t>
            </w:r>
          </w:p>
        </w:tc>
        <w:tc>
          <w:tcPr>
            <w:tcW w:type="dxa" w:w="3200"/>
            <w:tcMar>
              <w:top w:w="80" w:type="dxa"/>
              <w:start w:w="120" w:type="dxa"/>
              <w:bottom w:w="80" w:type="dxa"/>
              <w:end w:w="120" w:type="dxa"/>
            </w:tcMar>
            <w:vAlign w:val="center"/>
            <w:shd w:fill="E8EEF5"/>
          </w:tcPr>
          <w:p>
            <w:pPr>
              <w:jc w:val="center"/>
              <w:bidi w:val="1"/>
            </w:pPr>
            <w:r>
              <w:rPr>
                <w:b/>
                <w:color w:val="1F4D78"/>
                <w:sz w:val="18"/>
              </w:rPr>
              <w:t>وضعیت فعلی</w:t>
            </w:r>
          </w:p>
        </w:tc>
        <w:tc>
          <w:tcPr>
            <w:tcW w:type="dxa" w:w="1200"/>
            <w:tcMar>
              <w:top w:w="80" w:type="dxa"/>
              <w:start w:w="120" w:type="dxa"/>
              <w:bottom w:w="80" w:type="dxa"/>
              <w:end w:w="120" w:type="dxa"/>
            </w:tcMar>
            <w:vAlign w:val="center"/>
            <w:shd w:fill="E8EEF5"/>
          </w:tcPr>
          <w:p>
            <w:pPr>
              <w:jc w:val="center"/>
              <w:bidi w:val="1"/>
            </w:pPr>
            <w:r>
              <w:rPr>
                <w:b/>
                <w:color w:val="1F4D78"/>
                <w:sz w:val="18"/>
              </w:rPr>
              <w:t>سطح ریسک</w:t>
            </w:r>
          </w:p>
        </w:tc>
        <w:tc>
          <w:tcPr>
            <w:tcW w:type="dxa" w:w="3260"/>
            <w:tcMar>
              <w:top w:w="80" w:type="dxa"/>
              <w:start w:w="120" w:type="dxa"/>
              <w:bottom w:w="80" w:type="dxa"/>
              <w:end w:w="120" w:type="dxa"/>
            </w:tcMar>
            <w:vAlign w:val="center"/>
            <w:shd w:fill="E8EEF5"/>
          </w:tcPr>
          <w:p>
            <w:pPr>
              <w:jc w:val="center"/>
              <w:bidi w:val="1"/>
            </w:pPr>
            <w:r>
              <w:rPr>
                <w:b/>
                <w:color w:val="1F4D78"/>
                <w:sz w:val="18"/>
              </w:rPr>
              <w:t>اقدام لازم</w:t>
            </w:r>
          </w:p>
        </w:tc>
      </w:tr>
      <w:tr>
        <w:tc>
          <w:tcPr>
            <w:tcW w:type="dxa" w:w="1700"/>
          </w:tcPr>
          <w:p>
            <w:pPr>
              <w:bidi w:val="1"/>
              <w:jc w:val="center"/>
            </w:pPr>
            <w:r>
              <w:rPr>
                <w:sz w:val="18"/>
              </w:rPr>
              <w:t>معماری پایه</w:t>
            </w:r>
          </w:p>
        </w:tc>
        <w:tc>
          <w:tcPr>
            <w:tcW w:type="dxa" w:w="3200"/>
          </w:tcPr>
          <w:p>
            <w:pPr>
              <w:bidi w:val="1"/>
              <w:jc w:val="left"/>
            </w:pPr>
            <w:r>
              <w:rPr>
                <w:sz w:val="18"/>
              </w:rPr>
              <w:t>ConvNeXt-Tiny + U-Net decoder پیاده‌سازی شده</w:t>
            </w:r>
          </w:p>
        </w:tc>
        <w:tc>
          <w:tcPr>
            <w:tcW w:type="dxa" w:w="1200"/>
          </w:tcPr>
          <w:p>
            <w:pPr>
              <w:bidi w:val="1"/>
              <w:jc w:val="left"/>
            </w:pPr>
            <w:r>
              <w:rPr>
                <w:sz w:val="18"/>
              </w:rPr>
              <w:t>کم</w:t>
            </w:r>
          </w:p>
        </w:tc>
        <w:tc>
          <w:tcPr>
            <w:tcW w:type="dxa" w:w="3260"/>
          </w:tcPr>
          <w:p>
            <w:pPr>
              <w:bidi w:val="1"/>
              <w:jc w:val="left"/>
            </w:pPr>
            <w:r>
              <w:rPr>
                <w:sz w:val="18"/>
              </w:rPr>
              <w:t>مستندسازی interface و نسخه‌ها</w:t>
            </w:r>
          </w:p>
        </w:tc>
      </w:tr>
      <w:tr>
        <w:tc>
          <w:tcPr>
            <w:tcW w:type="dxa" w:w="1700"/>
          </w:tcPr>
          <w:p>
            <w:pPr>
              <w:bidi w:val="1"/>
              <w:jc w:val="center"/>
            </w:pPr>
            <w:r>
              <w:rPr>
                <w:sz w:val="18"/>
              </w:rPr>
              <w:t>MSC</w:t>
            </w:r>
          </w:p>
        </w:tc>
        <w:tc>
          <w:tcPr>
            <w:tcW w:type="dxa" w:w="3200"/>
          </w:tcPr>
          <w:p>
            <w:pPr>
              <w:bidi w:val="1"/>
              <w:jc w:val="left"/>
            </w:pPr>
            <w:r>
              <w:rPr>
                <w:sz w:val="18"/>
              </w:rPr>
              <w:t>فعال با سه dilation و pooling</w:t>
            </w:r>
          </w:p>
        </w:tc>
        <w:tc>
          <w:tcPr>
            <w:tcW w:type="dxa" w:w="1200"/>
          </w:tcPr>
          <w:p>
            <w:pPr>
              <w:bidi w:val="1"/>
              <w:jc w:val="left"/>
            </w:pPr>
            <w:r>
              <w:rPr>
                <w:sz w:val="18"/>
              </w:rPr>
              <w:t>متوسط</w:t>
            </w:r>
          </w:p>
        </w:tc>
        <w:tc>
          <w:tcPr>
            <w:tcW w:type="dxa" w:w="3260"/>
          </w:tcPr>
          <w:p>
            <w:pPr>
              <w:bidi w:val="1"/>
              <w:jc w:val="left"/>
            </w:pPr>
            <w:r>
              <w:rPr>
                <w:sz w:val="18"/>
              </w:rPr>
              <w:t>ثبت ablation تعداد branch و dilation</w:t>
            </w:r>
          </w:p>
        </w:tc>
      </w:tr>
      <w:tr>
        <w:tc>
          <w:tcPr>
            <w:tcW w:type="dxa" w:w="1700"/>
          </w:tcPr>
          <w:p>
            <w:pPr>
              <w:bidi w:val="1"/>
              <w:jc w:val="center"/>
            </w:pPr>
            <w:r>
              <w:rPr>
                <w:sz w:val="18"/>
              </w:rPr>
              <w:t>LRSE/BSEI</w:t>
            </w:r>
          </w:p>
        </w:tc>
        <w:tc>
          <w:tcPr>
            <w:tcW w:type="dxa" w:w="3200"/>
          </w:tcPr>
          <w:p>
            <w:pPr>
              <w:bidi w:val="1"/>
              <w:jc w:val="left"/>
            </w:pPr>
            <w:r>
              <w:rPr>
                <w:sz w:val="18"/>
              </w:rPr>
              <w:t>نام و implementation نهایی یکسان نیست</w:t>
            </w:r>
          </w:p>
        </w:tc>
        <w:tc>
          <w:tcPr>
            <w:tcW w:type="dxa" w:w="1200"/>
          </w:tcPr>
          <w:p>
            <w:pPr>
              <w:bidi w:val="1"/>
              <w:jc w:val="left"/>
            </w:pPr>
            <w:r>
              <w:rPr>
                <w:sz w:val="18"/>
              </w:rPr>
              <w:t>زیاد</w:t>
            </w:r>
          </w:p>
        </w:tc>
        <w:tc>
          <w:tcPr>
            <w:tcW w:type="dxa" w:w="3260"/>
          </w:tcPr>
          <w:p>
            <w:pPr>
              <w:bidi w:val="1"/>
              <w:jc w:val="left"/>
            </w:pPr>
            <w:r>
              <w:rPr>
                <w:sz w:val="18"/>
              </w:rPr>
              <w:t>تعیین نام و فعال‌سازی واقعی ماژول</w:t>
            </w:r>
          </w:p>
        </w:tc>
      </w:tr>
      <w:tr>
        <w:tc>
          <w:tcPr>
            <w:tcW w:type="dxa" w:w="1700"/>
          </w:tcPr>
          <w:p>
            <w:pPr>
              <w:bidi w:val="1"/>
              <w:jc w:val="center"/>
            </w:pPr>
            <w:r>
              <w:rPr>
                <w:sz w:val="18"/>
              </w:rPr>
              <w:t>Detail/GDF/DS</w:t>
            </w:r>
          </w:p>
        </w:tc>
        <w:tc>
          <w:tcPr>
            <w:tcW w:type="dxa" w:w="3200"/>
          </w:tcPr>
          <w:p>
            <w:pPr>
              <w:bidi w:val="1"/>
              <w:jc w:val="left"/>
            </w:pPr>
            <w:r>
              <w:rPr>
                <w:sz w:val="18"/>
              </w:rPr>
              <w:t>کلاس‌ها یا helperها موجود، ولی در مدل اصلی کامل فعال نیستند</w:t>
            </w:r>
          </w:p>
        </w:tc>
        <w:tc>
          <w:tcPr>
            <w:tcW w:type="dxa" w:w="1200"/>
          </w:tcPr>
          <w:p>
            <w:pPr>
              <w:bidi w:val="1"/>
              <w:jc w:val="left"/>
            </w:pPr>
            <w:r>
              <w:rPr>
                <w:sz w:val="18"/>
              </w:rPr>
              <w:t>زیاد</w:t>
            </w:r>
          </w:p>
        </w:tc>
        <w:tc>
          <w:tcPr>
            <w:tcW w:type="dxa" w:w="3260"/>
          </w:tcPr>
          <w:p>
            <w:pPr>
              <w:bidi w:val="1"/>
              <w:jc w:val="left"/>
            </w:pPr>
            <w:r>
              <w:rPr>
                <w:sz w:val="18"/>
              </w:rPr>
              <w:t>تکمیل معماری configurable</w:t>
            </w:r>
          </w:p>
        </w:tc>
      </w:tr>
      <w:tr>
        <w:tc>
          <w:tcPr>
            <w:tcW w:type="dxa" w:w="1700"/>
          </w:tcPr>
          <w:p>
            <w:pPr>
              <w:bidi w:val="1"/>
              <w:jc w:val="center"/>
            </w:pPr>
            <w:r>
              <w:rPr>
                <w:sz w:val="18"/>
              </w:rPr>
              <w:t>Reproducibility</w:t>
            </w:r>
          </w:p>
        </w:tc>
        <w:tc>
          <w:tcPr>
            <w:tcW w:type="dxa" w:w="3200"/>
          </w:tcPr>
          <w:p>
            <w:pPr>
              <w:bidi w:val="1"/>
              <w:jc w:val="left"/>
            </w:pPr>
            <w:r>
              <w:rPr>
                <w:sz w:val="18"/>
              </w:rPr>
              <w:t>split ثابت 42؛ seed سراسری کامل نیست</w:t>
            </w:r>
          </w:p>
        </w:tc>
        <w:tc>
          <w:tcPr>
            <w:tcW w:type="dxa" w:w="1200"/>
          </w:tcPr>
          <w:p>
            <w:pPr>
              <w:bidi w:val="1"/>
              <w:jc w:val="left"/>
            </w:pPr>
            <w:r>
              <w:rPr>
                <w:sz w:val="18"/>
              </w:rPr>
              <w:t>زیاد</w:t>
            </w:r>
          </w:p>
        </w:tc>
        <w:tc>
          <w:tcPr>
            <w:tcW w:type="dxa" w:w="3260"/>
          </w:tcPr>
          <w:p>
            <w:pPr>
              <w:bidi w:val="1"/>
              <w:jc w:val="left"/>
            </w:pPr>
            <w:r>
              <w:rPr>
                <w:sz w:val="18"/>
              </w:rPr>
              <w:t>سه seed و metadata کامل</w:t>
            </w:r>
          </w:p>
        </w:tc>
      </w:tr>
      <w:tr>
        <w:tc>
          <w:tcPr>
            <w:tcW w:type="dxa" w:w="1700"/>
          </w:tcPr>
          <w:p>
            <w:pPr>
              <w:bidi w:val="1"/>
              <w:jc w:val="center"/>
            </w:pPr>
            <w:r>
              <w:rPr>
                <w:sz w:val="18"/>
              </w:rPr>
              <w:t>Checkpoint selection</w:t>
            </w:r>
          </w:p>
        </w:tc>
        <w:tc>
          <w:tcPr>
            <w:tcW w:type="dxa" w:w="3200"/>
          </w:tcPr>
          <w:p>
            <w:pPr>
              <w:bidi w:val="1"/>
              <w:jc w:val="left"/>
            </w:pPr>
            <w:r>
              <w:rPr>
                <w:sz w:val="18"/>
              </w:rPr>
              <w:t>در مسیر فعلی بر IoU مجموعه ارزیابی تکیه دارد</w:t>
            </w:r>
          </w:p>
        </w:tc>
        <w:tc>
          <w:tcPr>
            <w:tcW w:type="dxa" w:w="1200"/>
          </w:tcPr>
          <w:p>
            <w:pPr>
              <w:bidi w:val="1"/>
              <w:jc w:val="left"/>
            </w:pPr>
            <w:r>
              <w:rPr>
                <w:sz w:val="18"/>
              </w:rPr>
              <w:t>زیاد</w:t>
            </w:r>
          </w:p>
        </w:tc>
        <w:tc>
          <w:tcPr>
            <w:tcW w:type="dxa" w:w="3260"/>
          </w:tcPr>
          <w:p>
            <w:pPr>
              <w:bidi w:val="1"/>
              <w:jc w:val="left"/>
            </w:pPr>
            <w:r>
              <w:rPr>
                <w:sz w:val="18"/>
              </w:rPr>
              <w:t>انتخاب بر mean validation Dice</w:t>
            </w:r>
          </w:p>
        </w:tc>
      </w:tr>
      <w:tr>
        <w:tc>
          <w:tcPr>
            <w:tcW w:type="dxa" w:w="1700"/>
          </w:tcPr>
          <w:p>
            <w:pPr>
              <w:bidi w:val="1"/>
              <w:jc w:val="center"/>
            </w:pPr>
            <w:r>
              <w:rPr>
                <w:sz w:val="18"/>
              </w:rPr>
              <w:t>Video inference</w:t>
            </w:r>
          </w:p>
        </w:tc>
        <w:tc>
          <w:tcPr>
            <w:tcW w:type="dxa" w:w="3200"/>
          </w:tcPr>
          <w:p>
            <w:pPr>
              <w:bidi w:val="1"/>
              <w:jc w:val="left"/>
            </w:pPr>
            <w:r>
              <w:rPr>
                <w:sz w:val="18"/>
              </w:rPr>
              <w:t>خروجی کیفی با box و contour موجود است</w:t>
            </w:r>
          </w:p>
        </w:tc>
        <w:tc>
          <w:tcPr>
            <w:tcW w:type="dxa" w:w="1200"/>
          </w:tcPr>
          <w:p>
            <w:pPr>
              <w:bidi w:val="1"/>
              <w:jc w:val="left"/>
            </w:pPr>
            <w:r>
              <w:rPr>
                <w:sz w:val="18"/>
              </w:rPr>
              <w:t>متوسط</w:t>
            </w:r>
          </w:p>
        </w:tc>
        <w:tc>
          <w:tcPr>
            <w:tcW w:type="dxa" w:w="3260"/>
          </w:tcPr>
          <w:p>
            <w:pPr>
              <w:bidi w:val="1"/>
              <w:jc w:val="left"/>
            </w:pPr>
            <w:r>
              <w:rPr>
                <w:sz w:val="18"/>
              </w:rPr>
              <w:t>manifest، metrics per-frame و legend</w:t>
            </w:r>
          </w:p>
        </w:tc>
      </w:tr>
      <w:tr>
        <w:tc>
          <w:tcPr>
            <w:tcW w:type="dxa" w:w="1700"/>
          </w:tcPr>
          <w:p>
            <w:pPr>
              <w:bidi w:val="1"/>
              <w:jc w:val="center"/>
            </w:pPr>
            <w:r>
              <w:rPr>
                <w:sz w:val="18"/>
              </w:rPr>
              <w:t>Deployment</w:t>
            </w:r>
          </w:p>
        </w:tc>
        <w:tc>
          <w:tcPr>
            <w:tcW w:type="dxa" w:w="3200"/>
          </w:tcPr>
          <w:p>
            <w:pPr>
              <w:bidi w:val="1"/>
              <w:jc w:val="left"/>
            </w:pPr>
            <w:r>
              <w:rPr>
                <w:sz w:val="18"/>
              </w:rPr>
              <w:t>مدرک latency/FPS تولیدی در snapshot نیست</w:t>
            </w:r>
          </w:p>
        </w:tc>
        <w:tc>
          <w:tcPr>
            <w:tcW w:type="dxa" w:w="1200"/>
          </w:tcPr>
          <w:p>
            <w:pPr>
              <w:bidi w:val="1"/>
              <w:jc w:val="left"/>
            </w:pPr>
            <w:r>
              <w:rPr>
                <w:sz w:val="18"/>
              </w:rPr>
              <w:t>زیاد</w:t>
            </w:r>
          </w:p>
        </w:tc>
        <w:tc>
          <w:tcPr>
            <w:tcW w:type="dxa" w:w="3260"/>
          </w:tcPr>
          <w:p>
            <w:pPr>
              <w:bidi w:val="1"/>
              <w:jc w:val="left"/>
            </w:pPr>
            <w:r>
              <w:rPr>
                <w:sz w:val="18"/>
              </w:rPr>
              <w:t>benchmark روی سخت‌افزار هدف</w:t>
            </w:r>
          </w:p>
        </w:tc>
      </w:tr>
    </w:tbl>
    <w:p>
      <w:pPr>
        <w:spacing w:after="40"/>
      </w:pPr>
    </w:p>
    <w:p>
      <w:pPr>
        <w:pStyle w:val="Heading1"/>
        <w:bidi w:val="1"/>
      </w:pPr>
      <w:r>
        <w:t>۸. مغایرت‌های مهم بین کد و پروتکل پژوهشی</w:t>
      </w:r>
    </w:p>
    <w:p>
      <w:pPr>
        <w:pStyle w:val="ListBullet"/>
        <w:spacing w:after="60" w:line="264" w:lineRule="auto"/>
        <w:bidi w:val="1"/>
      </w:pPr>
      <w:r>
        <w:rPr>
          <w:sz w:val="20"/>
        </w:rPr>
        <w:t>پروتکل ablation حداکثر 150 epoch را پیشنهاد می‌کند، در حالی که default کد main_torch.py برابر 50000 است.</w:t>
      </w:r>
    </w:p>
    <w:p>
      <w:pPr>
        <w:pStyle w:val="ListBullet"/>
        <w:spacing w:after="60" w:line="264" w:lineRule="auto"/>
        <w:bidi w:val="1"/>
      </w:pPr>
      <w:r>
        <w:rPr>
          <w:sz w:val="20"/>
        </w:rPr>
        <w:t>پروتکل freeze ده epoch را تعیین می‌کند، اما default decoder warm-up در کد 24 epoch است.</w:t>
      </w:r>
    </w:p>
    <w:p>
      <w:pPr>
        <w:pStyle w:val="ListBullet"/>
        <w:spacing w:after="60" w:line="264" w:lineRule="auto"/>
        <w:bidi w:val="1"/>
      </w:pPr>
      <w:r>
        <w:rPr>
          <w:sz w:val="20"/>
        </w:rPr>
        <w:t>پروتکل weight decay برابر 1e-4 را می‌خواهد، در حالی که کد از 5e-4 و 1e-3 استفاده می‌کند.</w:t>
      </w:r>
    </w:p>
    <w:p>
      <w:pPr>
        <w:pStyle w:val="ListBullet"/>
        <w:spacing w:after="60" w:line="264" w:lineRule="auto"/>
        <w:bidi w:val="1"/>
      </w:pPr>
      <w:r>
        <w:rPr>
          <w:sz w:val="20"/>
        </w:rPr>
        <w:t>پروتکل انتخاب checkpoint را با average validation Dice تعریف می‌کند، اما training loop مقدار test_acc را از IoU می‌گیرد.</w:t>
      </w:r>
    </w:p>
    <w:p>
      <w:pPr>
        <w:pStyle w:val="ListBullet"/>
        <w:spacing w:after="60" w:line="264" w:lineRule="auto"/>
        <w:bidi w:val="1"/>
      </w:pPr>
      <w:r>
        <w:rPr>
          <w:sz w:val="20"/>
        </w:rPr>
        <w:t>TTA و threshold auto در evaluator فعال‌شدنی هستند؛ این گزینه‌ها باید برای همه مقایسه‌ها ثابت و شفاف باشند.</w:t>
      </w:r>
    </w:p>
    <w:p>
      <w:pPr>
        <w:pStyle w:val="ListBullet"/>
        <w:spacing w:after="60" w:line="264" w:lineRule="auto"/>
        <w:bidi w:val="1"/>
      </w:pPr>
      <w:r>
        <w:rPr>
          <w:sz w:val="20"/>
        </w:rPr>
        <w:t>در requirements.txt نسخه‌های دقیق torch/cu124 آمده است؛ برای بازتولید باید GPU، CUDA driver، OS و نسخه Python نیز ثبت شوند.</w:t>
      </w:r>
    </w:p>
    <w:p>
      <w:pPr>
        <w:pStyle w:val="Heading1"/>
        <w:bidi w:val="1"/>
      </w:pPr>
      <w:r>
        <w:t>۹. مسیر پیشنهادی تکمیل پروژه</w:t>
      </w:r>
    </w:p>
    <w:p>
      <w:pPr>
        <w:pStyle w:val="ListNumber"/>
        <w:spacing w:after="60" w:line="264" w:lineRule="auto"/>
        <w:bidi w:val="1"/>
      </w:pPr>
      <w:r>
        <w:rPr>
          <w:sz w:val="20"/>
        </w:rPr>
        <w:t>تعیین رسمی اینکه LRSE و BSEI یک ماژول هستند یا دو ماژول مجزا و هماهنگ‌سازی نام در کد، شکل و مقاله.</w:t>
      </w:r>
    </w:p>
    <w:p>
      <w:pPr>
        <w:pStyle w:val="ListNumber"/>
        <w:spacing w:after="60" w:line="264" w:lineRule="auto"/>
        <w:bidi w:val="1"/>
      </w:pPr>
      <w:r>
        <w:rPr>
          <w:sz w:val="20"/>
        </w:rPr>
        <w:t>ساخت manifest مستقل برای train، validation و test و جلوگیری از استفاده test در checkpoint selection.</w:t>
      </w:r>
    </w:p>
    <w:p>
      <w:pPr>
        <w:pStyle w:val="ListNumber"/>
        <w:spacing w:after="60" w:line="264" w:lineRule="auto"/>
        <w:bidi w:val="1"/>
      </w:pPr>
      <w:r>
        <w:rPr>
          <w:sz w:val="20"/>
        </w:rPr>
        <w:t>تبدیل مدل به architecture configurable و فعال‌سازی واقعی LRSE/BSEI، Detail Branch، GDF و Deep Supervision.</w:t>
      </w:r>
    </w:p>
    <w:p>
      <w:pPr>
        <w:pStyle w:val="ListNumber"/>
        <w:spacing w:after="60" w:line="264" w:lineRule="auto"/>
        <w:bidi w:val="1"/>
      </w:pPr>
      <w:r>
        <w:rPr>
          <w:sz w:val="20"/>
        </w:rPr>
        <w:t>افزودن seed کنترل‌شده، metadata اجرا، ثبت commit و ذخیره raw result برای هر seed.</w:t>
      </w:r>
    </w:p>
    <w:p>
      <w:pPr>
        <w:pStyle w:val="ListNumber"/>
        <w:spacing w:after="60" w:line="264" w:lineRule="auto"/>
        <w:bidi w:val="1"/>
      </w:pPr>
      <w:r>
        <w:rPr>
          <w:sz w:val="20"/>
        </w:rPr>
        <w:t>اجرای smoke test و سپس pilot با یک seed پیش از شروع 3-seed ablation.</w:t>
      </w:r>
    </w:p>
    <w:p>
      <w:pPr>
        <w:pStyle w:val="ListNumber"/>
        <w:spacing w:after="60" w:line="264" w:lineRule="auto"/>
        <w:bidi w:val="1"/>
      </w:pPr>
      <w:r>
        <w:rPr>
          <w:sz w:val="20"/>
        </w:rPr>
        <w:t>اجرای incremental ablation و ablationهای backbone، skip، GDF، MSC، detail channels و auxiliary heads.</w:t>
      </w:r>
    </w:p>
    <w:p>
      <w:pPr>
        <w:pStyle w:val="ListNumber"/>
        <w:spacing w:after="60" w:line="264" w:lineRule="auto"/>
        <w:bidi w:val="1"/>
      </w:pPr>
      <w:r>
        <w:rPr>
          <w:sz w:val="20"/>
        </w:rPr>
        <w:t>تولید metricهای frame-level برای ویدیو و نسخه side-by-side شامل Original، Ground Truth و Prediction.</w:t>
      </w:r>
    </w:p>
    <w:p>
      <w:pPr>
        <w:pStyle w:val="ListNumber"/>
        <w:spacing w:after="60" w:line="264" w:lineRule="auto"/>
        <w:bidi w:val="1"/>
      </w:pPr>
      <w:r>
        <w:rPr>
          <w:sz w:val="20"/>
        </w:rPr>
        <w:t>محاسبه mean±std، تحلیل اندازه پولیپ، Params، GFLOPs، latency و FPS.</w:t>
      </w:r>
    </w:p>
    <w:p>
      <w:pPr>
        <w:pStyle w:val="ListNumber"/>
        <w:spacing w:after="60" w:line="264" w:lineRule="auto"/>
        <w:bidi w:val="1"/>
      </w:pPr>
      <w:r>
        <w:rPr>
          <w:sz w:val="20"/>
        </w:rPr>
        <w:t>جایگزینی خودکار جدول‌ها، نمودارها و متن مقاله از روی فایل‌های نتیجه و اجرای reviewer QA.</w:t>
      </w:r>
    </w:p>
    <w:p>
      <w:pPr>
        <w:pStyle w:val="Heading1"/>
        <w:bidi w:val="1"/>
      </w:pPr>
      <w:r>
        <w:t>۱۰. جمع‌بندی برای مشتری</w:t>
      </w:r>
    </w:p>
    <w:p>
      <w:pPr>
        <w:spacing w:after="120" w:line="264" w:lineRule="auto"/>
        <w:bidi w:val="1"/>
      </w:pPr>
      <w:r>
        <w:rPr>
          <w:sz w:val="21"/>
        </w:rPr>
        <w:t>پروژه در وضعیت یک prototype پژوهشی قابل‌اجرا قرار دارد و توانایی اصلی آن در قطعه‌بندی پولیپ، ارزیابی چند دیتاست و بصری‌سازی prediction در ویدیو دیده می‌شود. معماری backbone و pipeline پایه مناسب است و نتایج موجود نشان می‌دهند مدل فعلی در چند دیتاست خروجی قابل‌قبولی تولید کرده است.</w:t>
      </w:r>
    </w:p>
    <w:p>
      <w:pPr>
        <w:spacing w:after="120" w:line="264" w:lineRule="auto"/>
        <w:bidi w:val="1"/>
      </w:pPr>
      <w:r>
        <w:rPr>
          <w:sz w:val="21"/>
        </w:rPr>
        <w:t>برای تبدیل این prototype به deliverable قابل اتکا، تمرکز اصلی باید روی reproducibility، فعال‌سازی کامل ماژول‌های ادعاشده، تفکیک validation از test، ارزیابی چند-seed، benchmark عملیاتی و تکمیل گزارش ویدیویی باشد. پس از انجام این موارد می‌توان عملکرد مدل را با اطمینان بیشتری به مشتری، داور یا تیم محصول ارائه کرد.</w:t>
      </w:r>
    </w:p>
    <w:p>
      <w:pPr>
        <w:spacing w:after="160" w:line="264" w:lineRule="auto"/>
        <w:bidi w:val="1"/>
      </w:pPr>
      <w:r>
        <w:rPr>
          <w:color w:val="7A5A00"/>
          <w:sz w:val="20"/>
        </w:rPr>
        <w:t>سطح اطمینان این گزارش: بالا برای توصیف ساختار کد و شواهد موجود؛ متوسط برای قضاوت کیفی ویدیو؛ ناکافی برای ادعای نهایی تعمیم‌پذیری یا عملکرد real-time، زیرا اجرای مستقل و چند-seed در snapshot ارائه نشده است.</w:t>
      </w:r>
    </w:p>
    <w:p>
      <w:pPr>
        <w:pStyle w:val="Heading1"/>
        <w:bidi w:val="1"/>
      </w:pPr>
      <w:r>
        <w:t>پیوست A — فهرست فایل‌های کلیدی بررسی‌شده</w:t>
      </w:r>
    </w:p>
    <w:p>
      <w:pPr>
        <w:pStyle w:val="ListBullet"/>
        <w:spacing w:after="60" w:line="264" w:lineRule="auto"/>
        <w:bidi w:val="1"/>
      </w:pPr>
      <w:r>
        <w:rPr>
          <w:sz w:val="20"/>
        </w:rPr>
        <w:t>main_torch.py — داده، آموزش، loss، checkpoint، threshold و profiling.</w:t>
      </w:r>
    </w:p>
    <w:p>
      <w:pPr>
        <w:pStyle w:val="ListBullet"/>
        <w:spacing w:after="60" w:line="264" w:lineRule="auto"/>
        <w:bidi w:val="1"/>
      </w:pPr>
      <w:r>
        <w:rPr>
          <w:sz w:val="20"/>
        </w:rPr>
        <w:t>models/convnext_pretrain.py — ConvNeXt encoder، decoder، BSEI، DetailBranch، MSC و GDF.</w:t>
      </w:r>
    </w:p>
    <w:p>
      <w:pPr>
        <w:pStyle w:val="ListBullet"/>
        <w:spacing w:after="60" w:line="264" w:lineRule="auto"/>
        <w:bidi w:val="1"/>
      </w:pPr>
      <w:r>
        <w:rPr>
          <w:sz w:val="20"/>
        </w:rPr>
        <w:t>evaluate_all_datasets.py — threshold selection و ارزیابی شش dataset.</w:t>
      </w:r>
    </w:p>
    <w:p>
      <w:pPr>
        <w:pStyle w:val="ListBullet"/>
        <w:spacing w:after="60" w:line="264" w:lineRule="auto"/>
        <w:bidi w:val="1"/>
      </w:pPr>
      <w:r>
        <w:rPr>
          <w:sz w:val="20"/>
        </w:rPr>
        <w:t>ABLATION_TRAINING_PROTOCOL.md — protocol پیشنهادی ablation.</w:t>
      </w:r>
    </w:p>
    <w:p>
      <w:pPr>
        <w:pStyle w:val="ListBullet"/>
        <w:spacing w:after="60" w:line="264" w:lineRule="auto"/>
        <w:bidi w:val="1"/>
      </w:pPr>
      <w:r>
        <w:rPr>
          <w:sz w:val="20"/>
        </w:rPr>
        <w:t>all_dataset_eval_results.csv/json — نتایج ثبت‌شده با threshold 0.6 و TTA فعال.</w:t>
      </w:r>
    </w:p>
    <w:p>
      <w:pPr>
        <w:pStyle w:val="ListBullet"/>
        <w:spacing w:after="60" w:line="264" w:lineRule="auto"/>
        <w:bidi w:val="1"/>
      </w:pPr>
      <w:r>
        <w:rPr>
          <w:sz w:val="20"/>
        </w:rPr>
        <w:t>logs/ablation/baseline/... — log اجرای baseline.</w:t>
      </w:r>
    </w:p>
    <w:p>
      <w:pPr>
        <w:pStyle w:val="ListBullet"/>
        <w:spacing w:after="60" w:line="264" w:lineRule="auto"/>
        <w:bidi w:val="1"/>
      </w:pPr>
      <w:r>
        <w:rPr>
          <w:sz w:val="20"/>
        </w:rPr>
        <w:t>logs/ablation/baseline+MSC/... — log اجرای baseline+MSC.</w:t>
      </w:r>
    </w:p>
    <w:p>
      <w:pPr>
        <w:pStyle w:val="ListBullet"/>
        <w:spacing w:after="60" w:line="264" w:lineRule="auto"/>
        <w:bidi w:val="1"/>
      </w:pPr>
      <w:r>
        <w:rPr>
          <w:sz w:val="20"/>
        </w:rPr>
        <w:t>kvasir_30s_slow_prediction.mp4 — شواهد بصری prediction و contour.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color w:val="646464"/>
        <w:sz w:val="16"/>
      </w:rPr>
      <w:t>گزارش تحلیلی پروژه | تهیه‌شده برای ارائه به مشتری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color w:val="646464"/>
        <w:sz w:val="16"/>
      </w:rPr>
      <w:t>گزارش تحلیل فنی پروژه ConvNeXt-UNet | محرمانه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