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2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Aid Without Learning: A Cross-Country Analysis of ODA Allocation, Structural Determinants, and the Measurement Failure at the Heart of Global Education Finance</w:t>
      </w:r>
    </w:p>
    <w:p>
      <w:pPr>
        <w:pStyle w:val="Author"/>
      </w:pPr>
      <w:r>
        <w:t xml:space="preserve">Shota Zurabishvili</w:t>
      </w:r>
    </w:p>
    <w:p>
      <w:pPr>
        <w:pStyle w:val="Date"/>
      </w:pPr>
      <w:r>
        <w:t xml:space="preserve">2026-05-23</w:t>
      </w:r>
    </w:p>
    <w:bookmarkStart w:id="9" w:name="abstract"/>
    <w:p>
      <w:pPr>
        <w:pStyle w:val="Heading1"/>
      </w:pPr>
      <w:r>
        <w:t xml:space="preserve">Abstract</w:t>
      </w:r>
    </w:p>
    <w:p>
      <w:pPr>
        <w:pStyle w:val="FirstParagraph"/>
      </w:pPr>
      <w:r>
        <w:t xml:space="preserve">Does development assistance for education improve learning outcomes? Cross-country panel evidence has been used to answer yes, no, and</w:t>
      </w:r>
      <w:r>
        <w:t xml:space="preserve"> </w:t>
      </w:r>
      <w:r>
        <w:t xml:space="preserve">“it depends,”</w:t>
      </w:r>
      <w:r>
        <w:t xml:space="preserve"> </w:t>
      </w:r>
      <w:r>
        <w:t xml:space="preserve">but the field has paid less attention to whether the answer is stable across the methodological choices it conditions on. We assemble a 133-country, 2010–2020 panel from OECD CRS disbursements, World Bank Human Capital Index Harmonized Learning Outcomes (HLO), and the standard macro / governance / sector controls, and we run the brief’s pre-specified five-model architecture (cross-section, within-country fixed effects, multilevel, intervention-typology ANOVA, counterfactual simulation) under an</w:t>
      </w:r>
      <w:r>
        <w:t xml:space="preserve"> </w:t>
      </w:r>
      <w:r>
        <w:rPr>
          <w:i/>
          <w:iCs/>
        </w:rPr>
        <w:t xml:space="preserve">ex ante</w:t>
      </w:r>
      <w:r>
        <w:t xml:space="preserve"> </w:t>
      </w:r>
      <w:r>
        <w:t xml:space="preserve">commitment design in which every consequential analytical choice is locked in an Architecture Decision Record before its analysis runs. The within-country fixed-effects specification recovers a positive aid-to-learning coefficient (β = +11.14 HLO points per unit log treatment; p ≈ 0.05; N = 143 country-cycles) on the World Bank HCI HLO outcome — the empirical observation cross-country panel evidence at this data shape supports in the WB HCI HLOS specification — with the published-measure-sensitivity caveats documented below. The pre-commitment design, however, surfaces three findings that reshape how to read this result. First, the four-bucket intervention typology the literature treats as policy-relevant (infrastructure / teacher training / curriculum / budget support) is not extractable from CRS project metadata at the inter-method agreement threshold we committed to; the ANOVA does not run. Second, substituting the published AAP-2018 harmonized learning measure for the World Bank HCI HLO measure flips the within-country coefficient’s sign in both the full and the overlap-window samples (β = −16.67 and −3.94 respectively); the headline is measure-sensitive. Third, the standard multiple-imputation robustness check the missingness ADR pre-committed to requires assumptions our MCAR test pre-committed to running already refutes. Alongside these, the paper constructs a novel Human Capital × AI Readiness joint composite that quantifies a previously unmeasured ≈2× over-representation of sub-Saharan Africa in the low-HCI ∩ low-AI-readiness cell. We position the paper in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and read its contribution as</w:t>
      </w:r>
      <w:r>
        <w:t xml:space="preserve"> </w:t>
      </w:r>
      <w:r>
        <w:rPr>
          <w:i/>
          <w:iCs/>
        </w:rPr>
        <w:t xml:space="preserve">a calibrated map of what cross-country aid-effectiveness panel evidence can and cannot say at the current data frontier</w:t>
      </w:r>
      <w:r>
        <w:t xml:space="preserve">.</w:t>
      </w:r>
    </w:p>
    <w:bookmarkEnd w:id="9"/>
    <w:bookmarkStart w:id="10" w:name="introduction-the-measurement-illusion"/>
    <w:p>
      <w:pPr>
        <w:pStyle w:val="Heading1"/>
      </w:pPr>
      <w:r>
        <w:t xml:space="preserve">1. 1. Introduction — The measurement illusion</w:t>
      </w:r>
    </w:p>
    <w:p>
      <w:pPr>
        <w:pStyle w:val="FirstParagraph"/>
      </w:pPr>
      <w:r>
        <w:t xml:space="preserve">Universal primary enrollment is, by the standards of any prior era of development policy, a solved problem. Across the 133 ODA-eligible recipient countries in our 2010–2020 panel, gross primary enrollment is uniformly between 98 and 109 percent; the MDG-era convergence on access has reached every region.</w:t>
      </w:r>
      <w:r>
        <w:t xml:space="preserve"> </w:t>
      </w:r>
      <w:r>
        <w:rPr>
          <w:i/>
          <w:iCs/>
        </w:rPr>
        <w:t xml:space="preserve">Learning</w:t>
      </w:r>
      <w:r>
        <w:t xml:space="preserve"> </w:t>
      </w:r>
      <w:r>
        <w:t xml:space="preserve">has not converged. Human Capital Index Harmonized Learning Outcomes (HLO) range from roughly 300 to 625 across the same country set, with no narrowing trend across the four HCI cycles published since 2010. The policy literature has, over the same decade, converged on a near-universal lever: redirect education aid away from inputs that the access-era apparatus knows how to deliver (classrooms, enrollment subsidies, teacher headcount) and toward interventions that produce learning — targeted pedagogy, accountability mechanisms, structured-instruction at-scale rollouts</w:t>
      </w:r>
      <w:r>
        <w:t xml:space="preserve"> </w:t>
      </w:r>
      <w:r>
        <w:t xml:space="preserve">(</w:t>
      </w:r>
      <w:hyperlink w:anchor="ref-angrist2024lays">
        <w:r>
          <w:rPr>
            <w:rStyle w:val="Hyperlink"/>
          </w:rPr>
          <w:t xml:space="preserve">Angrist, 2024</w:t>
        </w:r>
      </w:hyperlink>
      <w:r>
        <w:t xml:space="preserve">;</w:t>
      </w:r>
      <w:r>
        <w:t xml:space="preserve"> </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The empirical record on whether aid actually moves learning, however, is contested — and the contestation depends as much on methodological choices as on substantive findings.</w:t>
      </w:r>
    </w:p>
    <w:p>
      <w:pPr>
        <w:pStyle w:val="BodyText"/>
      </w:pPr>
      <w:r>
        <w:t xml:space="preserve">This paper assembles the canonical cross-country panel the contestation has been conducted on, runs the brief’s pre-specified five-model architecture, and operates under a design choice the cross-country aid-effectiveness literature has not historically committed to:</w:t>
      </w:r>
      <w:r>
        <w:t xml:space="preserve"> </w:t>
      </w:r>
      <w:r>
        <w:rPr>
          <w:i/>
          <w:iCs/>
        </w:rPr>
        <w:t xml:space="preserve">every consequential analytical decision is locked in writing in an Architecture Decision Record before the analysis whose result the decision would influence runs</w:t>
      </w:r>
      <w:r>
        <w:t xml:space="preserve">. The decision record names the options considered, the criterion that would distinguish them, and the threshold at which the criterion would be considered met. When the analysis subsequently runs, the criterion either is or is not met; the record makes the outcome auditable and the response disciplined. The brief’s Three-Pass Self-Review Protocol — statistical validity before any writing, argumentative coherence after the full draft, adversarial read after a 48-hour gap — adds a second tier of pre-commitment around the manuscript itself.</w:t>
      </w:r>
    </w:p>
    <w:p>
      <w:pPr>
        <w:pStyle w:val="BodyText"/>
      </w:pPr>
      <w:r>
        <w:t xml:space="preserve">The within-country panel fixed-effects specification, which is the cleanest identification claim this kind of data supports, recovers a positive aid-to-learning coefficient: β = +11.14 HLO points per unit log of three-year-moving-average constant-USD CRS disbursement, country-clustered SE = 5.52, p ≈ 0.05, N = 143 country-cycles. The cross-sectional specification yields β = −1.36 (non-significant) on the same panel, controlling for the same covariates; the within-country result is the structural empirical claim this data identifies and the contested literature has not consistently delivered.</w:t>
      </w:r>
      <w:r>
        <w:t xml:space="preserve"> </w:t>
      </w:r>
      <w:r>
        <w:rPr>
          <w:i/>
          <w:iCs/>
        </w:rPr>
        <w:t xml:space="preserve">This single number is not the principal contribution of this paper.</w:t>
      </w:r>
      <w:r>
        <w:t xml:space="preserve"> </w:t>
      </w:r>
      <w:r>
        <w:t xml:space="preserve">Three pre-committed methodology gates that the paper’s brief required us to run surfaced findings that reshape how to read it.</w:t>
      </w:r>
    </w:p>
    <w:p>
      <w:pPr>
        <w:pStyle w:val="BodyText"/>
      </w:pPr>
      <w:r>
        <w:t xml:space="preserve">Three pre-committed gates surface findings that reshape how to read the headline. The first (ADR-0007) was the four-bucket intervention typology committed to in Model 4: a binding inter-method agreement threshold (raw agreement ≥85%; Cohen’s κ ≥0.70; unclassified &lt;30%) failed on all three criteria, and Model 4 was dropped rather than escalated to hand-coding. The second (ADR-0004) was the published-measure robustness: refit the within-country coefficient on the Altinok-Angrist-Patrinos (2018) harmonization in place of the WB HCI HLO measure. The AAP-2018 coefficient is β = −16.67 on the full AAP sample and β = −3.94 on the year-overlap window restricted to 2010 onward; sign agreement fails. The headline result is real in the WB HCI HLO specification but does not generalize across the published learning-harmonization choice. The third (ADR-0006) was the missing-data sensitivity: the MCAR test also pre-committed by ADR-0006 came back rejected at p ≪ 10⁻⁶ on every relevant subset, so the MAR assumption multiple imputation requires is not empirically supportable. ADR-0012 retires the MI sub-commitment in favor of the listwise spec alone.</w:t>
      </w:r>
    </w:p>
    <w:p>
      <w:pPr>
        <w:pStyle w:val="BodyText"/>
      </w:pPr>
      <w:r>
        <w:t xml:space="preserve">Alongside these three discipline findings, the paper executes a fourth substantive analysis the brief committed to: a novel joint composite of the World Bank Human Capital Index and the Oxford Insights Government AI Readiness Index 2025, partitioned into median-split quadrants. The empirical finding is that 47 of 132 joined countries (35.6 %) fall in the low-HCI ∩ low-AI-readiness</w:t>
      </w:r>
      <w:r>
        <w:t xml:space="preserve"> </w:t>
      </w:r>
      <w:r>
        <w:t xml:space="preserve">“double-excluded”</w:t>
      </w:r>
      <w:r>
        <w:t xml:space="preserve"> </w:t>
      </w:r>
      <w:r>
        <w:t xml:space="preserve">cell, and 29 of those 47 (61.7 %) are sub-Saharan African — against sub-Saharan Africa’s 31.8 % share of the joined sample. The compounding-divergence thesis that UNDP, the World Bank’s</w:t>
      </w:r>
      <w:r>
        <w:t xml:space="preserve"> </w:t>
      </w:r>
      <w:r>
        <w:rPr>
          <w:i/>
          <w:iCs/>
        </w:rPr>
        <w:t xml:space="preserve">Beyond the AI Divide</w:t>
      </w:r>
      <w:r>
        <w:t xml:space="preserve"> </w:t>
      </w:r>
      <w:r>
        <w:t xml:space="preserve">working paper, and the joint ILO–World Bank background study for the</w:t>
      </w:r>
      <w:r>
        <w:t xml:space="preserve"> </w:t>
      </w:r>
      <w:r>
        <w:rPr>
          <w:i/>
          <w:iCs/>
        </w:rPr>
        <w:t xml:space="preserve">World Development Report 2026</w:t>
      </w:r>
      <w:r>
        <w:t xml:space="preserve"> </w:t>
      </w:r>
      <w:r>
        <w:t xml:space="preserve">have articulated theoretically</w:t>
      </w:r>
      <w:r>
        <w:t xml:space="preserve"> </w:t>
      </w:r>
      <w:r>
        <w:t xml:space="preserve">(</w:t>
      </w:r>
      <w:hyperlink w:anchor="ref-ilo2026disruption">
        <w:r>
          <w:rPr>
            <w:rStyle w:val="Hyperlink"/>
          </w:rPr>
          <w:t xml:space="preserve">International Labour Organization &amp; World Bank, 2026</w:t>
        </w:r>
      </w:hyperlink>
      <w:r>
        <w:t xml:space="preserve">;</w:t>
      </w:r>
      <w:r>
        <w:t xml:space="preserve"> </w:t>
      </w:r>
      <w:hyperlink w:anchor="ref-mandon2025beyond">
        <w:r>
          <w:rPr>
            <w:rStyle w:val="Hyperlink"/>
          </w:rPr>
          <w:t xml:space="preserve">Mandon, 2025</w:t>
        </w:r>
      </w:hyperlink>
      <w:r>
        <w:t xml:space="preserve">;</w:t>
      </w:r>
      <w:r>
        <w:t xml:space="preserve"> </w:t>
      </w:r>
      <w:hyperlink w:anchor="ref-muthukrishna2025divergence">
        <w:r>
          <w:rPr>
            <w:rStyle w:val="Hyperlink"/>
          </w:rPr>
          <w:t xml:space="preserve">Muthukrishna &amp; Schellekens, 2025</w:t>
        </w:r>
      </w:hyperlink>
      <w:r>
        <w:t xml:space="preserve">)</w:t>
      </w:r>
      <w:r>
        <w:t xml:space="preserve"> </w:t>
      </w:r>
      <w:r>
        <w:t xml:space="preserve">receives a concrete country-cross-section operationalization with explicit regional-concentration quantification.</w:t>
      </w:r>
    </w:p>
    <w:p>
      <w:pPr>
        <w:pStyle w:val="BodyText"/>
      </w:pPr>
      <w:r>
        <w:t xml:space="preserve">The remainder of the paper proceeds as follows. §2 reviews the cross-country aid-effectiveness literature and the methodological-reflection strand the paper positions alongside; §3 describes data, panel construction, and the pre-commitment design; §4 walks the empirical models in the order the discipline arc requires; §5 discusses what the paper can and cannot claim; §6 draws policy implications; §7 concludes.</w:t>
      </w:r>
    </w:p>
    <w:bookmarkEnd w:id="10"/>
    <w:bookmarkStart w:id="14" w:name="literature-review"/>
    <w:p>
      <w:pPr>
        <w:pStyle w:val="Heading1"/>
      </w:pPr>
      <w:r>
        <w:t xml:space="preserve">2. 2. Literature Review</w:t>
      </w:r>
    </w:p>
    <w:p>
      <w:pPr>
        <w:pStyle w:val="FirstParagraph"/>
      </w:pPr>
      <w:r>
        <w:t xml:space="preserve">The cross-country aid-effectiveness debate, the education-specific aid-and-learning literature, and the methodological-reflection strand on what empirical-development research can credibly claim are three distinct conversations that this paper sits at the intersection of. We engage each in turn — briefly, since the paper’s contribution is the synthesis at the intersection rather than incremental advances within any one strand.</w:t>
      </w:r>
    </w:p>
    <w:bookmarkStart w:id="11" w:name="cross-country-aid-effectiveness-empirics"/>
    <w:p>
      <w:pPr>
        <w:pStyle w:val="Heading2"/>
      </w:pPr>
      <w:r>
        <w:t xml:space="preserve">2.1 2.1 Cross-country aid-effectiveness empirics</w:t>
      </w:r>
    </w:p>
    <w:p>
      <w:pPr>
        <w:pStyle w:val="FirstParagraph"/>
      </w:pPr>
      <w:r>
        <w:t xml:space="preserve">The canonical question —</w:t>
      </w:r>
      <w:r>
        <w:t xml:space="preserve"> </w:t>
      </w:r>
      <w:r>
        <w:rPr>
          <w:i/>
          <w:iCs/>
        </w:rPr>
        <w:t xml:space="preserve">does development aid raise growth?</w:t>
      </w:r>
      <w:r>
        <w:t xml:space="preserve"> </w:t>
      </w:r>
      <w:r>
        <w:t xml:space="preserve">— has been answered in the affirmative, the negative, and conditionally in the same data over the last two-and-a-half decades. The widely cited finding by Burnside and Dollar</w:t>
      </w:r>
      <w:r>
        <w:t xml:space="preserve"> </w:t>
      </w:r>
      <w:r>
        <w:t xml:space="preserve">(</w:t>
      </w:r>
      <w:hyperlink w:anchor="ref-burnside2000aid">
        <w:r>
          <w:rPr>
            <w:rStyle w:val="Hyperlink"/>
          </w:rPr>
          <w:t xml:space="preserve">2000</w:t>
        </w:r>
      </w:hyperlink>
      <w:r>
        <w:t xml:space="preserve">)</w:t>
      </w:r>
      <w:r>
        <w:t xml:space="preserve"> </w:t>
      </w:r>
      <w:r>
        <w:t xml:space="preserve">was that aid raises growth only in countries with good fiscal, monetary, and trade policies; their aid × policy interaction term entered cross-country growth regressions with a positive and significant coefficient on an instrumental-variables design. The conditional-effectiveness finding was widely interpreted as policy advice —</w:t>
      </w:r>
      <w:r>
        <w:t xml:space="preserve"> </w:t>
      </w:r>
      <w:r>
        <w:rPr>
          <w:i/>
          <w:iCs/>
        </w:rPr>
        <w:t xml:space="preserve">target good-policy countries</w:t>
      </w:r>
      <w:r>
        <w:t xml:space="preserve"> </w:t>
      </w:r>
      <w:r>
        <w:t xml:space="preserve">— and shaped a generation of aid-allocation debate. Easterly, Levine, and Roodman</w:t>
      </w:r>
      <w:r>
        <w:t xml:space="preserve"> </w:t>
      </w:r>
      <w:r>
        <w:t xml:space="preserve">(</w:t>
      </w:r>
      <w:hyperlink w:anchor="ref-easterly2004aid">
        <w:r>
          <w:rPr>
            <w:rStyle w:val="Hyperlink"/>
          </w:rPr>
          <w:t xml:space="preserve">2004</w:t>
        </w:r>
      </w:hyperlink>
      <w:r>
        <w:t xml:space="preserve">)</w:t>
      </w:r>
      <w:r>
        <w:t xml:space="preserve"> </w:t>
      </w:r>
      <w:r>
        <w:t xml:space="preserve">subsequently showed that the Burnside-Dollar interaction does not survive extension of the original sample to more countries and years; the result is fragile to sample composition. The two papers together — and the subsequent extensions in the aid-and-growth-in-Africa GMM literature</w:t>
      </w:r>
      <w:r>
        <w:t xml:space="preserve"> </w:t>
      </w:r>
      <w:r>
        <w:t xml:space="preserve">(</w:t>
      </w:r>
      <w:hyperlink w:anchor="ref-asongu2019aid">
        <w:r>
          <w:rPr>
            <w:rStyle w:val="Hyperlink"/>
          </w:rPr>
          <w:t xml:space="preserve">Asongu &amp; Nwachukwu, 2019</w:t>
        </w:r>
      </w:hyperlink>
      <w:r>
        <w:t xml:space="preserve">)</w:t>
      </w:r>
      <w:r>
        <w:t xml:space="preserve"> </w:t>
      </w:r>
      <w:r>
        <w:t xml:space="preserve">— left the field with a robust</w:t>
      </w:r>
      <w:r>
        <w:t xml:space="preserve"> </w:t>
      </w:r>
      <w:r>
        <w:rPr>
          <w:i/>
          <w:iCs/>
        </w:rPr>
        <w:t xml:space="preserve">methodological</w:t>
      </w:r>
      <w:r>
        <w:t xml:space="preserve"> </w:t>
      </w:r>
      <w:r>
        <w:t xml:space="preserve">finding even where the substantive coefficient remained contested: interaction-effect claims in cross-country aid-effectiveness panels are sensitive to sample, specification, and the choice of instrument. The lesson is one our pre-commitment design takes seriously: in §3 we specify the within-country fixed-effects specification before estimating it, and we report sample and specification sensitivities in §4 rather than searching across them for the most favorable result.</w:t>
      </w:r>
    </w:p>
    <w:p>
      <w:pPr>
        <w:pStyle w:val="BodyText"/>
      </w:pPr>
      <w:r>
        <w:t xml:space="preserve">The cognitive-skills-for-growth strand associated with Hanushek and Woessmann</w:t>
      </w:r>
      <w:r>
        <w:t xml:space="preserve"> </w:t>
      </w:r>
      <w:r>
        <w:t xml:space="preserve">(</w:t>
      </w:r>
      <w:hyperlink w:anchor="ref-hanushek2008role">
        <w:r>
          <w:rPr>
            <w:rStyle w:val="Hyperlink"/>
          </w:rPr>
          <w:t xml:space="preserve">2008</w:t>
        </w:r>
      </w:hyperlink>
      <w:r>
        <w:t xml:space="preserve">,</w:t>
      </w:r>
      <w:r>
        <w:t xml:space="preserve"> </w:t>
      </w:r>
      <w:hyperlink w:anchor="ref-hanushek2015knowledge">
        <w:r>
          <w:rPr>
            <w:rStyle w:val="Hyperlink"/>
          </w:rPr>
          <w:t xml:space="preserve">2015</w:t>
        </w:r>
      </w:hyperlink>
      <w:r>
        <w:t xml:space="preserve">)</w:t>
      </w:r>
      <w:r>
        <w:t xml:space="preserve"> </w:t>
      </w:r>
      <w:r>
        <w:t xml:space="preserve">re-framed the same broad question —</w:t>
      </w:r>
      <w:r>
        <w:t xml:space="preserve"> </w:t>
      </w:r>
      <w:r>
        <w:rPr>
          <w:i/>
          <w:iCs/>
        </w:rPr>
        <w:t xml:space="preserve">what makes education translate into development?</w:t>
      </w:r>
      <w:r>
        <w:t xml:space="preserve"> </w:t>
      </w:r>
      <w:r>
        <w:t xml:space="preserve">— at the</w:t>
      </w:r>
      <w:r>
        <w:t xml:space="preserve"> </w:t>
      </w:r>
      <w:r>
        <w:rPr>
          <w:i/>
          <w:iCs/>
        </w:rPr>
        <w:t xml:space="preserve">outcome</w:t>
      </w:r>
      <w:r>
        <w:t xml:space="preserve"> </w:t>
      </w:r>
      <w:r>
        <w:t xml:space="preserve">level. Cross-country growth regressions using harmonized test-score measures (rather than years of schooling or enrollment) find that cognitive skills explain a substantial share of cross-country income variation that schooling alone does not capture. The implication for aid is direct: if learning is what matters for growth, and aid is meant to support development, then aid that fails to move learning is structurally misaligned with its stated purpose. This paper is the education-aid-specific extension of that logic — taking the cognitive-skills-as-outcome framing as the dependent-variable construction and asking whether the donor-side input (CRS-recorded education-sector ODA) moves the learning-side output (HCI HLO).</w:t>
      </w:r>
    </w:p>
    <w:bookmarkEnd w:id="11"/>
    <w:bookmarkStart w:id="12" w:name="education-specific-aid-effectiveness"/>
    <w:p>
      <w:pPr>
        <w:pStyle w:val="Heading2"/>
      </w:pPr>
      <w:r>
        <w:t xml:space="preserve">2.2 2.2 Education-specific aid effectiveness</w:t>
      </w:r>
    </w:p>
    <w:p>
      <w:pPr>
        <w:pStyle w:val="FirstParagraph"/>
      </w:pPr>
      <w:r>
        <w:t xml:space="preserve">Within education, the field’s evidence base on</w:t>
      </w:r>
      <w:r>
        <w:t xml:space="preserve"> </w:t>
      </w:r>
      <w:r>
        <w:rPr>
          <w:i/>
          <w:iCs/>
        </w:rPr>
        <w:t xml:space="preserve">what aid composition actually produces learning</w:t>
      </w:r>
      <w:r>
        <w:t xml:space="preserve"> </w:t>
      </w:r>
      <w:r>
        <w:t xml:space="preserve">is broader at the program-evaluation level than at the country-panel level. Glewwe and Muralidharan’s</w:t>
      </w:r>
      <w:r>
        <w:t xml:space="preserve"> </w:t>
      </w:r>
      <w:r>
        <w:t xml:space="preserve">(</w:t>
      </w:r>
      <w:hyperlink w:anchor="ref-glewwe2016improving">
        <w:r>
          <w:rPr>
            <w:rStyle w:val="Hyperlink"/>
          </w:rPr>
          <w:t xml:space="preserve">2016</w:t>
        </w:r>
      </w:hyperlink>
      <w:r>
        <w:t xml:space="preserve">)</w:t>
      </w:r>
      <w:r>
        <w:t xml:space="preserve"> </w:t>
      </w:r>
      <w:r>
        <w:rPr>
          <w:i/>
          <w:iCs/>
        </w:rPr>
        <w:t xml:space="preserve">Handbook of the Economics of Education</w:t>
      </w:r>
      <w:r>
        <w:t xml:space="preserve"> </w:t>
      </w:r>
      <w:r>
        <w:t xml:space="preserve">review synthesizes a substantial RCT and quasi-experimental record on developing-country education interventions and identifies a recurring pattern: pedagogical interventions (targeted instruction; teaching at the right level; structured pedagogy at scale) and accountability mechanisms produce larger learning gains per dollar than mass input interventions (more teachers; more textbooks; more classrooms) in many evaluated settings. The Global Education Evidence Advisory Panel’s (GEEAP)</w:t>
      </w:r>
      <w:r>
        <w:t xml:space="preserve"> </w:t>
      </w:r>
      <w:r>
        <w:t xml:space="preserve">“Smart Buys”</w:t>
      </w:r>
      <w:r>
        <w:t xml:space="preserve"> </w:t>
      </w:r>
      <w:r>
        <w:t xml:space="preserve">framework</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codifies this into a cost-effectiveness ranking that has shaped donor practice. Angrist and colleagues’ Learning-Adjusted Years of Schooling (LAYS) framework</w:t>
      </w:r>
      <w:r>
        <w:t xml:space="preserve"> </w:t>
      </w:r>
      <w:r>
        <w:t xml:space="preserve">(</w:t>
      </w:r>
      <w:hyperlink w:anchor="ref-angrist2024lays">
        <w:r>
          <w:rPr>
            <w:rStyle w:val="Hyperlink"/>
          </w:rPr>
          <w:t xml:space="preserve">Angrist, 2024</w:t>
        </w:r>
      </w:hyperlink>
      <w:r>
        <w:t xml:space="preserve">)</w:t>
      </w:r>
      <w:r>
        <w:t xml:space="preserve"> </w:t>
      </w:r>
      <w:r>
        <w:t xml:space="preserve">provides a reporting unit that puts micro-cost-effectiveness findings on a scale comparable to country-level outcomes.</w:t>
      </w:r>
    </w:p>
    <w:p>
      <w:pPr>
        <w:pStyle w:val="BodyText"/>
      </w:pPr>
      <w:r>
        <w:t xml:space="preserve">The relationship between education</w:t>
      </w:r>
      <w:r>
        <w:t xml:space="preserve"> </w:t>
      </w:r>
      <w:r>
        <w:rPr>
          <w:i/>
          <w:iCs/>
        </w:rPr>
        <w:t xml:space="preserve">spending</w:t>
      </w:r>
      <w:r>
        <w:t xml:space="preserve"> </w:t>
      </w:r>
      <w:r>
        <w:t xml:space="preserve">and learning is, in the published cross-country evidence, conditional rather than monotonic. Vegas and Coffin’s</w:t>
      </w:r>
      <w:r>
        <w:t xml:space="preserve"> </w:t>
      </w:r>
      <w:r>
        <w:t xml:space="preserve">(</w:t>
      </w:r>
      <w:hyperlink w:anchor="ref-vegas2015when">
        <w:r>
          <w:rPr>
            <w:rStyle w:val="Hyperlink"/>
          </w:rPr>
          <w:t xml:space="preserve">2015</w:t>
        </w:r>
      </w:hyperlink>
      <w:r>
        <w:t xml:space="preserve">)</w:t>
      </w:r>
      <w:r>
        <w:t xml:space="preserve"> </w:t>
      </w:r>
      <w:r>
        <w:t xml:space="preserve">analysis using PISA scores and cumulative per-student expenditure data found that the spending–learning relationship plateaus above a threshold (roughly USD 8,000 cumulative spending per student); below the threshold, additional spending raises outcomes; above it, the marginal returns are negligible. Pritchett’s</w:t>
      </w:r>
      <w:r>
        <w:t xml:space="preserve"> </w:t>
      </w:r>
      <w:r>
        <w:t xml:space="preserve">(</w:t>
      </w:r>
      <w:hyperlink w:anchor="ref-pritchett2013rebirth">
        <w:r>
          <w:rPr>
            <w:rStyle w:val="Hyperlink"/>
          </w:rPr>
          <w:t xml:space="preserve">2013</w:t>
        </w:r>
      </w:hyperlink>
      <w:r>
        <w:t xml:space="preserve">)</w:t>
      </w:r>
      <w:r>
        <w:t xml:space="preserve"> </w:t>
      </w:r>
      <w:r>
        <w:rPr>
          <w:i/>
          <w:iCs/>
        </w:rPr>
        <w:t xml:space="preserve">The Rebirth of Education: Schooling Ain’t Learning</w:t>
      </w:r>
      <w:r>
        <w:t xml:space="preserve"> </w:t>
      </w:r>
      <w:r>
        <w:t xml:space="preserve">— the closest qualitative intellectual ancestor of this paper — argues that the broader system of education aid and policy has been organized around inputs (enrollment, completion, expenditure) rather than outcomes (what children can actually do) because the input metrics are politically tractable and the outcome metrics are politically inconvenient. The institutional concept Pritchett develops —</w:t>
      </w:r>
      <w:r>
        <w:t xml:space="preserve"> </w:t>
      </w:r>
      <w:r>
        <w:rPr>
          <w:i/>
          <w:iCs/>
        </w:rPr>
        <w:t xml:space="preserve">isomorphic mimicry</w:t>
      </w:r>
      <w:r>
        <w:t xml:space="preserve">, where education systems adopt the forms of effective schooling without the substance — connects the empirical pattern (input-tracking, learning-stagnating) to the donor-side incentive structures that perpetuate it.</w:t>
      </w:r>
    </w:p>
    <w:p>
      <w:pPr>
        <w:pStyle w:val="BodyText"/>
      </w:pPr>
      <w:r>
        <w:t xml:space="preserve">Taken together, these strands give the</w:t>
      </w:r>
      <w:r>
        <w:t xml:space="preserve"> </w:t>
      </w:r>
      <w:r>
        <w:rPr>
          <w:i/>
          <w:iCs/>
        </w:rPr>
        <w:t xml:space="preserve">program-evaluation</w:t>
      </w:r>
      <w:r>
        <w:t xml:space="preserve"> </w:t>
      </w:r>
      <w:r>
        <w:t xml:space="preserve">and</w:t>
      </w:r>
      <w:r>
        <w:t xml:space="preserve"> </w:t>
      </w:r>
      <w:r>
        <w:rPr>
          <w:i/>
          <w:iCs/>
        </w:rPr>
        <w:t xml:space="preserve">spending-threshold</w:t>
      </w:r>
      <w:r>
        <w:t xml:space="preserve"> </w:t>
      </w:r>
      <w:r>
        <w:t xml:space="preserve">literatures plenty to say about what works in education and where the binding constraints are. They do not, however, give a clean cross-country panel test of</w:t>
      </w:r>
      <w:r>
        <w:t xml:space="preserve"> </w:t>
      </w:r>
      <w:r>
        <w:rPr>
          <w:i/>
          <w:iCs/>
        </w:rPr>
        <w:t xml:space="preserve">whether the aid that countries actually receive moves their learning outcomes over time</w:t>
      </w:r>
      <w:r>
        <w:t xml:space="preserve"> </w:t>
      </w:r>
      <w:r>
        <w:t xml:space="preserve">— which is the question the cross-country panel data we assemble is sized to answer, with the limits we own in §4 and §5. The brief’s Model 4 design (a four-bucket intervention-typology ANOVA on CRS disbursements) was the planned operationalization of the field’s</w:t>
      </w:r>
      <w:r>
        <w:t xml:space="preserve"> </w:t>
      </w:r>
      <w:r>
        <w:t xml:space="preserve">“what aid composition produces learning”</w:t>
      </w:r>
      <w:r>
        <w:t xml:space="preserve"> </w:t>
      </w:r>
      <w:r>
        <w:t xml:space="preserve">question; §4.4 reports the pre-committed protocol failure that prevents Model 4 from running on the available donor-reporting data. That failure is itself a finding for this literature — the pedagogical-vs-input-mass distinction the field treats as policy-load-bearing is</w:t>
      </w:r>
      <w:r>
        <w:t xml:space="preserve"> </w:t>
      </w:r>
      <w:r>
        <w:rPr>
          <w:i/>
          <w:iCs/>
        </w:rPr>
        <w:t xml:space="preserve">not extractable from CRS metadata at country-year resolution</w:t>
      </w:r>
      <w:r>
        <w:t xml:space="preserve">, and §5 takes that as a methodological contribution rather than as a caveat against the paper’s other results.</w:t>
      </w:r>
    </w:p>
    <w:bookmarkEnd w:id="12"/>
    <w:bookmarkStart w:id="13" w:name="methodological-reflection-tradition"/>
    <w:p>
      <w:pPr>
        <w:pStyle w:val="Heading2"/>
      </w:pPr>
      <w:r>
        <w:t xml:space="preserve">2.3 2.3 Methodological-reflection tradition</w:t>
      </w:r>
    </w:p>
    <w:p>
      <w:pPr>
        <w:pStyle w:val="FirstParagraph"/>
      </w:pPr>
      <w:r>
        <w:t xml:space="preserve">This paper positions its contribution alongside a small but growing strand in development empirics that treats</w:t>
      </w:r>
      <w:r>
        <w:t xml:space="preserve"> </w:t>
      </w:r>
      <w:r>
        <w:rPr>
          <w:i/>
          <w:iCs/>
        </w:rPr>
        <w:t xml:space="preserve">what an empirical method can and cannot credibly claim</w:t>
      </w:r>
      <w:r>
        <w:t xml:space="preserve"> </w:t>
      </w:r>
      <w:r>
        <w:t xml:space="preserve">as itself a methodological contribution — not a caveat to be acknowledged before moving on, but a substantive finding the literature should know about. Sandefur’s</w:t>
      </w:r>
      <w:r>
        <w:t xml:space="preserve"> </w:t>
      </w:r>
      <w:r>
        <w:t xml:space="preserve">(</w:t>
      </w:r>
      <w:hyperlink w:anchor="ref-sandefur2018internationally">
        <w:r>
          <w:rPr>
            <w:rStyle w:val="Hyperlink"/>
          </w:rPr>
          <w:t xml:space="preserve">2018</w:t>
        </w:r>
      </w:hyperlink>
      <w:r>
        <w:t xml:space="preserve">)</w:t>
      </w:r>
      <w:r>
        <w:t xml:space="preserve"> </w:t>
      </w:r>
      <w:r>
        <w:rPr>
          <w:i/>
          <w:iCs/>
        </w:rPr>
        <w:t xml:space="preserve">Internationally comparable mathematics scores for fourteen African countries</w:t>
      </w:r>
      <w:r>
        <w:t xml:space="preserve"> </w:t>
      </w:r>
      <w:r>
        <w:t xml:space="preserve">is the clearest precedent on the outcome-measurement side: it re-analyzes the Southern and Eastern Africa Consortium for Monitoring Educational Quality (SACMEQ)–PISA item overlap underlying the harmonized learning measures the field treats as cross-country comparable, finds that anchor-sample sizes are often too thin for credible item-equating, and concludes that cross-test rankings rest on harmonization assumptions weaker than the literature has admitted. This paper engages Sandefur head-on in §3, defending the within-country fixed-effects specification as the answer to the level-comparability concern Sandefur raises (within-country variation does not require cross-country score comparability), but accepting that the alternative-harmonization robustness check Sandefur’s critique anticipates is exactly the test we report in §4.7 — and on which the headline within-country coefficient does not survive sign-agreement.</w:t>
      </w:r>
    </w:p>
    <w:p>
      <w:pPr>
        <w:pStyle w:val="BodyText"/>
      </w:pPr>
      <w:r>
        <w:t xml:space="preserve">On the cross-country-generalizability side, Vivalt’s</w:t>
      </w:r>
      <w:r>
        <w:t xml:space="preserve"> </w:t>
      </w:r>
      <w:r>
        <w:t xml:space="preserve">(</w:t>
      </w:r>
      <w:hyperlink w:anchor="ref-vivalt2020generalize">
        <w:r>
          <w:rPr>
            <w:rStyle w:val="Hyperlink"/>
          </w:rPr>
          <w:t xml:space="preserve">2020</w:t>
        </w:r>
      </w:hyperlink>
      <w:r>
        <w:t xml:space="preserve">)</w:t>
      </w:r>
      <w:r>
        <w:t xml:space="preserve"> </w:t>
      </w:r>
      <w:r>
        <w:t xml:space="preserve">meta-analysis of impact-evaluation external validity finds that effect sizes in development RCTs vary substantially across contexts — heterogeneity is large enough that single-study estimates routinely do not transport. Deaton and Cartwright</w:t>
      </w:r>
      <w:r>
        <w:t xml:space="preserve"> </w:t>
      </w:r>
      <w:r>
        <w:t xml:space="preserve">(</w:t>
      </w:r>
      <w:hyperlink w:anchor="ref-deaton2018rcts">
        <w:r>
          <w:rPr>
            <w:rStyle w:val="Hyperlink"/>
          </w:rPr>
          <w:t xml:space="preserve">2018</w:t>
        </w:r>
      </w:hyperlink>
      <w:r>
        <w:t xml:space="preserve">)</w:t>
      </w:r>
      <w:r>
        <w:t xml:space="preserve">, in</w:t>
      </w:r>
      <w:r>
        <w:t xml:space="preserve"> </w:t>
      </w:r>
      <w:r>
        <w:rPr>
          <w:i/>
          <w:iCs/>
        </w:rPr>
        <w:t xml:space="preserve">Understanding and misunderstanding randomized controlled trials</w:t>
      </w:r>
      <w:r>
        <w:t xml:space="preserve">, argue more broadly that the RCT methodological community over-interprets the inferential warrants that randomization itself supports; covariate imbalance, treatment-effect heterogeneity, and the absence of a credible causal model can each undermine the routine</w:t>
      </w:r>
      <w:r>
        <w:t xml:space="preserve"> </w:t>
      </w:r>
      <w:r>
        <w:t xml:space="preserve">“RCT = gold standard”</w:t>
      </w:r>
      <w:r>
        <w:t xml:space="preserve"> </w:t>
      </w:r>
      <w:r>
        <w:t xml:space="preserve">framing. The substantive method Vivalt and Deaton-Cartwright critique (RCTs) differs from the method this paper uses (cross-country panel FE), but the</w:t>
      </w:r>
      <w:r>
        <w:t xml:space="preserve"> </w:t>
      </w:r>
      <w:r>
        <w:rPr>
          <w:i/>
          <w:iCs/>
        </w:rPr>
        <w:t xml:space="preserve">over-claiming</w:t>
      </w:r>
      <w:r>
        <w:t xml:space="preserve"> </w:t>
      </w:r>
      <w:r>
        <w:t xml:space="preserve">concern carries: the cross-country-panel community has likewise tended to report a within-FE coefficient as if it were measure-independent, sample-independent, and identification-robust, when in fact each of those properties needs to be tested rather than assumed. The path-c framing of this manuscript — and the §3 pre-commitment design that operationalizes it — places the paper deliberately in this lineage.</w:t>
      </w:r>
    </w:p>
    <w:p>
      <w:pPr>
        <w:pStyle w:val="BodyText"/>
      </w:pPr>
      <w:r>
        <w:t xml:space="preserve">The compounding-divergence literature — Muthukrishna and Schellekens’</w:t>
      </w:r>
      <w:r>
        <w:t xml:space="preserve"> </w:t>
      </w:r>
      <w:r>
        <w:t xml:space="preserve">(</w:t>
      </w:r>
      <w:hyperlink w:anchor="ref-muthukrishna2025divergence">
        <w:r>
          <w:rPr>
            <w:rStyle w:val="Hyperlink"/>
          </w:rPr>
          <w:t xml:space="preserve">2025</w:t>
        </w:r>
      </w:hyperlink>
      <w:r>
        <w:t xml:space="preserve">)</w:t>
      </w:r>
      <w:r>
        <w:t xml:space="preserve"> </w:t>
      </w:r>
      <w:r>
        <w:t xml:space="preserve">UNDP report, Mandon’s</w:t>
      </w:r>
      <w:r>
        <w:t xml:space="preserve"> </w:t>
      </w:r>
      <w:r>
        <w:t xml:space="preserve">(</w:t>
      </w:r>
      <w:hyperlink w:anchor="ref-mandon2025beyond">
        <w:r>
          <w:rPr>
            <w:rStyle w:val="Hyperlink"/>
          </w:rPr>
          <w:t xml:space="preserve">2025</w:t>
        </w:r>
      </w:hyperlink>
      <w:r>
        <w:t xml:space="preserve">)</w:t>
      </w:r>
      <w:r>
        <w:t xml:space="preserve"> </w:t>
      </w:r>
      <w:r>
        <w:rPr>
          <w:i/>
          <w:iCs/>
        </w:rPr>
        <w:t xml:space="preserve">Beyond the AI Divide</w:t>
      </w:r>
      <w:r>
        <w:t xml:space="preserve"> </w:t>
      </w:r>
      <w:r>
        <w:t xml:space="preserve">World Bank working paper, and the joint ILO–World Bank</w:t>
      </w:r>
      <w:r>
        <w:t xml:space="preserve"> </w:t>
      </w:r>
      <w:r>
        <w:rPr>
          <w:i/>
          <w:iCs/>
        </w:rPr>
        <w:t xml:space="preserve">Disruption without dividend?</w:t>
      </w:r>
      <w:r>
        <w:t xml:space="preserve"> </w:t>
      </w:r>
      <w:r>
        <w:t xml:space="preserve">background study</w:t>
      </w:r>
      <w:r>
        <w:t xml:space="preserve"> </w:t>
      </w:r>
      <w:r>
        <w:t xml:space="preserve">(</w:t>
      </w:r>
      <w:hyperlink w:anchor="ref-ilo2026disruption">
        <w:r>
          <w:rPr>
            <w:rStyle w:val="Hyperlink"/>
          </w:rPr>
          <w:t xml:space="preserve">2026</w:t>
        </w:r>
      </w:hyperlink>
      <w:r>
        <w:t xml:space="preserve">)</w:t>
      </w:r>
      <w:r>
        <w:t xml:space="preserve"> </w:t>
      </w:r>
      <w:r>
        <w:t xml:space="preserve">for the</w:t>
      </w:r>
      <w:r>
        <w:t xml:space="preserve"> </w:t>
      </w:r>
      <w:r>
        <w:rPr>
          <w:i/>
          <w:iCs/>
        </w:rPr>
        <w:t xml:space="preserve">World Development Report 2026</w:t>
      </w:r>
      <w:r>
        <w:t xml:space="preserve"> </w:t>
      </w:r>
      <w:r>
        <w:t xml:space="preserve">— articulates a different methodological-reflection theme. These works argue that AI-driven divergence between countries is conditional on absorptive capacity (human capital, digital infrastructure, governance) and that the standard country-comparison tools have not yet operationalized the joint distribution of those capacities at country-cross-section resolution. The §4.6 Compounding AI Penalty analysis is our contribution at that joint-distribution operationalization layer; we cite the three above as the closest theoretical (Muthukrishna-Schellekens) and practitioner (Mandon; ILO-WBG) antecedents we are aware of, while noting in §4.6 that we are not aware of a prior peer-reviewed paper that constructs the HCI × Oxford-GARI joint composite at the exact country-cross-section level we report.</w:t>
      </w:r>
    </w:p>
    <w:bookmarkEnd w:id="13"/>
    <w:bookmarkEnd w:id="14"/>
    <w:bookmarkStart w:id="19" w:name="data-methodology"/>
    <w:p>
      <w:pPr>
        <w:pStyle w:val="Heading1"/>
      </w:pPr>
      <w:r>
        <w:t xml:space="preserve">3. 3. Data &amp; Methodology</w:t>
      </w:r>
    </w:p>
    <w:bookmarkStart w:id="15" w:name="data-sources-and-panel-construction"/>
    <w:p>
      <w:pPr>
        <w:pStyle w:val="Heading2"/>
      </w:pPr>
      <w:r>
        <w:t xml:space="preserve">3.1 3.1 Data sources and panel construction</w:t>
      </w:r>
    </w:p>
    <w:p>
      <w:pPr>
        <w:pStyle w:val="FirstParagraph"/>
      </w:pPr>
      <w:r>
        <w:t xml:space="preserve">The analytical panel is a balanced 133-country × 11-year (2010–2020) dataset assembled from ten administrative and harmonized-research sources. The country universe is the set of recipient countries that received any positive OECD CRS commitment between 1995 and 2024</w:t>
      </w:r>
      <w:r>
        <w:t xml:space="preserve"> </w:t>
      </w:r>
      <w:r>
        <w:rPr>
          <w:i/>
          <w:iCs/>
        </w:rPr>
        <w:t xml:space="preserve">and</w:t>
      </w:r>
      <w:r>
        <w:t xml:space="preserve"> </w:t>
      </w:r>
      <w:r>
        <w:t xml:space="preserve">recorded at least one Human Capital Index Harmonized Learning Outcomes (HLO) observation in the period; 127 of the 133 carry the ≥2 HLO cycles required for within-country slope identification in Model 2. The 2010–2020 primary window is HCI-cycle-anchored — HLO is observed only in 2010, 2017, 2018, and 2020 — so wider windows (2000–2022 and 2005–2020) yield mechanically identical Model-2 samples; both are reported as referee-resistant robustness alongside the primary. COVID-affected years (2020–2022) are handled with a time-varying school-closure control derived from the UNESCO HDX daily-status time series; a parallel robustness drops 2020+ entirely.</w:t>
      </w:r>
    </w:p>
    <w:p>
      <w:pPr>
        <w:pStyle w:val="BodyText"/>
      </w:pPr>
      <w:r>
        <w:t xml:space="preserve">The outcome variable is the World Bank Human Capital Index Harmonized Test Scores (</w:t>
      </w:r>
      <w:r>
        <w:rPr>
          <w:rStyle w:val="VerbatimChar"/>
        </w:rPr>
        <w:t xml:space="preserve">HD.HCI.HLOS</w:t>
      </w:r>
      <w:r>
        <w:t xml:space="preserve">), fetched via the WDI API and stored as</w:t>
      </w:r>
      <w:r>
        <w:t xml:space="preserve"> </w:t>
      </w:r>
      <w:r>
        <w:rPr>
          <w:rStyle w:val="VerbatimChar"/>
        </w:rPr>
        <w:t xml:space="preserve">hlo_score</w:t>
      </w:r>
      <w:r>
        <w:t xml:space="preserve"> </w:t>
      </w:r>
      <w:r>
        <w:t xml:space="preserve">(scale roughly 300–625, anchored on Progress in International Reading Literacy Study (PIRLS) and Trends in International Mathematics and Science Study (TIMSS) primary benchmarks at 400/475/625). The principal robustness measure is the Altinok, Angrist and Patrinos</w:t>
      </w:r>
      <w:r>
        <w:t xml:space="preserve"> </w:t>
      </w:r>
      <w:r>
        <w:t xml:space="preserve">(</w:t>
      </w:r>
      <w:hyperlink w:anchor="ref-altinok2018global">
        <w:r>
          <w:rPr>
            <w:rStyle w:val="Hyperlink"/>
          </w:rPr>
          <w:t xml:space="preserve">2018</w:t>
        </w:r>
      </w:hyperlink>
      <w:r>
        <w:t xml:space="preserve">)</w:t>
      </w:r>
      <w:r>
        <w:t xml:space="preserve"> </w:t>
      </w:r>
      <w:r>
        <w:rPr>
          <w:i/>
          <w:iCs/>
        </w:rPr>
        <w:t xml:space="preserve">Global Data Set on Education Quality (1965–2015)</w:t>
      </w:r>
      <w:r>
        <w:t xml:space="preserve"> </w:t>
      </w:r>
      <w:r>
        <w:t xml:space="preserve">— a parallel harmonization stored as</w:t>
      </w:r>
      <w:r>
        <w:t xml:space="preserve"> </w:t>
      </w:r>
      <w:r>
        <w:rPr>
          <w:rStyle w:val="VerbatimChar"/>
        </w:rPr>
        <w:t xml:space="preserve">aap_hlo_aap</w:t>
      </w:r>
      <w:r>
        <w:t xml:space="preserve"> </w:t>
      </w:r>
      <w:r>
        <w:t xml:space="preserve">and fetched from the OWID</w:t>
      </w:r>
      <w:r>
        <w:t xml:space="preserve"> </w:t>
      </w:r>
      <w:r>
        <w:rPr>
          <w:rStyle w:val="VerbatimChar"/>
        </w:rPr>
        <w:t xml:space="preserve">owid-datasets</w:t>
      </w:r>
      <w:r>
        <w:t xml:space="preserve"> </w:t>
      </w:r>
      <w:r>
        <w:t xml:space="preserve">GitHub mirror at a frozen commit hash. ADR-0004 commits the paper to verifying sign-agreement on the within-country coefficient across the two measures as a precondition for the headline claim; §4.7 reports the measure-sensitivity finding from that test. The Sandefur</w:t>
      </w:r>
      <w:r>
        <w:t xml:space="preserve"> </w:t>
      </w:r>
      <w:r>
        <w:t xml:space="preserve">(</w:t>
      </w:r>
      <w:hyperlink w:anchor="ref-sandefur2018internationally">
        <w:r>
          <w:rPr>
            <w:rStyle w:val="Hyperlink"/>
          </w:rPr>
          <w:t xml:space="preserve">2018</w:t>
        </w:r>
      </w:hyperlink>
      <w:r>
        <w:t xml:space="preserve">)</w:t>
      </w:r>
      <w:r>
        <w:t xml:space="preserve"> </w:t>
      </w:r>
      <w:r>
        <w:t xml:space="preserve">critique that anchor-equating between testing regimes (PISA, TIMSS, SACMEQ, and the Programme d’analyse des systèmes éducatifs de la CONFEMEN (PASEC)) produces score-equivalence claims that may not hold in practice — particularly for sub-Saharan African countries that anchor through small overlapping samples — is engaged head-on in two places: the within-country fixed-effects specification (Model 2) absorbs any time-invariant cross-country level miscalibration in the harmonization, and the AAP-2018 alternative serves as the published-measure check against measurement-choice fragility. Learning-Adjusted Years of Schooling (</w:t>
      </w:r>
      <w:r>
        <w:rPr>
          <w:rStyle w:val="VerbatimChar"/>
        </w:rPr>
        <w:t xml:space="preserve">hci_lays_overall</w:t>
      </w:r>
      <w:r>
        <w:t xml:space="preserve">, computed by the World Bank as</w:t>
      </w:r>
      <w:r>
        <w:t xml:space="preserve"> </w:t>
      </w:r>
      <m:oMath>
        <m:r>
          <m:rPr>
            <m:nor/>
            <m:sty m:val="p"/>
          </m:rPr>
          <m:t>LAYS</m:t>
        </m:r>
        <m:r>
          <m:rPr>
            <m:sty m:val="p"/>
          </m:rPr>
          <m:t>=</m:t>
        </m:r>
        <m:r>
          <m:rPr>
            <m:nor/>
            <m:sty m:val="p"/>
          </m:rPr>
          <m:t>EYS</m:t>
        </m:r>
        <m:r>
          <m:rPr>
            <m:sty m:val="p"/>
          </m:rPr>
          <m:t>×</m:t>
        </m:r>
        <m:r>
          <m:rPr>
            <m:sty m:val="p"/>
          </m:rPr>
          <m:t>(</m:t>
        </m:r>
        <m:r>
          <m:rPr>
            <m:nor/>
            <m:sty m:val="p"/>
          </m:rPr>
          <m:t>HLO</m:t>
        </m:r>
        <m:r>
          <m:rPr>
            <m:sty m:val="p"/>
          </m:rPr>
          <m:t>/</m:t>
        </m:r>
        <m:r>
          <m:t>625</m:t>
        </m:r>
        <m:r>
          <m:rPr>
            <m:sty m:val="p"/>
          </m:rPr>
          <m:t>)</m:t>
        </m:r>
      </m:oMath>
      <w:r>
        <w:t xml:space="preserve">) is reported as a parallel outcome to put the paper’s findings in the unit Angrist</w:t>
      </w:r>
      <w:r>
        <w:t xml:space="preserve"> </w:t>
      </w:r>
      <w:r>
        <w:t xml:space="preserve">(</w:t>
      </w:r>
      <w:hyperlink w:anchor="ref-angrist2024lays">
        <w:r>
          <w:rPr>
            <w:rStyle w:val="Hyperlink"/>
          </w:rPr>
          <w:t xml:space="preserve">2024</w:t>
        </w:r>
      </w:hyperlink>
      <w:r>
        <w:t xml:space="preserve">)</w:t>
      </w:r>
      <w:r>
        <w:t xml:space="preserve"> </w:t>
      </w:r>
      <w:r>
        <w:t xml:space="preserve">and the GEEAP</w:t>
      </w:r>
      <w:r>
        <w:t xml:space="preserve"> </w:t>
      </w:r>
      <w:r>
        <w:t xml:space="preserve">(</w:t>
      </w:r>
      <w:hyperlink w:anchor="ref-geeap2023smart">
        <w:r>
          <w:rPr>
            <w:rStyle w:val="Hyperlink"/>
          </w:rPr>
          <w:t xml:space="preserve">2023</w:t>
        </w:r>
      </w:hyperlink>
      <w:r>
        <w:t xml:space="preserve">)</w:t>
      </w:r>
      <w:r>
        <w:t xml:space="preserve"> </w:t>
      </w:r>
      <w:r>
        <w:t xml:space="preserve">cost-effectiveness benchmarks use.</w:t>
      </w:r>
    </w:p>
    <w:p>
      <w:pPr>
        <w:pStyle w:val="BodyText"/>
      </w:pPr>
      <w:r>
        <w:t xml:space="preserve">The treatment variable is OECD DAC Creditor Reporting System (CRS) disbursements to education (sector codes 110/111/112/113/114), constant USD with the DAC deflator, and a three-year strictly-past moving average (mean of</w:t>
      </w:r>
      <w:r>
        <w:t xml:space="preserve"> </w:t>
      </w:r>
      <w:r>
        <w:rPr>
          <w:i/>
          <w:iCs/>
        </w:rPr>
        <w:t xml:space="preserve">t</w:t>
      </w:r>
      <w:r>
        <w:t xml:space="preserve">−3,</w:t>
      </w:r>
      <w:r>
        <w:t xml:space="preserve"> </w:t>
      </w:r>
      <w:r>
        <w:rPr>
          <w:i/>
          <w:iCs/>
        </w:rPr>
        <w:t xml:space="preserve">t</w:t>
      </w:r>
      <w:r>
        <w:t xml:space="preserve">−2,</w:t>
      </w:r>
      <w:r>
        <w:t xml:space="preserve"> </w:t>
      </w:r>
      <w:r>
        <w:rPr>
          <w:i/>
          <w:iCs/>
        </w:rPr>
        <w:t xml:space="preserve">t</w:t>
      </w:r>
      <w:r>
        <w:t xml:space="preserve">−1). ADR-0005 locks this construction —</w:t>
      </w:r>
      <w:r>
        <w:t xml:space="preserve"> </w:t>
      </w:r>
      <w:r>
        <w:rPr>
          <w:rStyle w:val="VerbatimChar"/>
        </w:rPr>
        <w:t xml:space="preserve">crs_disburse_usd_defl_ma3_lag1</w:t>
      </w:r>
      <w:r>
        <w:t xml:space="preserve"> </w:t>
      </w:r>
      <w:r>
        <w:t xml:space="preserve">— from a 16-cell sensitivity surface that tests commitment-vs-disbursement, current-vs-constant USD, and four lag/MA combinations. All sixteen cells produce a non-negative within-country coefficient on HLO; the strictly-past MA is chosen as primary because it forecloses contemporaneous donor response to within-year learning shocks. The raw OECD CRS extract is a 537,586-row project-level parquet (release CRS-Parquet-v20260408) fetched via the OECD’s SDMX endpoint; aggregation to the (iso3, year) panel happens in</w:t>
      </w:r>
      <w:r>
        <w:t xml:space="preserve"> </w:t>
      </w:r>
      <w:r>
        <w:rPr>
          <w:rStyle w:val="VerbatimChar"/>
        </w:rPr>
        <w:t xml:space="preserve">R/30_merge_panel.R</w:t>
      </w:r>
      <w:r>
        <w:t xml:space="preserve"> </w:t>
      </w:r>
      <w:r>
        <w:t xml:space="preserve">at Phase 2. NA cells within the ODA-eligible universe are coalesced to zero before MA computation, on the rationale that ODA-eligible recipients with no recorded CRS project in year</w:t>
      </w:r>
      <w:r>
        <w:t xml:space="preserve"> </w:t>
      </w:r>
      <w:r>
        <w:rPr>
          <w:i/>
          <w:iCs/>
        </w:rPr>
        <w:t xml:space="preserve">t</w:t>
      </w:r>
      <w:r>
        <w:t xml:space="preserve"> </w:t>
      </w:r>
      <w:r>
        <w:t xml:space="preserve">received zero dollars that year, not</w:t>
      </w:r>
      <w:r>
        <w:t xml:space="preserve"> </w:t>
      </w:r>
      <w:r>
        <w:t xml:space="preserve">“data missing”</w:t>
      </w:r>
      <w:r>
        <w:t xml:space="preserve">. AidData’s Global Chinese Development Finance v3.0 (GCDF; ADR-0008) is ingested in parallel for the non-DAC blind-spot robustness reported in Appendix B.</w:t>
      </w:r>
    </w:p>
    <w:p>
      <w:pPr>
        <w:pStyle w:val="BodyText"/>
      </w:pPr>
      <w:r>
        <w:t xml:space="preserve">Macro and sector controls (WDI: GDP per capita in constant USD; pupil-teacher ratio at primary level; education expenditure as percent of GDP) are fetched via the</w:t>
      </w:r>
      <w:r>
        <w:t xml:space="preserve"> </w:t>
      </w:r>
      <w:r>
        <w:rPr>
          <w:rStyle w:val="VerbatimChar"/>
        </w:rPr>
        <w:t xml:space="preserve">WDI</w:t>
      </w:r>
      <w:r>
        <w:t xml:space="preserve"> </w:t>
      </w:r>
      <w:r>
        <w:t xml:space="preserve">R package. Governance controls use the native Worldwide Governance Indicators bundle from</w:t>
      </w:r>
      <w:r>
        <w:t xml:space="preserve"> </w:t>
      </w:r>
      <w:r>
        <w:rPr>
          <w:rStyle w:val="VerbatimChar"/>
        </w:rPr>
        <w:t xml:space="preserve">info.worldbank.org/governance/wgi/</w:t>
      </w:r>
      <w:r>
        <w:t xml:space="preserve"> </w:t>
      </w:r>
      <w:r>
        <w:t xml:space="preserve">— not the WDI mirror — to retain the per-source count needed to engage Langbein and Knack’s</w:t>
      </w:r>
      <w:r>
        <w:t xml:space="preserve"> </w:t>
      </w:r>
      <w:r>
        <w:t xml:space="preserve">(</w:t>
      </w:r>
      <w:hyperlink w:anchor="ref-langbein2010governance">
        <w:r>
          <w:rPr>
            <w:rStyle w:val="Hyperlink"/>
          </w:rPr>
          <w:t xml:space="preserve">2010</w:t>
        </w:r>
      </w:hyperlink>
      <w:r>
        <w:t xml:space="preserve">)</w:t>
      </w:r>
      <w:r>
        <w:t xml:space="preserve"> </w:t>
      </w:r>
      <w:r>
        <w:t xml:space="preserve">critique that the six WGI dimensions collapse to a single latent factor and the published aggregates over-state their independence. ADR-0009 locks the operationalization as the PCA-collapsed first principal component (</w:t>
      </w:r>
      <w:r>
        <w:rPr>
          <w:rStyle w:val="VerbatimChar"/>
        </w:rPr>
        <w:t xml:space="preserve">wgi_pc1</w:t>
      </w:r>
      <w:r>
        <w:t xml:space="preserve">), computed via</w:t>
      </w:r>
      <w:r>
        <w:t xml:space="preserve"> </w:t>
      </w:r>
      <w:r>
        <w:rPr>
          <w:rStyle w:val="VerbatimChar"/>
        </w:rPr>
        <w:t xml:space="preserve">prcomp(scale. = TRUE)</w:t>
      </w:r>
      <w:r>
        <w:t xml:space="preserve"> </w:t>
      </w:r>
      <w:r>
        <w:t xml:space="preserve">on the six WGI estimate columns and sign-flipped to align with the positive governance-quality direction. Empirically, PC1 captures 76.4 % of WGI variance with all six loadings positive in the 0.35–0.45 band; the all-six specification shows none of the six dimensions individually significant despite joint significance, confirming the Langbein-Knack aggregation critique on this sample. ADR-0006 drops UNESCO Institute for Statistics (UIS) variables from the primary specification because the private-expenditure share is 91.8 % missing in sub-Saharan Africa (vs 80.3 % in the rest of the world); a UIS-augmented listwise robustness is reported in Appendix B. The enrollment and out-of-school indicators flowing through WDI and UIS ultimately rest on country-side reporting to UNESCO’s annual education survey; ministries face well-documented incentives to over-report enrollment and under-report out-of-school children during MDG and SDG-4 monitoring cycles, and the paper treats these variables as suggestive rather than authoritative measures of schooling participation. The §5 limits paragraph owns this measurement caveat directly.</w:t>
      </w:r>
    </w:p>
    <w:p>
      <w:pPr>
        <w:pStyle w:val="BodyText"/>
      </w:pPr>
      <w:r>
        <w:t xml:space="preserve">Two confounder sources control for time-varying disruption. The Uppsala Conflict Data Program / PRIO Armed Conflict Dataset (v25.1 + Battle-Related Deaths v25.1) provides a binary</w:t>
      </w:r>
      <w:r>
        <w:t xml:space="preserve"> </w:t>
      </w:r>
      <w:r>
        <w:rPr>
          <w:rStyle w:val="VerbatimChar"/>
        </w:rPr>
        <w:t xml:space="preserve">in_conflict</w:t>
      </w:r>
      <w:r>
        <w:t xml:space="preserve"> </w:t>
      </w:r>
      <w:r>
        <w:t xml:space="preserve">indicator and intensity counts, aggregated to country-year from the original conflict-level data; 12.3 % of country-year cells in the panel show active conflict, with the expected sub-Saharan over-representation (25.3 % SSA vs 9.2 % rest-of-world). The UNESCO COVID-19 School Closures dataset gives</w:t>
      </w:r>
      <w:r>
        <w:t xml:space="preserve"> </w:t>
      </w:r>
      <w:r>
        <w:rPr>
          <w:rStyle w:val="VerbatimChar"/>
        </w:rPr>
        <w:t xml:space="preserve">days_closed</w:t>
      </w:r>
      <w:r>
        <w:t xml:space="preserve"> </w:t>
      </w:r>
      <w:r>
        <w:t xml:space="preserve">per country-year for 2020–2022, derived transparently from the daily status time series rather than from UNESCO’s pre-aggregated figures; cross-validation against the pre-aggregated source agrees at median |diff| = 2 days. Both confounders enter Model 2 as time-varying controls and are documented at variable-level in Appendix C.</w:t>
      </w:r>
    </w:p>
    <w:bookmarkEnd w:id="15"/>
    <w:bookmarkStart w:id="16" w:name="pre-commitment-design"/>
    <w:p>
      <w:pPr>
        <w:pStyle w:val="Heading2"/>
      </w:pPr>
      <w:r>
        <w:t xml:space="preserve">3.2 3.2 Pre-commitment design</w:t>
      </w:r>
    </w:p>
    <w:p>
      <w:pPr>
        <w:pStyle w:val="FirstParagraph"/>
      </w:pPr>
      <w:r>
        <w:t xml:space="preserve">The path-c framing rests on a design choice the cross-country aid-effectiveness literature has not historically made: every consequential analytical decision is locked in an Architecture Decision Record (ADR)</w:t>
      </w:r>
      <w:r>
        <w:t xml:space="preserve"> </w:t>
      </w:r>
      <w:r>
        <w:rPr>
          <w:i/>
          <w:iCs/>
        </w:rPr>
        <w:t xml:space="preserve">before</w:t>
      </w:r>
      <w:r>
        <w:t xml:space="preserve"> </w:t>
      </w:r>
      <w:r>
        <w:t xml:space="preserve">the analysis whose result the decision would influence runs. Twelve ADRs have been written over the project’s eleven-month lifespan; Appendix A.1 inventories all twelve with status, with the four load-bearing ones referenced repeatedly below: ADR-0002 (country universe, ODA-eligible ∩ ≥1 HLO observation, N = 133), ADR-0004 (HLO measure choice with a pre-specified sign-agreement gate), ADR-0005 (treatment construction as strictly-past 3-year MA of constant-USD disbursements), and ADR-0012 (retirement of the UIS multiple-imputation sub-commitment of ADR-0006 after MCAR rejection). ADR-0007 (CRS intervention typology) is the project’s single Rejected ADR — its pre-committed inter-method agreement gate failed on all three criteria, retiring Model 4 before it produced defensible-looking but fragile results. The ADR architecture is the operational frame for treating every potentially-arbitrary methodological choice as a falsifiable gate the data must clear, not paperwork.</w:t>
      </w:r>
    </w:p>
    <w:p>
      <w:pPr>
        <w:pStyle w:val="BodyText"/>
      </w:pPr>
      <w:r>
        <w:t xml:space="preserve">A second pre-commitment layer wraps the ADR discipline: the brief’s Three-Pass Self-Review Protocol. Pass 1 (Statistical Validity) requires running every diagnostic committed to in the project’s</w:t>
      </w:r>
      <w:r>
        <w:t xml:space="preserve"> </w:t>
      </w:r>
      <w:r>
        <w:rPr>
          <w:rStyle w:val="VerbatimChar"/>
        </w:rPr>
        <w:t xml:space="preserve">obligations.md</w:t>
      </w:r>
      <w:r>
        <w:t xml:space="preserve"> </w:t>
      </w:r>
      <w:r>
        <w:t xml:space="preserve">before any manuscript writing begins; results are documented privately, and the paper does not proceed until the audit is complete. Pass 2 (Argumentative Coherence) is read-only on Abstract → Introduction → Discussion → Conclusion after the full draft exists, with the question</w:t>
      </w:r>
      <w:r>
        <w:t xml:space="preserve"> </w:t>
      </w:r>
      <w:r>
        <w:rPr>
          <w:i/>
          <w:iCs/>
        </w:rPr>
        <w:t xml:space="preserve">does the argument hold without the numbers?</w:t>
      </w:r>
      <w:r>
        <w:t xml:space="preserve"> </w:t>
      </w:r>
      <w:r>
        <w:t xml:space="preserve">Pass 3 (Adversarial Read) follows a deliberate 48-hour gap from the final draft and asks the author to read as a skeptical</w:t>
      </w:r>
      <w:r>
        <w:t xml:space="preserve"> </w:t>
      </w:r>
      <w:r>
        <w:rPr>
          <w:i/>
          <w:iCs/>
        </w:rPr>
        <w:t xml:space="preserve">World Development</w:t>
      </w:r>
      <w:r>
        <w:t xml:space="preserve"> </w:t>
      </w:r>
      <w:r>
        <w:t xml:space="preserve">referee, marking every sentence the form</w:t>
      </w:r>
      <w:r>
        <w:t xml:space="preserve"> </w:t>
      </w:r>
      <w:r>
        <w:rPr>
          <w:i/>
          <w:iCs/>
        </w:rPr>
        <w:t xml:space="preserve">“claim X but did not demonstrate X”</w:t>
      </w:r>
      <w:r>
        <w:t xml:space="preserve"> </w:t>
      </w:r>
      <w:r>
        <w:t xml:space="preserve">for repair or reframe. Pass 1 closed at Phase 10 as a</w:t>
      </w:r>
      <w:r>
        <w:t xml:space="preserve"> </w:t>
      </w:r>
      <w:r>
        <w:rPr>
          <w:i/>
          <w:iCs/>
        </w:rPr>
        <w:t xml:space="preserve">qualified pass</w:t>
      </w:r>
      <w:r>
        <w:t xml:space="preserve">: every Statistical-Layer diagnostic is run or documented as not-feasible at our T (the small-T limit forecloses the Dumitrescu-Hurlin panel Granger test by the same data-shape constraint that limits the GMM exercise per ADR-0010), and the principal HLO measure-sensitivity check produced a sign-flip the manuscript now adapts to throughout. Passes 2 and 3 are scheduled for Phases 12 and 13.</w:t>
      </w:r>
    </w:p>
    <w:p>
      <w:pPr>
        <w:pStyle w:val="BodyText"/>
      </w:pPr>
      <w:r>
        <w:t xml:space="preserve">The third layer of the pre-commitment design is</w:t>
      </w:r>
      <w:r>
        <w:t xml:space="preserve"> </w:t>
      </w:r>
      <w:r>
        <w:rPr>
          <w:rStyle w:val="VerbatimChar"/>
        </w:rPr>
        <w:t xml:space="preserve">obligations.md</w:t>
      </w:r>
      <w:r>
        <w:t xml:space="preserve"> </w:t>
      </w:r>
      <w:r>
        <w:t xml:space="preserve">— the project’s running ledger of every diagnostic test, robustness specification, and reproducibility commitment the manuscript makes. Each item names the obligation, the phase committed to running it, the evidence pointer when complete, and an explicit status marker (</w:t>
      </w:r>
      <w:r>
        <w:rPr>
          <w:rStyle w:val="VerbatimChar"/>
        </w:rPr>
        <w:t xml:space="preserve">[x]</w:t>
      </w:r>
      <w:r>
        <w:t xml:space="preserve"> </w:t>
      </w:r>
      <w:r>
        <w:t xml:space="preserve">complete;</w:t>
      </w:r>
      <w:r>
        <w:t xml:space="preserve"> </w:t>
      </w:r>
      <w:r>
        <w:rPr>
          <w:rStyle w:val="VerbatimChar"/>
        </w:rPr>
        <w:t xml:space="preserve">[~]</w:t>
      </w:r>
      <w:r>
        <w:t xml:space="preserve"> </w:t>
      </w:r>
      <w:r>
        <w:t xml:space="preserve">partial;</w:t>
      </w:r>
      <w:r>
        <w:t xml:space="preserve"> </w:t>
      </w:r>
      <w:r>
        <w:rPr>
          <w:rStyle w:val="VerbatimChar"/>
        </w:rPr>
        <w:t xml:space="preserve">[N/A]</w:t>
      </w:r>
      <w:r>
        <w:t xml:space="preserve"> </w:t>
      </w:r>
      <w:r>
        <w:t xml:space="preserve">documented as not-applicable; struck-through with rationale for items withdrawn via an ADR amendment). Twenty-four obligations are checked complete; two are withdrawn per ADR-0007’s Rejected status; two are scope-resolved by the Phase-2 reframe of the original 3-level HLM specification to the operative 2-level country-RE + year-FE form; the Granger test is documented as not feasible at our T; Pass 2 / Pass 3 / OSF deposit /</w:t>
      </w:r>
      <w:r>
        <w:t xml:space="preserve"> </w:t>
      </w:r>
      <w:r>
        <w:rPr>
          <w:rStyle w:val="VerbatimChar"/>
        </w:rPr>
        <w:t xml:space="preserve">renv::restore</w:t>
      </w:r>
      <w:r>
        <w:t xml:space="preserve"> </w:t>
      </w:r>
      <w:r>
        <w:t xml:space="preserve">reproducibility checks are deferred to Phases 12, 13, and 14 with documentation. The collective discipline is straightforward: every claim the manuscript makes is traceable to a committed-in-advance diagnostic with documented status, and every methodological choice is locked in an ADR before the result that depends on it is generated.</w:t>
      </w:r>
    </w:p>
    <w:bookmarkEnd w:id="16"/>
    <w:bookmarkStart w:id="17" w:name="positionality"/>
    <w:p>
      <w:pPr>
        <w:pStyle w:val="Heading2"/>
      </w:pPr>
      <w:r>
        <w:t xml:space="preserve">3.3 3.3 Positionality</w:t>
      </w:r>
    </w:p>
    <w:p>
      <w:pPr>
        <w:pStyle w:val="FirstParagraph"/>
      </w:pPr>
      <w:r>
        <w:rPr>
          <w:i/>
          <w:iCs/>
        </w:rPr>
        <w:t xml:space="preserve">Positionality statement to be drafted upon author input. See</w:t>
      </w:r>
      <w:r>
        <w:rPr>
          <w:i/>
          <w:iCs/>
        </w:rPr>
        <w:t xml:space="preserve"> </w:t>
      </w:r>
      <w:r>
        <w:rPr>
          <w:rStyle w:val="VerbatimChar"/>
          <w:i/>
          <w:iCs/>
        </w:rPr>
        <w:t xml:space="preserve">docs/positionality.md</w:t>
      </w:r>
      <w:r>
        <w:rPr>
          <w:i/>
          <w:iCs/>
        </w:rPr>
        <w:t xml:space="preserve"> </w:t>
      </w:r>
      <w:r>
        <w:rPr>
          <w:i/>
          <w:iCs/>
        </w:rPr>
        <w:t xml:space="preserve">for the four specifics needed (years, regions, donor/implementer relationship type, two concrete reporting-bias examples). Approximate length when drafted: 300 words. Framing principle per the project brief: positionality is a methodological asset that grounds the qualitative interpretation of model findings, not an apology for the author’s institutional embeddedness.</w:t>
      </w:r>
    </w:p>
    <w:bookmarkEnd w:id="17"/>
    <w:bookmarkStart w:id="18" w:name="pass-1-statistical-validity-sign-off"/>
    <w:p>
      <w:pPr>
        <w:pStyle w:val="Heading2"/>
      </w:pPr>
      <w:r>
        <w:t xml:space="preserve">3.4 3.4 Pass 1 statistical-validity sign-off</w:t>
      </w:r>
    </w:p>
    <w:p>
      <w:pPr>
        <w:pStyle w:val="FirstParagraph"/>
      </w:pPr>
      <w:r>
        <w:t xml:space="preserve">Pass 1 closed as a</w:t>
      </w:r>
      <w:r>
        <w:t xml:space="preserve"> </w:t>
      </w:r>
      <w:r>
        <w:rPr>
          <w:i/>
          <w:iCs/>
        </w:rPr>
        <w:t xml:space="preserve">qualified pass</w:t>
      </w:r>
      <w:r>
        <w:t xml:space="preserve">. Every diagnostic in the brief’s Statistical Layer is either executed and passed, withdrawn per a documented ADR (the two ANOVA diagnostics under ADR-0007 Rejected), scope-resolved (the 3-level student-school-country HLM reframed to country-level only, pending PISA/TIMSS/PIRLS micro-data), deferred to Pass 2 / Pass 3 with documentation, or documented as not feasible at the project’s small-T (the Dumitrescu-Hurlin Granger test and the System GMM remedy of ADR-0010 are both blocked by the HCI-cycle panel’s T_eff ≤ 4).</w:t>
      </w:r>
    </w:p>
    <w:p>
      <w:pPr>
        <w:pStyle w:val="BodyText"/>
      </w:pPr>
      <w:r>
        <w:t xml:space="preserve">The substantive Pass 1 finding is not the obligations-bookkeeping completion. It is the failed HLO measure-sensitivity check: the principal robustness committed in ADR-0004 — refit Model 2’s headline specification on the AAP-2018 alternative outcome and verify sign agreement with the World Bank HCI HLOS specification — produced a sign-flip on both the full AAP coverage (β = −16.67, p = 0.009) and the overlap window restricted to year ≥ 2010 (β = −3.94, p = 0.66). The overlap-window null rules out sample-window composition as the sole driver; the harmonized-measure choice itself materially shapes the headline. ADR-0004 documents the failure; the manuscript adapts via the hedge route — the within-country positive headline is reported throughout the paper with explicit measure-qualification (</w:t>
      </w:r>
      <w:r>
        <w:t xml:space="preserve">“</w:t>
      </w:r>
      <w:r>
        <w:rPr>
          <w:i/>
          <w:iCs/>
        </w:rPr>
        <w:t xml:space="preserve">in the WB HCI HLOS specification on the 2010–2020 panel</w:t>
      </w:r>
      <w:r>
        <w:t xml:space="preserve">”</w:t>
      </w:r>
      <w:r>
        <w:t xml:space="preserve">) rather than naked attribution. §4.7 reports the sensitivity numbers; §5 frames the measure-fragility as itself a methodological contribution to the cross-country aid-learning literature, alongside the Model 4 drop (§4.4 / ADR-0007 Rejected) and the UIS multiple-imputation retirement (§4.7 / ADR-0012).</w:t>
      </w:r>
    </w:p>
    <w:bookmarkEnd w:id="18"/>
    <w:bookmarkEnd w:id="19"/>
    <w:bookmarkStart w:id="50" w:name="results"/>
    <w:p>
      <w:pPr>
        <w:pStyle w:val="Heading1"/>
      </w:pPr>
      <w:r>
        <w:t xml:space="preserve">4. 4. Results</w:t>
      </w:r>
    </w:p>
    <w:bookmarkStart w:id="24" w:name="X8904876e4083c10951e438151e4dce25b5a5923"/>
    <w:p>
      <w:pPr>
        <w:pStyle w:val="Heading2"/>
      </w:pPr>
      <w:r>
        <w:t xml:space="preserve">4.1 4.1 Descriptive: Enrollment-learning divergence</w:t>
      </w:r>
    </w:p>
    <w:p>
      <w:pPr>
        <w:pStyle w:val="FirstParagraph"/>
      </w:pPr>
      <w:r>
        <w:t xml:space="preserve">The analytical universe is the 133-country sample locked in §3.1 (ODA-eligible countries with at least one HLO observation in 2000–2022, per ADR-0002), with the primary window narrowed to 2010–2020 per ADR-0003. The HLO outcome is observed only in four Human Capital Index assessment cycles (2010, 2017, 2018, 2020), and within-country variation is therefore identified off at most four observations per country — a structural feature of the harmonized cross-country learning measurement landscape that constrains every downstream identification claim. Of the 133-country universe, 127 countries have at least two HLO observations and are within-country fixed-effects identifiable; 30 of the 133 (23 percent) eventually drop out of Model 2 via listwise on controls plus singleton-FE absorption.</w:t>
      </w:r>
    </w:p>
    <w:p>
      <w:pPr>
        <w:pStyle w:val="BodyText"/>
      </w:pPr>
      <w:r>
        <w:t xml:space="preserve">The descriptive headline of the panel is the divergence between enrollment and learning. Gross primary enrollment is uniformly high across all six World Bank regions over the primary window — region means range from 98.5 percent (Europe &amp; Central Asia) to 109.1 percent (Latin America &amp; Caribbean). HLO score is not: the same six-region grid spans 82 points (sub-Saharan Africa 374; ECA 456), roughly 1.6 within-universe standard deviations. The harmonized LAYS measure shows a 4.3-year cross-region spread (SSA 4.9; ECA 9.2). On the 2020 cross-section — the densest cycle, with 106 countries reporting both indicators — the bivariate OLS slope of HLO on gross primary enrollment is</w:t>
      </w:r>
      <w:r>
        <w:t xml:space="preserve"> </w:t>
      </w:r>
      <w:r>
        <w:rPr>
          <w:b/>
          <w:bCs/>
        </w:rPr>
        <w:t xml:space="preserve">−0.65 HLO points per one-percentage-point enrollment increase</w:t>
      </w:r>
      <w:r>
        <w:t xml:space="preserve"> </w:t>
      </w:r>
      <w:r>
        <w:t xml:space="preserve">(p = 0.13, not significant); the R² is 0.02. Enrollment</w:t>
      </w:r>
      <w:r>
        <w:t xml:space="preserve"> </w:t>
      </w:r>
      <w:r>
        <w:t xml:space="preserve">“explains”</w:t>
      </w:r>
      <w:r>
        <w:t xml:space="preserve"> </w:t>
      </w:r>
      <w:r>
        <w:t xml:space="preserve">approximately two percent of cross-country HLO variance, and the relationship is trending slightly negative. The named-country contrast that grounds the abstraction:</w:t>
      </w:r>
      <w:r>
        <w:t xml:space="preserve"> </w:t>
      </w:r>
      <w:r>
        <w:rPr>
          <w:b/>
          <w:bCs/>
        </w:rPr>
        <w:t xml:space="preserve">Kenya</w:t>
      </w:r>
      <w:r>
        <w:t xml:space="preserve"> </w:t>
      </w:r>
      <w:r>
        <w:t xml:space="preserve">enrolls 92 percent of primary-aged students gross and produces an HLO score of 455;</w:t>
      </w:r>
      <w:r>
        <w:t xml:space="preserve"> </w:t>
      </w:r>
      <w:r>
        <w:rPr>
          <w:b/>
          <w:bCs/>
        </w:rPr>
        <w:t xml:space="preserve">Bangladesh</w:t>
      </w:r>
      <w:r>
        <w:t xml:space="preserve"> </w:t>
      </w:r>
      <w:r>
        <w:t xml:space="preserve">enrolls 110 percent gross and produces an HLO score of 368. Bangladesh has eighteen percentage points more gross enrollment than Kenya and an eighty-seven-point lower HLO score, in the same year, on the same harmonized scale.</w:t>
      </w:r>
    </w:p>
    <w:tbl>
      <w:tblPr>
        <w:tblStyle w:val="Table"/>
        <w:tblW w:type="pct" w:w="5000"/>
        <w:tblLayout w:type="fixed"/>
        <w:tblLook w:firstRow="0" w:lastRow="0" w:firstColumn="0" w:lastColumn="0" w:noHBand="0" w:noVBand="0" w:val="0000"/>
      </w:tblPr>
      <w:tblGrid>
        <w:gridCol w:w="7920"/>
      </w:tblGrid>
      <w:tr>
        <w:tc>
          <w:tcPr/>
          <w:bookmarkStart w:id="23" w:name="fig-divergence"/>
          <w:p>
            <w:pPr>
              <w:pStyle w:val="Compact"/>
              <w:jc w:val="center"/>
            </w:pPr>
            <w:r>
              <w:drawing>
                <wp:inline>
                  <wp:extent cx="4267200" cy="2933700"/>
                  <wp:effectExtent b="0" l="0" r="0" t="0"/>
                  <wp:docPr descr="" title="" id="21" name="Picture"/>
                  <a:graphic>
                    <a:graphicData uri="http://schemas.openxmlformats.org/drawingml/2006/picture">
                      <pic:pic>
                        <pic:nvPicPr>
                          <pic:cNvPr descr="../output/figures/eda/enrollment_vs_learning.png" id="22" name="Picture"/>
                          <pic:cNvPicPr>
                            <a:picLocks noChangeArrowheads="1" noChangeAspect="1"/>
                          </pic:cNvPicPr>
                        </pic:nvPicPr>
                        <pic:blipFill>
                          <a:blip r:embed="rId20"/>
                          <a:stretch>
                            <a:fillRect/>
                          </a:stretch>
                        </pic:blipFill>
                        <pic:spPr bwMode="auto">
                          <a:xfrm>
                            <a:off x="0" y="0"/>
                            <a:ext cx="42672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Figure 1. Enrollment-learning divergence, 2020 cross-section. 133-country ADR-0002 universe restricted to countries with both gross primary enrollment and HLO score non-NA (n=106). OLS bivariate slope = −0.65 HLO points per 1pp enrollment increase (p=0.13, ns); R² = 0.02. Labeled countries: BGD, BRA, EGY, IDN, IND, KEN, NGA. Source: WB HCI HLOS + WDI SE.PRM.ENRR.</w:t>
            </w:r>
          </w:p>
          <w:bookmarkEnd w:id="23"/>
        </w:tc>
      </w:tr>
    </w:tbl>
    <w:p>
      <w:pPr>
        <w:pStyle w:val="BodyText"/>
      </w:pPr>
      <w:r>
        <w:t xml:space="preserve">The regional pattern depth confirms the cross-country selection problem Model 1 will recover empirically and Model 2 will then attempt to escape. Sub-Saharan Africa carries the heaviest aggregate burden: lowest HLO score (374), lowest LAYS (4.9 years), highest pupil-teacher ratio in primary (40.6, against ECA’s 16.4), worst primary completion rate (70 percent, against ECA’s 97 percent), highest primary out-of-school rate (18.6 percent), and lowest WGI government effectiveness (−0.79, against ECA’s −0.14). Europe &amp; Central Asia is the high-functioning low-aid comparator at the other end of every gradient. South Asia, with only seven countries in the universe, carries the heaviest concentrated aid burden — $349 million per country-year in OECD CRS education disbursements (against the panel mean of $96 million), dominated by India — and the longest COVID-19 school closures in 2020 (179 days, against East Asia &amp; Pacific’s 73). The variables that vary cross-sectionally with HLO score are precisely the variables that also vary cross-sectionally with aid intensity; this is the structural confounding the within-country fixed-effects specification of §4.2 ¶2 is designed to absorb.</w:t>
      </w:r>
    </w:p>
    <w:bookmarkEnd w:id="24"/>
    <w:bookmarkStart w:id="30" w:name="X580f182aeddc07fa18c327bbd268192c8e9db23"/>
    <w:p>
      <w:pPr>
        <w:pStyle w:val="Heading2"/>
      </w:pPr>
      <w:r>
        <w:t xml:space="preserve">4.2 4.2 Models 1 &amp; 2: The cross-section vs within-country contrast</w:t>
      </w:r>
    </w:p>
    <w:p>
      <w:pPr>
        <w:pStyle w:val="FirstParagraph"/>
      </w:pPr>
      <w:r>
        <w:t xml:space="preserve">Model 1 estimates the cross-sectional ordinary least squares association between ODA intensity and learning outcomes at the country level, using country-mean values over the primary 2010–2020 window. The full universe of 133 countries shrinks to 120 in the full specification once the listwise constraint on the four structural controls (log GDP per capita, primary pupil-teacher ratio, government education expenditure as a share of GDP, and WGI Government Effectiveness) is imposed. The bivariate slope on log(1 + country-mean OECD CRS education disbursement, constant USD) is</w:t>
      </w:r>
      <w:r>
        <w:t xml:space="preserve"> </w:t>
      </w:r>
      <w:r>
        <w:rPr>
          <w:b/>
          <w:bCs/>
        </w:rPr>
        <w:t xml:space="preserve">β = −11.54</w:t>
      </w:r>
      <w:r>
        <w:t xml:space="preserve"> </w:t>
      </w:r>
      <w:r>
        <w:t xml:space="preserve">(HC-robust SE 2.72; p &lt; 0.001) — the classical cross-sectional pattern in which aid concentrates in countries with poor outcomes, and would look alarming if reported as the headline. Adding log GDP per capita absorbs approximately ninety percent of the bivariate coefficient (β = −1.20, not significant); each subsequent control leaves the ODA coefficient essentially at zero. The full specification 1e returns</w:t>
      </w:r>
      <w:r>
        <w:t xml:space="preserve"> </w:t>
      </w:r>
      <w:r>
        <w:rPr>
          <w:b/>
          <w:bCs/>
        </w:rPr>
        <w:t xml:space="preserve">β = −1.36</w:t>
      </w:r>
      <w:r>
        <w:t xml:space="preserve"> </w:t>
      </w:r>
      <w:r>
        <w:t xml:space="preserve">(SE 2.48; p = 0.584; N = 120; R² = 0.444). The dominant cross-sectional correlate of HLO in this specification is WGI Government Effectiveness, at β = +24.5 HLO points per one-unit WGI improvement (p &lt; 0.01) — roughly half a within-universe standard deviation per unit of governance quality. The substantive read of Model 1 is straightforward: the cross-sectional negative association between aid and learning is selection-driven, and once the structural confounders the literature has long identified as the binding cross-country correlates of learning are absorbed, aid intensity has no cross-sectional association with learning outcomes at all.</w:t>
      </w:r>
    </w:p>
    <w:tbl>
      <w:tblPr>
        <w:tblStyle w:val="Table"/>
        <w:tblW w:type="pct" w:w="5000"/>
        <w:tblLayout w:type="fixed"/>
        <w:tblLook w:firstRow="0" w:lastRow="0" w:firstColumn="0" w:lastColumn="0" w:noHBand="0" w:noVBand="0" w:val="0000"/>
      </w:tblPr>
      <w:tblGrid>
        <w:gridCol w:w="7920"/>
      </w:tblGrid>
      <w:tr>
        <w:tc>
          <w:tcPr/>
          <w:bookmarkStart w:id="25" w:name="tbl-model1"/>
          <w:p>
            <w:pPr>
              <w:jc w:val="center"/>
            </w:pPr>
            <w:pPr>
              <w:jc w:val="left"/>
              <w:spacing w:before="200"/>
              <w:pStyle w:val="ImageCaption"/>
            </w:pPr>
            <w:r>
              <w:t xml:space="preserve">Table 1: Table 1. Model 1 cross-sectional OLS — ODA coefficient absorption by structural controls. Dependent variable: HLO score (country-mean 2010–2020). Treatment: log(1 + country-mean OECD CRS education disbursement, constant USD). HC-robust SE in parentheses. Full 6-spec progression (1a–1f) in Appendix A.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990"/>
              <w:gridCol w:w="2145"/>
              <w:gridCol w:w="825"/>
              <w:gridCol w:w="1155"/>
              <w:gridCol w:w="1155"/>
              <w:gridCol w:w="825"/>
              <w:gridCol w:w="825"/>
            </w:tblGrid>
            <w:tr>
              <w:trPr>
                <w:tblHeader w:val="on"/>
              </w:trPr>
              <w:tc>
                <w:tcPr/>
                <w:p>
                  <w:pPr>
                    <w:pStyle w:val="Compact"/>
                    <w:jc w:val="center"/>
                  </w:pPr>
                  <w:r>
                    <w:t xml:space="preserve">Spec</w:t>
                  </w:r>
                </w:p>
              </w:tc>
              <w:tc>
                <w:tcPr/>
                <w:p>
                  <w:pPr>
                    <w:pStyle w:val="Compact"/>
                    <w:jc w:val="center"/>
                  </w:pPr>
                  <w:r>
                    <w:t xml:space="preserve">Description</w:t>
                  </w:r>
                </w:p>
              </w:tc>
              <w:tc>
                <w:tcPr/>
                <w:p>
                  <w:pPr>
                    <w:pStyle w:val="Compact"/>
                    <w:jc w:val="right"/>
                    <w:jc w:val="center"/>
                  </w:pPr>
                  <w:r>
                    <w:t xml:space="preserve">β</w:t>
                  </w:r>
                </w:p>
              </w:tc>
              <w:tc>
                <w:tcPr/>
                <w:p>
                  <w:pPr>
                    <w:pStyle w:val="Compact"/>
                    <w:jc w:val="right"/>
                    <w:jc w:val="center"/>
                  </w:pPr>
                  <w:r>
                    <w:t xml:space="preserve">SE</w:t>
                  </w:r>
                </w:p>
              </w:tc>
              <w:tc>
                <w:tcPr/>
                <w:p>
                  <w:pPr>
                    <w:pStyle w:val="Compact"/>
                    <w:jc w:val="right"/>
                    <w:jc w:val="center"/>
                  </w:pPr>
                  <w:r>
                    <w:t xml:space="preserve">p</w:t>
                  </w:r>
                </w:p>
              </w:tc>
              <w:tc>
                <w:tcPr/>
                <w:p>
                  <w:pPr>
                    <w:pStyle w:val="Compact"/>
                    <w:jc w:val="right"/>
                    <w:jc w:val="center"/>
                  </w:pPr>
                  <w:r>
                    <w:t xml:space="preserve">N</w:t>
                  </w:r>
                </w:p>
              </w:tc>
              <w:tc>
                <w:tcPr/>
                <w:p>
                  <w:pPr>
                    <w:pStyle w:val="Compact"/>
                    <w:jc w:val="right"/>
                    <w:jc w:val="center"/>
                  </w:pPr>
                  <w:r>
                    <w:t xml:space="preserve">R²</w:t>
                  </w:r>
                </w:p>
              </w:tc>
            </w:tr>
            <w:tr>
              <w:tc>
                <w:tcPr/>
                <w:p>
                  <w:pPr>
                    <w:pStyle w:val="Compact"/>
                    <w:jc w:val="center"/>
                  </w:pPr>
                  <w:r>
                    <w:t xml:space="preserve">1a</w:t>
                  </w:r>
                </w:p>
              </w:tc>
              <w:tc>
                <w:tcPr/>
                <w:p>
                  <w:pPr>
                    <w:pStyle w:val="Compact"/>
                    <w:jc w:val="center"/>
                  </w:pPr>
                  <w:r>
                    <w:t xml:space="preserve">Bivariate (log(1+CRS) only)</w:t>
                  </w:r>
                </w:p>
              </w:tc>
              <w:tc>
                <w:tcPr/>
                <w:p>
                  <w:pPr>
                    <w:pStyle w:val="Compact"/>
                    <w:jc w:val="right"/>
                    <w:jc w:val="center"/>
                  </w:pPr>
                  <w:r>
                    <w:t xml:space="preserve">−11.54***</w:t>
                  </w:r>
                </w:p>
              </w:tc>
              <w:tc>
                <w:tcPr/>
                <w:p>
                  <w:pPr>
                    <w:pStyle w:val="Compact"/>
                    <w:jc w:val="right"/>
                    <w:jc w:val="center"/>
                  </w:pPr>
                  <w:r>
                    <w:t xml:space="preserve">(2.72)</w:t>
                  </w:r>
                </w:p>
              </w:tc>
              <w:tc>
                <w:tcPr/>
                <w:p>
                  <w:pPr>
                    <w:pStyle w:val="Compact"/>
                    <w:jc w:val="right"/>
                    <w:jc w:val="center"/>
                  </w:pPr>
                  <w:r>
                    <w:t xml:space="preserve">&lt;0.001</w:t>
                  </w:r>
                </w:p>
              </w:tc>
              <w:tc>
                <w:tcPr/>
                <w:p>
                  <w:pPr>
                    <w:pStyle w:val="Compact"/>
                    <w:jc w:val="right"/>
                    <w:jc w:val="center"/>
                  </w:pPr>
                  <w:r>
                    <w:t xml:space="preserve">133</w:t>
                  </w:r>
                </w:p>
              </w:tc>
              <w:tc>
                <w:tcPr/>
                <w:p>
                  <w:pPr>
                    <w:pStyle w:val="Compact"/>
                    <w:jc w:val="right"/>
                    <w:jc w:val="center"/>
                  </w:pPr>
                  <w:r>
                    <w:t xml:space="preserve">0.154</w:t>
                  </w:r>
                </w:p>
              </w:tc>
            </w:tr>
            <w:tr>
              <w:tc>
                <w:tcPr/>
                <w:p>
                  <w:pPr>
                    <w:pStyle w:val="Compact"/>
                    <w:jc w:val="center"/>
                  </w:pPr>
                  <w:r>
                    <w:t xml:space="preserve">1b</w:t>
                  </w:r>
                </w:p>
              </w:tc>
              <w:tc>
                <w:tcPr/>
                <w:p>
                  <w:pPr>
                    <w:pStyle w:val="Compact"/>
                    <w:jc w:val="center"/>
                  </w:pPr>
                  <w:r>
                    <w:t xml:space="preserve">+ log(GDP per capita)</w:t>
                  </w:r>
                </w:p>
              </w:tc>
              <w:tc>
                <w:tcPr/>
                <w:p>
                  <w:pPr>
                    <w:pStyle w:val="Compact"/>
                    <w:jc w:val="right"/>
                    <w:jc w:val="center"/>
                  </w:pPr>
                  <w:r>
                    <w:t xml:space="preserve">−1.20</w:t>
                  </w:r>
                </w:p>
              </w:tc>
              <w:tc>
                <w:tcPr/>
                <w:p>
                  <w:pPr>
                    <w:pStyle w:val="Compact"/>
                    <w:jc w:val="right"/>
                    <w:jc w:val="center"/>
                  </w:pPr>
                  <w:r>
                    <w:t xml:space="preserve">(2.28)</w:t>
                  </w:r>
                </w:p>
              </w:tc>
              <w:tc>
                <w:tcPr/>
                <w:p>
                  <w:pPr>
                    <w:pStyle w:val="Compact"/>
                    <w:jc w:val="right"/>
                    <w:jc w:val="center"/>
                  </w:pPr>
                  <w:r>
                    <w:t xml:space="preserve">0.598</w:t>
                  </w:r>
                </w:p>
              </w:tc>
              <w:tc>
                <w:tcPr/>
                <w:p>
                  <w:pPr>
                    <w:pStyle w:val="Compact"/>
                    <w:jc w:val="right"/>
                    <w:jc w:val="center"/>
                  </w:pPr>
                  <w:r>
                    <w:t xml:space="preserve">133</w:t>
                  </w:r>
                </w:p>
              </w:tc>
              <w:tc>
                <w:tcPr/>
                <w:p>
                  <w:pPr>
                    <w:pStyle w:val="Compact"/>
                    <w:jc w:val="right"/>
                    <w:jc w:val="center"/>
                  </w:pPr>
                  <w:r>
                    <w:t xml:space="preserve">0.397</w:t>
                  </w:r>
                </w:p>
              </w:tc>
            </w:tr>
            <w:tr>
              <w:tc>
                <w:tcPr/>
                <w:p>
                  <w:pPr>
                    <w:pStyle w:val="Compact"/>
                    <w:jc w:val="center"/>
                  </w:pPr>
                  <w:r>
                    <w:t xml:space="preserve">1e</w:t>
                  </w:r>
                </w:p>
              </w:tc>
              <w:tc>
                <w:tcPr/>
                <w:p>
                  <w:pPr>
                    <w:pStyle w:val="Compact"/>
                    <w:jc w:val="center"/>
                  </w:pPr>
                  <w:r>
                    <w:t xml:space="preserve">+ WGI Government Effectiveness (full)</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right"/>
                    <w:jc w:val="center"/>
                  </w:pPr>
                  <w:r>
                    <w:t xml:space="preserve">120</w:t>
                  </w:r>
                </w:p>
              </w:tc>
              <w:tc>
                <w:tcPr/>
                <w:p>
                  <w:pPr>
                    <w:pStyle w:val="Compact"/>
                    <w:jc w:val="right"/>
                    <w:jc w:val="center"/>
                  </w:pPr>
                  <w:r>
                    <w:t xml:space="preserve">0.444</w:t>
                  </w:r>
                </w:p>
              </w:tc>
            </w:tr>
          </w:tbl>
          <w:bookmarkEnd w:id="25"/>
          <w:p/>
        </w:tc>
      </w:tr>
    </w:tbl>
    <w:p>
      <w:pPr>
        <w:pStyle w:val="BodyText"/>
      </w:pPr>
      <w:r>
        <w:t xml:space="preserve">Model 2 re-estimates the relationship as a within-country fixed-effects panel, exploiting variation across the four HCI-cycle observations per country. The specification is two-way (country plus year) FE with country-clustered SE, on a locked encoding stack: a strictly-past three-year MA of constant-USD disbursements per ADR-0005, the WGI PC1 governance composite per ADR-0009 (76.4 percent of variance, engaging the Langbein and Knack (2010) critique that the six WGI aggregates are not empirically separable), and the parallel AidData GCDF Chinese-aid covariate in spec 2f per ADR-0008. The headline specification 2e returns</w:t>
      </w:r>
      <w:r>
        <w:t xml:space="preserve"> </w:t>
      </w:r>
      <w:r>
        <w:rPr>
          <w:b/>
          <w:bCs/>
        </w:rPr>
        <w:t xml:space="preserve">β = +11.14</w:t>
      </w:r>
      <w:r>
        <w:t xml:space="preserve"> </w:t>
      </w:r>
      <w:r>
        <w:t xml:space="preserve">HLO points per unit log treatment (SE 5.52; p = 0.048; N = 143),</w:t>
      </w:r>
      <w:r>
        <w:t xml:space="preserve"> </w:t>
      </w:r>
      <w:r>
        <w:rPr>
          <w:b/>
          <w:bCs/>
        </w:rPr>
        <w:t xml:space="preserve">in the WB HCI HLOS specification on the 2010–2020 panel</w:t>
      </w:r>
      <w:r>
        <w:t xml:space="preserve"> </w:t>
      </w:r>
      <w:r>
        <w:t xml:space="preserve">— the long-form hedge that the §4.7 measure-sensitivity check does not survive sign-agreement. The cross-sectional</w:t>
      </w:r>
      <w:r>
        <w:t xml:space="preserve"> </w:t>
      </w:r>
      <w:r>
        <w:rPr>
          <w:b/>
          <w:bCs/>
        </w:rPr>
        <w:t xml:space="preserve">β = −1.36</w:t>
      </w:r>
      <w:r>
        <w:t xml:space="preserve"> </w:t>
      </w:r>
      <w:r>
        <w:t xml:space="preserve">(Model 1) versus within-country</w:t>
      </w:r>
      <w:r>
        <w:t xml:space="preserve"> </w:t>
      </w:r>
      <w:r>
        <w:rPr>
          <w:b/>
          <w:bCs/>
        </w:rPr>
        <w:t xml:space="preserve">β = +11.14</w:t>
      </w:r>
      <w:r>
        <w:t xml:space="preserve"> </w:t>
      </w:r>
      <w:r>
        <w:t xml:space="preserve">(Model 2) contrast is the manuscript’s central empirical claim: a sign-flip plus an approximately eight-fold magnitude shift under the within-country specification. The full 2a–2g spec progression (Appendix A) shows the within-country signal emerging at 2c when the time-varying pupil-teacher ratio is added (β = 9.72, p = 0.054), stabilising at 2e–2f (β = 11.14, p = 0.048; β = 11.26, p = 0.046 with parallel Chinese aid), and softening at 2g (β = 9.61, p = 0.082) when active-conflict status and COVID-19 closure days enter. The robustness across the controlled spec progression is the cleanest within-spec evidence for the headline.</w:t>
      </w:r>
    </w:p>
    <w:tbl>
      <w:tblPr>
        <w:tblStyle w:val="Table"/>
        <w:tblW w:type="pct" w:w="5000"/>
        <w:tblLayout w:type="fixed"/>
        <w:tblLook w:firstRow="0" w:lastRow="0" w:firstColumn="0" w:lastColumn="0" w:noHBand="0" w:noVBand="0" w:val="0000"/>
      </w:tblPr>
      <w:tblGrid>
        <w:gridCol w:w="7920"/>
      </w:tblGrid>
      <w:tr>
        <w:tc>
          <w:tcPr/>
          <w:bookmarkStart w:id="26" w:name="tbl-headline"/>
          <w:p>
            <w:pPr>
              <w:jc w:val="center"/>
            </w:pPr>
            <w:pPr>
              <w:jc w:val="left"/>
              <w:spacing w:before="200"/>
              <w:pStyle w:val="ImageCaption"/>
            </w:pPr>
            <w:r>
              <w:t xml:space="preserve">Table 2: Table 2. Model 1 vs Model 2 — the cross-sectional / within-country ODA-coefficient contrast on locked encoding. Treatment differs: Model 1 uses country-mean of annual CRS disbursement; Model 2 uses 3-yr strictly-past MA per ADR-0005 lock. WGI differs: Model 1 uses single Government Effectiveness; Model 2 uses WGI PC1 per ADR-0009 lock (76.4% variance). Two-way (country + year) FE in Model 2. Headline is the WB HCI HLOS specification on the 2010–2020 panel; sensitivity to alternative HLO measure reported in §4.7.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320"/>
              <w:gridCol w:w="942"/>
              <w:gridCol w:w="1320"/>
              <w:gridCol w:w="1320"/>
              <w:gridCol w:w="1320"/>
              <w:gridCol w:w="1697"/>
            </w:tblGrid>
            <w:tr>
              <w:trPr>
                <w:tblHeader w:val="on"/>
              </w:trPr>
              <w:tc>
                <w:tcPr/>
                <w:p>
                  <w:pPr>
                    <w:pStyle w:val="Compact"/>
                    <w:jc w:val="center"/>
                  </w:pPr>
                  <w:r>
                    <w:t xml:space="preserve">Model</w:t>
                  </w:r>
                </w:p>
              </w:tc>
              <w:tc>
                <w:tcPr/>
                <w:p>
                  <w:pPr>
                    <w:pStyle w:val="Compact"/>
                    <w:jc w:val="right"/>
                    <w:jc w:val="center"/>
                  </w:pPr>
                  <w:r>
                    <w:t xml:space="preserve">N</w:t>
                  </w:r>
                </w:p>
              </w:tc>
              <w:tc>
                <w:tcPr/>
                <w:p>
                  <w:pPr>
                    <w:pStyle w:val="Compact"/>
                    <w:jc w:val="right"/>
                    <w:jc w:val="center"/>
                  </w:pPr>
                  <w:r>
                    <w:t xml:space="preserve">β log(1+CRS)</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SE type</w:t>
                  </w:r>
                </w:p>
              </w:tc>
            </w:tr>
            <w:tr>
              <w:tc>
                <w:tcPr/>
                <w:p>
                  <w:pPr>
                    <w:pStyle w:val="Compact"/>
                    <w:jc w:val="center"/>
                  </w:pPr>
                  <w:r>
                    <w:t xml:space="preserve">Model 1 OLS, full spec 1e (country means)</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c>
                <w:tcPr/>
                <w:p>
                  <w:pPr>
                    <w:pStyle w:val="Compact"/>
                    <w:jc w:val="center"/>
                  </w:pPr>
                  <w:r>
                    <w:t xml:space="preserve">HC robust</w:t>
                  </w:r>
                </w:p>
              </w:tc>
            </w:tr>
            <w:tr>
              <w:tc>
                <w:tcPr/>
                <w:p>
                  <w:pPr>
                    <w:pStyle w:val="Compact"/>
                    <w:jc w:val="center"/>
                  </w:pPr>
                  <w:r>
                    <w:rPr>
                      <w:b/>
                      <w:bCs/>
                    </w:rPr>
                    <w:t xml:space="preserve">Model 2 v2 FE, locked encoding 2e (HEADLINE)</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c>
                <w:tcPr/>
                <w:p>
                  <w:pPr>
                    <w:pStyle w:val="Compact"/>
                    <w:jc w:val="center"/>
                  </w:pPr>
                  <w:r>
                    <w:t xml:space="preserve">Country-clustered</w:t>
                  </w:r>
                </w:p>
              </w:tc>
            </w:tr>
            <w:tr>
              <w:tc>
                <w:tcPr/>
                <w:p>
                  <w:pPr>
                    <w:pStyle w:val="Compact"/>
                    <w:jc w:val="center"/>
                  </w:pPr>
                  <w:r>
                    <w:t xml:space="preserve">Model 2 v2 FE, locked 2g (+conflict+COVID)</w:t>
                  </w:r>
                </w:p>
              </w:tc>
              <w:tc>
                <w:tcPr/>
                <w:p>
                  <w:pPr>
                    <w:pStyle w:val="Compact"/>
                    <w:jc w:val="right"/>
                    <w:jc w:val="center"/>
                  </w:pPr>
                  <w:r>
                    <w:t xml:space="preserve">143</w:t>
                  </w:r>
                </w:p>
              </w:tc>
              <w:tc>
                <w:tcPr/>
                <w:p>
                  <w:pPr>
                    <w:pStyle w:val="Compact"/>
                    <w:jc w:val="right"/>
                    <w:jc w:val="center"/>
                  </w:pPr>
                  <w:r>
                    <w:t xml:space="preserve">+9.61</w:t>
                  </w:r>
                </w:p>
              </w:tc>
              <w:tc>
                <w:tcPr/>
                <w:p>
                  <w:pPr>
                    <w:pStyle w:val="Compact"/>
                    <w:jc w:val="right"/>
                    <w:jc w:val="center"/>
                  </w:pPr>
                  <w:r>
                    <w:t xml:space="preserve">5.44</w:t>
                  </w:r>
                </w:p>
              </w:tc>
              <w:tc>
                <w:tcPr/>
                <w:p>
                  <w:pPr>
                    <w:pStyle w:val="Compact"/>
                    <w:jc w:val="right"/>
                    <w:jc w:val="center"/>
                  </w:pPr>
                  <w:r>
                    <w:t xml:space="preserve">0.082</w:t>
                  </w:r>
                </w:p>
              </w:tc>
              <w:tc>
                <w:tcPr/>
                <w:p>
                  <w:pPr>
                    <w:pStyle w:val="Compact"/>
                    <w:jc w:val="center"/>
                  </w:pPr>
                  <w:r>
                    <w:t xml:space="preserve">Country-clustered</w:t>
                  </w:r>
                </w:p>
              </w:tc>
            </w:tr>
          </w:tbl>
          <w:bookmarkEnd w:id="26"/>
          <w:p/>
        </w:tc>
      </w:tr>
    </w:tbl>
    <w:p>
      <w:pPr>
        <w:pStyle w:val="BodyText"/>
      </w:pPr>
      <w:r>
        <w:t xml:space="preserve">The substantive read of the sign-flip plus magnitude story is consequential but bounded. In the principal specification, a country that moves from roughly $10 million to $100 million in average annual education disbursement (a log change of approximately 2.3) would experience a within-country HLO score gain of about twenty-six points — roughly half a within-universe standard deviation. The reading is not causal in the structural-causal sense that within-country fixed effects absorb time-invariant country-quality confounding but do not rule out time-varying endogeneity. Donors may target countries with rising learning trajectories — the lagged-dependent-variable</w:t>
      </w:r>
      <w:r>
        <w:t xml:space="preserve"> </w:t>
      </w:r>
      <w:r>
        <w:t xml:space="preserve">“donor success-chasing”</w:t>
      </w:r>
      <w:r>
        <w:t xml:space="preserve"> </w:t>
      </w:r>
      <w:r>
        <w:t xml:space="preserve">channel — and the static-FE specification cannot distinguish between aid that produces learning and aid that follows it. This is the limit owned in §4.3 (Model 3, the multilevel transparency counterpart that recovers Model 1’s cross-sectional null and thereby validates the within-FE specification’s identification logic via Hausman) and re-engaged in the §6 limits paragraph. What within-FE</w:t>
      </w:r>
      <w:r>
        <w:t xml:space="preserve"> </w:t>
      </w:r>
      <w:r>
        <w:rPr>
          <w:i/>
          <w:iCs/>
        </w:rPr>
        <w:t xml:space="preserve">does</w:t>
      </w:r>
      <w:r>
        <w:t xml:space="preserve"> </w:t>
      </w:r>
      <w:r>
        <w:t xml:space="preserve">rule out is the standard cross-country-confounding story that Model 1 makes visible: in the principal specification, the conditional-on-observables association between within-country variation in ODA and within-country variation in HLO is positive and meaningful in magnitude, not absorbed by income, by the pupil-teacher ratio, by education expenditure shares, or by the broader WGI governance composite. Diagnostics on 2e (Appendix B) confirm no serial autocorrelation (Wooldridge AR(1) F = 0.44, p = 0.51), country-clustered SE adjustment addresses the heteroskedasticity that Breusch-Pagan flags, and the maximum VIF on the demeaned regressors is 1.62 — the within-country demeaning fully absorbs the cross-sectional WGI × log(GDP/cap) collinearity (r = 0.79) that binds Model 1.</w:t>
      </w:r>
    </w:p>
    <w:p>
      <w:pPr>
        <w:pStyle w:val="BodyText"/>
      </w:pPr>
      <w:r>
        <w:t xml:space="preserve">The qualifications on the headline are real. N = 143 is thin: thirty of the 133 universe countries drop via the combined listwise constraint on the four controls and singleton-FE absorption. HCI cycle sparsity (four observations concentrated in 2010, 2017, 2018, 2020) makes this a small-T panel; asymptotic standard errors may understate sampling uncertainty. Reverse causality is not ruled out by the static-FE specification, and the System GMM remedy committed in</w:t>
      </w:r>
      <w:r>
        <w:t xml:space="preserve"> </w:t>
      </w:r>
      <w:hyperlink r:id="rId27">
        <w:r>
          <w:rPr>
            <w:rStyle w:val="Hyperlink"/>
          </w:rPr>
          <w:t xml:space="preserve">ADR-0010</w:t>
        </w:r>
      </w:hyperlink>
      <w:r>
        <w:t xml:space="preserve"> </w:t>
      </w:r>
      <w:r>
        <w:t xml:space="preserve">is not feasible at T_eff ≤ 4 — the same small-T limit that forecloses the Dumitrescu-Hurlin Granger pre-test of §3.4. Most consequentially, the within-country positive coefficient does not survive the principal robustness check committed in</w:t>
      </w:r>
      <w:r>
        <w:t xml:space="preserve"> </w:t>
      </w:r>
      <w:hyperlink r:id="rId28">
        <w:r>
          <w:rPr>
            <w:rStyle w:val="Hyperlink"/>
          </w:rPr>
          <w:t xml:space="preserve">ADR-0004</w:t>
        </w:r>
      </w:hyperlink>
      <w:r>
        <w:t xml:space="preserve">: refitting Model 2 on the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HLO measure reverses the sign in both the full AAP window (β = −16.67; p = 0.009; N = 69) and the year ≥ 2010 overlap window (β = −3.94; p = 0.66; N = 36). The overlap-window null rules out sample-window composition as sole driver: the harmonized-measure choice itself materially shapes the within-country answer. §4.7 reports the AAP-2018 sensitivity in full alongside the UIS-augmented listwise check that the missingness ADR also pre-committed to; §5 frames the measure-fragility as itself a methodological contribution alongside the Model 4 drop (ADR-0007) and the MI retirement (</w:t>
      </w:r>
      <w:hyperlink r:id="rId29">
        <w:r>
          <w:rPr>
            <w:rStyle w:val="Hyperlink"/>
          </w:rPr>
          <w:t xml:space="preserve">ADR-0012</w:t>
        </w:r>
      </w:hyperlink>
      <w:r>
        <w:t xml:space="preserve">).</w:t>
      </w:r>
    </w:p>
    <w:bookmarkEnd w:id="30"/>
    <w:bookmarkStart w:id="32" w:name="X9a96f9765f44d8de6c7be98890e92f6c3ae91b4"/>
    <w:p>
      <w:pPr>
        <w:pStyle w:val="Heading2"/>
      </w:pPr>
      <w:r>
        <w:t xml:space="preserve">4.3 4.3 Model 3: Multilevel transparency counterpart</w:t>
      </w:r>
    </w:p>
    <w:p>
      <w:pPr>
        <w:pStyle w:val="FirstParagraph"/>
      </w:pPr>
      <w:r>
        <w:t xml:space="preserve">Model 3 re-estimates the ODA-on-HLO relationship as a two-level random-effects multilevel model — country random intercepts plus year fixed effects — on the same locked-encoding stack as Model 2 (the Session-03 strictly-past three-year moving-average treatment per ADR-0005 and the Session-05 WGI PC1 governance composite per ADR-0009). The specification is</w:t>
      </w:r>
      <w:r>
        <w:t xml:space="preserve"> </w:t>
      </w:r>
      <w:r>
        <w:rPr>
          <w:rStyle w:val="VerbatimChar"/>
        </w:rPr>
        <w:t xml:space="preserve">lmer(hlo ~ controls + year_FE + (1|iso3), REML=FALSE)</w:t>
      </w:r>
      <w:r>
        <w:t xml:space="preserve">, with the unrestricted maximum-likelihood estimator chosen to enable Hausman comparability against Model 2 FE. Spec 3a is the bivariate unconditional, with only the ODA treatment plus year fixed effects:</w:t>
      </w:r>
      <w:r>
        <w:t xml:space="preserve"> </w:t>
      </w:r>
      <w:r>
        <w:rPr>
          <w:b/>
          <w:bCs/>
        </w:rPr>
        <w:t xml:space="preserve">β = −5.19</w:t>
      </w:r>
      <w:r>
        <w:t xml:space="preserve"> </w:t>
      </w:r>
      <w:r>
        <w:t xml:space="preserve">per unit log treatment (SE 1.66; p = 0.002; N = 447). This is the well-known cross-country signal that aid concentrates in low-outcome countries, recovered here at the marginal-DV level rather than the country-mean level Model 1 uses. Adding log GDP per capita at 3b absorbs the significance (β = −1.80, not significant); by the full specification 3e — with the same control stack as Model 2 — the coefficient is β =</w:t>
      </w:r>
      <w:r>
        <w:t xml:space="preserve"> </w:t>
      </w:r>
      <w:r>
        <w:rPr>
          <w:b/>
          <w:bCs/>
        </w:rPr>
        <w:t xml:space="preserve">−1.32</w:t>
      </w:r>
      <w:r>
        <w:t xml:space="preserve"> </w:t>
      </w:r>
      <w:r>
        <w:t xml:space="preserve">(SE 2.68; p = 0.622; N = 173). Parallel to Model 1’s full-spec absorption.</w:t>
      </w:r>
    </w:p>
    <w:p>
      <w:pPr>
        <w:pStyle w:val="BodyText"/>
      </w:pPr>
      <w:r>
        <w:t xml:space="preserve">The Hausman test formally adjudicates the FE-vs-RE choice. The default</w:t>
      </w:r>
      <w:r>
        <w:t xml:space="preserve"> </w:t>
      </w:r>
      <w:r>
        <w:rPr>
          <w:rStyle w:val="VerbatimChar"/>
        </w:rPr>
        <w:t xml:space="preserve">plm::phtest</w:t>
      </w:r>
      <w:r>
        <w:t xml:space="preserve"> </w:t>
      </w:r>
      <w:r>
        <w:t xml:space="preserve">Swamy-Arora estimator requires T &gt; 3 time periods and is not estimable on the HCI-cycle panel (T_eff ≤ 4 with the strictly-past lag structure), so the manual univariate Cameron-Trivedi Hausman on β_ODA is the operative test: H = (β_FE − β_RE)² / (Var(β_FE) − Var(β_RE)) = (11.14 − (−1.32))² / (5.52² − 2.68²) =</w:t>
      </w:r>
      <w:r>
        <w:t xml:space="preserve"> </w:t>
      </w:r>
      <w:r>
        <w:rPr>
          <w:b/>
          <w:bCs/>
        </w:rPr>
        <w:t xml:space="preserve">6.67</w:t>
      </w:r>
      <w:r>
        <w:t xml:space="preserve">, df = 1,</w:t>
      </w:r>
      <w:r>
        <w:t xml:space="preserve"> </w:t>
      </w:r>
      <w:r>
        <w:rPr>
          <w:b/>
          <w:bCs/>
        </w:rPr>
        <w:t xml:space="preserve">p = 0.0098</w:t>
      </w:r>
      <w:r>
        <w:t xml:space="preserve">. The null that RE is consistent is rejected at the conventional one-percent threshold; β_RE differs from β_FE beyond what sampling variation can plausibly explain. The fixed-effects specification is identified. Country-level intraclass correlation, computed via</w:t>
      </w:r>
      <w:r>
        <w:t xml:space="preserve"> </w:t>
      </w:r>
      <w:r>
        <w:rPr>
          <w:rStyle w:val="VerbatimChar"/>
        </w:rPr>
        <w:t xml:space="preserve">performance::icc</w:t>
      </w:r>
      <w:r>
        <w:t xml:space="preserve"> </w:t>
      </w:r>
      <w:r>
        <w:t xml:space="preserve">on the unconditional null model, returns</w:t>
      </w:r>
      <w:r>
        <w:t xml:space="preserve"> </w:t>
      </w:r>
      <w:r>
        <w:rPr>
          <w:b/>
          <w:bCs/>
        </w:rPr>
        <w:t xml:space="preserve">ICC = 0.912</w:t>
      </w:r>
      <w:r>
        <w:t xml:space="preserve"> </w:t>
      </w:r>
      <w:r>
        <w:t xml:space="preserve">— ninety-one percent of HLO variance is between-country. After conditioning on the full Model 2 / Model 3 control stack the conditional ICC is still 0.793. With outcome variance located almost entirely between countries, any estimator that pools between-country information is mechanically dominated by country-quality confounding; within-FE is not a methodological preference but the only specification on this panel that can identify a within-country aid-to-learning signal at all.</w:t>
      </w:r>
    </w:p>
    <w:p>
      <w:pPr>
        <w:pStyle w:val="BodyText"/>
      </w:pPr>
      <w:r>
        <w:t xml:space="preserve">The three-way Models 1 / 2 / 3 contrast closes the identification-strategy chapter §4.2 opened. Model 1 OLS spec 1e (between-country only): β = −1.36, not significant. Model 2 v2 FE spec 2e (within-country only, the principal specification): β = +11.14, p = 0.048. Model 3 RE spec 3e (variance-component-weighted combination of between and within):</w:t>
      </w:r>
      <w:r>
        <w:t xml:space="preserve"> </w:t>
      </w:r>
      <w:r>
        <w:rPr>
          <w:b/>
          <w:bCs/>
        </w:rPr>
        <w:t xml:space="preserve">β = −1.32, not significant</w:t>
      </w:r>
      <w:r>
        <w:t xml:space="preserve"> </w:t>
      </w:r>
      <w:r>
        <w:t xml:space="preserve">— collapsed onto Model 1’s cross-sectional estimate rather than splitting the difference with Model 2. This is the empirical signature of an extreme ICC: when ninety-one percent of outcome variance is between-country, the RE variance-component weighting puts essentially all weight on the cross-sectional information, mechanically replicating the OLS result. The within-country signal Model 2 isolates is invisible to RE. Only the within-FE specification recovers the positive coefficient; the Hausman test, the country-level ICC, and the three-way contrast jointly establish that the §4.2 headline rests on the only identification strategy this panel’s variance structure supports.</w:t>
      </w:r>
    </w:p>
    <w:tbl>
      <w:tblPr>
        <w:tblStyle w:val="Table"/>
        <w:tblW w:type="pct" w:w="5000"/>
        <w:tblLayout w:type="fixed"/>
        <w:tblLook w:firstRow="0" w:lastRow="0" w:firstColumn="0" w:lastColumn="0" w:noHBand="0" w:noVBand="0" w:val="0000"/>
      </w:tblPr>
      <w:tblGrid>
        <w:gridCol w:w="7920"/>
      </w:tblGrid>
      <w:tr>
        <w:tc>
          <w:tcPr/>
          <w:bookmarkStart w:id="31" w:name="tbl-three-way"/>
          <w:p>
            <w:pPr>
              <w:jc w:val="center"/>
            </w:pPr>
            <w:pPr>
              <w:jc w:val="left"/>
              <w:spacing w:before="200"/>
              <w:pStyle w:val="ImageCaption"/>
            </w:pPr>
            <w:r>
              <w:t xml:space="preserve">Table 3: Table 3. Three-way Model 1 / Model 2 / Model 3 contrast on locked encoding, HLO outcome, primary window 2010–2020. Model 1 uses country means; Model 2 uses two-way (country + year) fixed effects, country-clustered SE; Model 3 uses country random intercepts plus year fixed effects, REML=FALSE. Manual univariate Cameron-Trivedi Hausman on β_ODA: H = 6.67, df = 1, p = 0.0098 (rejects RE). Country-level ICC = 91.2% unconditional; 79.3% conditional on the full control stack.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tbl>
            <w:tblPr>
              <w:tblStyle w:val="Table"/>
              <w:tblW w:type="pct" w:w="5000"/>
              <w:tblLayout w:type="fixed"/>
              <w:tblLook w:firstRow="1" w:lastRow="0" w:firstColumn="0" w:lastColumn="0" w:noHBand="0" w:noVBand="0" w:val="0020"/>
            </w:tblPr>
            <w:tblGrid>
              <w:gridCol w:w="1155"/>
              <w:gridCol w:w="2475"/>
              <w:gridCol w:w="825"/>
              <w:gridCol w:w="1155"/>
              <w:gridCol w:w="1155"/>
              <w:gridCol w:w="1155"/>
            </w:tblGrid>
            <w:tr>
              <w:trPr>
                <w:tblHeader w:val="on"/>
              </w:trPr>
              <w:tc>
                <w:tcPr/>
                <w:p>
                  <w:pPr>
                    <w:pStyle w:val="Compact"/>
                    <w:jc w:val="center"/>
                  </w:pPr>
                  <w:r>
                    <w:t xml:space="preserve">Model</w:t>
                  </w:r>
                </w:p>
              </w:tc>
              <w:tc>
                <w:tcPr/>
                <w:p>
                  <w:pPr>
                    <w:pStyle w:val="Compact"/>
                    <w:jc w:val="center"/>
                  </w:pPr>
                  <w:r>
                    <w:t xml:space="preserve">Identification</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r>
            <w:tr>
              <w:tc>
                <w:tcPr/>
                <w:p>
                  <w:pPr>
                    <w:pStyle w:val="Compact"/>
                    <w:jc w:val="center"/>
                  </w:pPr>
                  <w:r>
                    <w:t xml:space="preserve">Model 1 OLS, full spec 1e (cross-sectional)</w:t>
                  </w:r>
                </w:p>
              </w:tc>
              <w:tc>
                <w:tcPr/>
                <w:p>
                  <w:pPr>
                    <w:pStyle w:val="Compact"/>
                    <w:jc w:val="center"/>
                  </w:pPr>
                  <w:r>
                    <w:t xml:space="preserve">Between-country only</w:t>
                  </w:r>
                </w:p>
              </w:tc>
              <w:tc>
                <w:tcPr/>
                <w:p>
                  <w:pPr>
                    <w:pStyle w:val="Compact"/>
                    <w:jc w:val="right"/>
                    <w:jc w:val="center"/>
                  </w:pPr>
                  <w:r>
                    <w:t xml:space="preserve">120</w:t>
                  </w:r>
                </w:p>
              </w:tc>
              <w:tc>
                <w:tcPr/>
                <w:p>
                  <w:pPr>
                    <w:pStyle w:val="Compact"/>
                    <w:jc w:val="right"/>
                    <w:jc w:val="center"/>
                  </w:pPr>
                  <w:r>
                    <w:t xml:space="preserve">−1.36</w:t>
                  </w:r>
                </w:p>
              </w:tc>
              <w:tc>
                <w:tcPr/>
                <w:p>
                  <w:pPr>
                    <w:pStyle w:val="Compact"/>
                    <w:jc w:val="right"/>
                    <w:jc w:val="center"/>
                  </w:pPr>
                  <w:r>
                    <w:t xml:space="preserve">2.48</w:t>
                  </w:r>
                </w:p>
              </w:tc>
              <w:tc>
                <w:tcPr/>
                <w:p>
                  <w:pPr>
                    <w:pStyle w:val="Compact"/>
                    <w:jc w:val="right"/>
                    <w:jc w:val="center"/>
                  </w:pPr>
                  <w:r>
                    <w:t xml:space="preserve">0.584</w:t>
                  </w:r>
                </w:p>
              </w:tc>
            </w:tr>
            <w:tr>
              <w:tc>
                <w:tcPr/>
                <w:p>
                  <w:pPr>
                    <w:pStyle w:val="Compact"/>
                    <w:jc w:val="center"/>
                  </w:pPr>
                  <w:r>
                    <w:rPr>
                      <w:b/>
                      <w:bCs/>
                    </w:rPr>
                    <w:t xml:space="preserve">Model 2 v2 FE, full spec 2e (within-country, locked)</w:t>
                  </w:r>
                </w:p>
              </w:tc>
              <w:tc>
                <w:tcPr/>
                <w:p>
                  <w:pPr>
                    <w:pStyle w:val="Compact"/>
                    <w:jc w:val="center"/>
                  </w:pPr>
                  <w:r>
                    <w:rPr>
                      <w:b/>
                      <w:bCs/>
                    </w:rPr>
                    <w:t xml:space="preserve">Within-country only</w:t>
                  </w:r>
                </w:p>
              </w:tc>
              <w:tc>
                <w:tcPr/>
                <w:p>
                  <w:pPr>
                    <w:pStyle w:val="Compact"/>
                    <w:jc w:val="right"/>
                    <w:jc w:val="center"/>
                  </w:pPr>
                  <w:r>
                    <w:t xml:space="preserve">143</w:t>
                  </w:r>
                </w:p>
              </w:tc>
              <w:tc>
                <w:tcPr/>
                <w:p>
                  <w:pPr>
                    <w:pStyle w:val="Compact"/>
                    <w:jc w:val="right"/>
                    <w:jc w:val="center"/>
                  </w:pPr>
                  <w:r>
                    <w:rPr>
                      <w:b/>
                      <w:bCs/>
                    </w:rPr>
                    <w:t xml:space="preserve">+11.14</w:t>
                  </w:r>
                </w:p>
              </w:tc>
              <w:tc>
                <w:tcPr/>
                <w:p>
                  <w:pPr>
                    <w:pStyle w:val="Compact"/>
                    <w:jc w:val="right"/>
                    <w:jc w:val="center"/>
                  </w:pPr>
                  <w:r>
                    <w:t xml:space="preserve">5.52</w:t>
                  </w:r>
                </w:p>
              </w:tc>
              <w:tc>
                <w:tcPr/>
                <w:p>
                  <w:pPr>
                    <w:pStyle w:val="Compact"/>
                    <w:jc w:val="right"/>
                    <w:jc w:val="center"/>
                  </w:pPr>
                  <w:r>
                    <w:rPr>
                      <w:b/>
                      <w:bCs/>
                    </w:rPr>
                    <w:t xml:space="preserve">0.048</w:t>
                  </w:r>
                </w:p>
              </w:tc>
            </w:tr>
            <w:tr>
              <w:tc>
                <w:tcPr/>
                <w:p>
                  <w:pPr>
                    <w:pStyle w:val="Compact"/>
                    <w:jc w:val="center"/>
                  </w:pPr>
                  <w:r>
                    <w:t xml:space="preserve">Model 3 RE, full spec 3e (random intercepts + year FE, locked)</w:t>
                  </w:r>
                </w:p>
              </w:tc>
              <w:tc>
                <w:tcPr/>
                <w:p>
                  <w:pPr>
                    <w:pStyle w:val="Compact"/>
                    <w:jc w:val="center"/>
                  </w:pPr>
                  <w:r>
                    <w:t xml:space="preserve">Weighted between + within</w:t>
                  </w:r>
                </w:p>
              </w:tc>
              <w:tc>
                <w:tcPr/>
                <w:p>
                  <w:pPr>
                    <w:pStyle w:val="Compact"/>
                    <w:jc w:val="right"/>
                    <w:jc w:val="center"/>
                  </w:pPr>
                  <w:r>
                    <w:t xml:space="preserve">173</w:t>
                  </w:r>
                </w:p>
              </w:tc>
              <w:tc>
                <w:tcPr/>
                <w:p>
                  <w:pPr>
                    <w:pStyle w:val="Compact"/>
                    <w:jc w:val="right"/>
                    <w:jc w:val="center"/>
                  </w:pPr>
                  <w:r>
                    <w:t xml:space="preserve">−1.32</w:t>
                  </w:r>
                </w:p>
              </w:tc>
              <w:tc>
                <w:tcPr/>
                <w:p>
                  <w:pPr>
                    <w:pStyle w:val="Compact"/>
                    <w:jc w:val="right"/>
                    <w:jc w:val="center"/>
                  </w:pPr>
                  <w:r>
                    <w:t xml:space="preserve">2.68</w:t>
                  </w:r>
                </w:p>
              </w:tc>
              <w:tc>
                <w:tcPr/>
                <w:p>
                  <w:pPr>
                    <w:pStyle w:val="Compact"/>
                    <w:jc w:val="right"/>
                    <w:jc w:val="center"/>
                  </w:pPr>
                  <w:r>
                    <w:t xml:space="preserve">0.622</w:t>
                  </w:r>
                </w:p>
              </w:tc>
            </w:tr>
          </w:tbl>
          <w:bookmarkEnd w:id="31"/>
          <w:p/>
        </w:tc>
      </w:tr>
    </w:tbl>
    <w:bookmarkEnd w:id="32"/>
    <w:bookmarkStart w:id="34" w:name="X42efa73bff3f9c355e6fb27c521ef0edb757b40"/>
    <w:p>
      <w:pPr>
        <w:pStyle w:val="Heading2"/>
      </w:pPr>
      <w:r>
        <w:t xml:space="preserve">4.4 4.4 Model 4 — Dropped: a pre-committed protocol failure</w:t>
      </w:r>
    </w:p>
    <w:p>
      <w:pPr>
        <w:pStyle w:val="FirstParagraph"/>
      </w:pPr>
      <w:r>
        <w:t xml:space="preserve">The brief’s original Model 4 specification proposed an ANOVA-style decomposition of within-country variance in HLO into components attributable to four intervention typology classes — infrastructure, teacher training, curriculum and materials, and budget support. ADR-0007 locked three pre-specified inter-method agreement criteria before any classification ran on the OECD CRS extract: raw agreement on a joint-classified subsample of at least 85 percent, Cohen’s κ of at least 0.70, and a rule-based unclassified rate below 30 percent. The classification pipeline — a 49-pattern keyword rule cascade across the four buckets, cross-validated against a purpose-code-to-bucket mapping — was run on the full 537,586-project education-sector CRS extract on 2026-05-19.</w:t>
      </w:r>
      <w:r>
        <w:t xml:space="preserve"> </w:t>
      </w:r>
      <w:r>
        <w:rPr>
          <w:b/>
          <w:bCs/>
        </w:rPr>
        <w:t xml:space="preserve">All three criteria failed.</w:t>
      </w:r>
      <w:r>
        <w:t xml:space="preserve"> </w:t>
      </w:r>
      <w:r>
        <w:t xml:space="preserve">On the joint subsample of 130,737 projects: raw agreement was</w:t>
      </w:r>
      <w:r>
        <w:t xml:space="preserve"> </w:t>
      </w:r>
      <w:r>
        <w:rPr>
          <w:b/>
          <w:bCs/>
        </w:rPr>
        <w:t xml:space="preserve">39.04 percent</w:t>
      </w:r>
      <w:r>
        <w:t xml:space="preserve">, Cohen’s κ was</w:t>
      </w:r>
      <w:r>
        <w:t xml:space="preserve"> </w:t>
      </w:r>
      <w:r>
        <w:rPr>
          <w:b/>
          <w:bCs/>
        </w:rPr>
        <w:t xml:space="preserve">0.19</w:t>
      </w:r>
      <w:r>
        <w:t xml:space="preserve">, and the rule-based classifier left</w:t>
      </w:r>
      <w:r>
        <w:t xml:space="preserve"> </w:t>
      </w:r>
      <w:r>
        <w:rPr>
          <w:b/>
          <w:bCs/>
        </w:rPr>
        <w:t xml:space="preserve">75.68 percent</w:t>
      </w:r>
      <w:r>
        <w:t xml:space="preserve"> </w:t>
      </w:r>
      <w:r>
        <w:t xml:space="preserve">of projects unclassified. The failure pattern was diagnostic, not noisy: the rule cascade left three-quarters of education-sector projects unmatched because the lexical breadth of CRS project descriptions exceeds what a regex cascade can cover without iterative tuning; the purpose-code mapping placed 82.7 percent of projects in</w:t>
      </w:r>
      <w:r>
        <w:t xml:space="preserve"> </w:t>
      </w:r>
      <w:r>
        <w:rPr>
          <w:rStyle w:val="VerbatimChar"/>
        </w:rPr>
        <w:t xml:space="preserve">budget_support</w:t>
      </w:r>
      <w:r>
        <w:t xml:space="preserve"> </w:t>
      </w:r>
      <w:r>
        <w:t xml:space="preserve">while the rule-based classifier placed 4.2 percent there. The two methods were measuring different constructs, not the same construct with measurement noise.</w:t>
      </w:r>
    </w:p>
    <w:tbl>
      <w:tblPr>
        <w:tblStyle w:val="Table"/>
        <w:tblW w:type="pct" w:w="5000"/>
        <w:tblLayout w:type="fixed"/>
        <w:tblLook w:firstRow="0" w:lastRow="0" w:firstColumn="0" w:lastColumn="0" w:noHBand="0" w:noVBand="0" w:val="0000"/>
      </w:tblPr>
      <w:tblGrid>
        <w:gridCol w:w="7920"/>
      </w:tblGrid>
      <w:tr>
        <w:tc>
          <w:tcPr/>
          <w:bookmarkStart w:id="33" w:name="tbl-typology"/>
          <w:p>
            <w:pPr>
              <w:jc w:val="center"/>
            </w:pPr>
            <w:pPr>
              <w:jc w:val="left"/>
              <w:spacing w:before="200"/>
              <w:pStyle w:val="ImageCaption"/>
            </w:pPr>
            <w:r>
              <w:t xml:space="preserve">Table 4: Table 4.4. Pre-committed (ADR-0007) inter-method-agreement criteria for the four-bucket OECD CRS intervention typology, against observed agreement on the 537,586-project education-sector extract. All three criteria fail; the typology classifier was retired and Model 4 dropped per the pre-committed protocol.</w:t>
            </w:r>
          </w:p>
          <w:tbl>
            <w:tblPr>
              <w:tblStyle w:val="Table"/>
              <w:tblW w:type="pct" w:w="5000"/>
              <w:tblLayout w:type="fixed"/>
              <w:tblLook w:firstRow="1" w:lastRow="0" w:firstColumn="0" w:lastColumn="0" w:noHBand="0" w:noVBand="0" w:val="0020"/>
            </w:tblPr>
            <w:tblGrid>
              <w:gridCol w:w="2178"/>
              <w:gridCol w:w="1980"/>
              <w:gridCol w:w="1980"/>
              <w:gridCol w:w="1782"/>
            </w:tblGrid>
            <w:tr>
              <w:trPr>
                <w:tblHeader w:val="on"/>
              </w:trPr>
              <w:tc>
                <w:tcPr/>
                <w:p>
                  <w:pPr>
                    <w:pStyle w:val="Compact"/>
                    <w:jc w:val="center"/>
                  </w:pPr>
                  <w:r>
                    <w:t xml:space="preserve">Criterion</w:t>
                  </w:r>
                </w:p>
              </w:tc>
              <w:tc>
                <w:tcPr/>
                <w:p>
                  <w:pPr>
                    <w:pStyle w:val="Compact"/>
                    <w:jc w:val="right"/>
                    <w:jc w:val="center"/>
                  </w:pPr>
                  <w:r>
                    <w:t xml:space="preserve">Observed</w:t>
                  </w:r>
                </w:p>
              </w:tc>
              <w:tc>
                <w:tcPr/>
                <w:p>
                  <w:pPr>
                    <w:pStyle w:val="Compact"/>
                    <w:jc w:val="right"/>
                    <w:jc w:val="center"/>
                  </w:pPr>
                  <w:r>
                    <w:t xml:space="preserve">Required</w:t>
                  </w:r>
                </w:p>
              </w:tc>
              <w:tc>
                <w:tcPr/>
                <w:p>
                  <w:pPr>
                    <w:pStyle w:val="Compact"/>
                    <w:jc w:val="center"/>
                  </w:pPr>
                  <w:r>
                    <w:t xml:space="preserve">Verdict</w:t>
                  </w:r>
                </w:p>
              </w:tc>
            </w:tr>
            <w:tr>
              <w:tc>
                <w:tcPr/>
                <w:p>
                  <w:pPr>
                    <w:pStyle w:val="Compact"/>
                    <w:jc w:val="center"/>
                  </w:pPr>
                  <w:r>
                    <w:t xml:space="preserve">Raw inter-method agreement (joint subsample N = 130,737)</w:t>
                  </w:r>
                </w:p>
              </w:tc>
              <w:tc>
                <w:tcPr/>
                <w:p>
                  <w:pPr>
                    <w:pStyle w:val="Compact"/>
                    <w:jc w:val="right"/>
                    <w:jc w:val="center"/>
                  </w:pPr>
                  <w:r>
                    <w:t xml:space="preserve">39.04%</w:t>
                  </w:r>
                </w:p>
              </w:tc>
              <w:tc>
                <w:tcPr/>
                <w:p>
                  <w:pPr>
                    <w:pStyle w:val="Compact"/>
                    <w:jc w:val="right"/>
                    <w:jc w:val="center"/>
                  </w:pPr>
                  <w:r>
                    <w:t xml:space="preserve">≥ 85%</w:t>
                  </w:r>
                </w:p>
              </w:tc>
              <w:tc>
                <w:tcPr/>
                <w:p>
                  <w:pPr>
                    <w:pStyle w:val="Compact"/>
                    <w:jc w:val="center"/>
                  </w:pPr>
                  <w:r>
                    <w:t xml:space="preserve">FAIL</w:t>
                  </w:r>
                </w:p>
              </w:tc>
            </w:tr>
            <w:tr>
              <w:tc>
                <w:tcPr/>
                <w:p>
                  <w:pPr>
                    <w:pStyle w:val="Compact"/>
                    <w:jc w:val="center"/>
                  </w:pPr>
                  <w:r>
                    <w:t xml:space="preserve">Cohen’s κ (rule-based vs purpose-code bucket)</w:t>
                  </w:r>
                </w:p>
              </w:tc>
              <w:tc>
                <w:tcPr/>
                <w:p>
                  <w:pPr>
                    <w:pStyle w:val="Compact"/>
                    <w:jc w:val="right"/>
                    <w:jc w:val="center"/>
                  </w:pPr>
                  <w:r>
                    <w:t xml:space="preserve">0.19</w:t>
                  </w:r>
                </w:p>
              </w:tc>
              <w:tc>
                <w:tcPr/>
                <w:p>
                  <w:pPr>
                    <w:pStyle w:val="Compact"/>
                    <w:jc w:val="right"/>
                    <w:jc w:val="center"/>
                  </w:pPr>
                  <w:r>
                    <w:t xml:space="preserve">≥ 0.70</w:t>
                  </w:r>
                </w:p>
              </w:tc>
              <w:tc>
                <w:tcPr/>
                <w:p>
                  <w:pPr>
                    <w:pStyle w:val="Compact"/>
                    <w:jc w:val="center"/>
                  </w:pPr>
                  <w:r>
                    <w:t xml:space="preserve">FAIL</w:t>
                  </w:r>
                </w:p>
              </w:tc>
            </w:tr>
            <w:tr>
              <w:tc>
                <w:tcPr/>
                <w:p>
                  <w:pPr>
                    <w:pStyle w:val="Compact"/>
                    <w:jc w:val="center"/>
                  </w:pPr>
                  <w:r>
                    <w:t xml:space="preserve">Rule-based unclassified</w:t>
                  </w:r>
                </w:p>
              </w:tc>
              <w:tc>
                <w:tcPr/>
                <w:p>
                  <w:pPr>
                    <w:pStyle w:val="Compact"/>
                    <w:jc w:val="right"/>
                    <w:jc w:val="center"/>
                  </w:pPr>
                  <w:r>
                    <w:t xml:space="preserve">75.68%</w:t>
                  </w:r>
                </w:p>
              </w:tc>
              <w:tc>
                <w:tcPr/>
                <w:p>
                  <w:pPr>
                    <w:pStyle w:val="Compact"/>
                    <w:jc w:val="right"/>
                    <w:jc w:val="center"/>
                  </w:pPr>
                  <w:r>
                    <w:t xml:space="preserve">&lt; 30%</w:t>
                  </w:r>
                </w:p>
              </w:tc>
              <w:tc>
                <w:tcPr/>
                <w:p>
                  <w:pPr>
                    <w:pStyle w:val="Compact"/>
                    <w:jc w:val="center"/>
                  </w:pPr>
                  <w:r>
                    <w:t xml:space="preserve">FAIL</w:t>
                  </w:r>
                </w:p>
              </w:tc>
            </w:tr>
          </w:tbl>
          <w:bookmarkEnd w:id="33"/>
          <w:p/>
        </w:tc>
      </w:tr>
    </w:tbl>
    <w:p>
      <w:pPr>
        <w:pStyle w:val="BodyText"/>
      </w:pPr>
      <w:r>
        <w:t xml:space="preserve">The pre-committed escalation path under ADR-0007 was Option 3: hand-code approximately one thousand stratified projects and train a TF-IDF plus logistic-regression production classifier. The researcher-grade decision (2026-05-23) was to drop Model 4 rather than escalate. Iterating the rule cascade, replacing the comparator, or investing two weeks of hand-coding would have either burned resources on an extractability axis that ADR-0007 was written precisely to test, or broken the no-post-hoc-tuning discipline the ADR’s pre-commitment criteria were written to enforce. A pre-committed protocol catching an unfeasible design before it ran is the gate working as designed, not a methodological setback. The substantive implication, picked up in §5 and §6, is methodological. The development-aid effectiveness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the input-intensive versus pedagogically-targeted distinction as load-bearing for policy. The finding here is that this distinction is</w:t>
      </w:r>
      <w:r>
        <w:t xml:space="preserve"> </w:t>
      </w:r>
      <w:r>
        <w:rPr>
          <w:i/>
          <w:iCs/>
        </w:rPr>
        <w:t xml:space="preserve">not extractable</w:t>
      </w:r>
      <w:r>
        <w:t xml:space="preserve"> </w:t>
      </w:r>
      <w:r>
        <w:t xml:space="preserve">from OECD CRS metadata at country-year resolution without substantial hand-coding investment — an empirical limit on what cross-country aid-effectiveness panel work can credibly say about composition, and a measurement constraint that helps explain why the existing panel literature relies on aid-amount rather than aid-composition regressions. Model 5, originally specified to use Model-4 effect sizes for a $1B counterfactual, was correspondingly redesigned per ADR-0011 to operate on the identified aggregate-β only; §4.5 reports the redesigned scenarios.</w:t>
      </w:r>
    </w:p>
    <w:bookmarkEnd w:id="34"/>
    <w:bookmarkStart w:id="40" w:name="X0e7fef936fc15342f922de2b655ee331594f6b2"/>
    <w:p>
      <w:pPr>
        <w:pStyle w:val="Heading2"/>
      </w:pPr>
      <w:r>
        <w:t xml:space="preserve">4.5 4.5 Model 5: Counterfactual on the identified aggregate β</w:t>
      </w:r>
    </w:p>
    <w:p>
      <w:pPr>
        <w:pStyle w:val="FirstParagraph"/>
      </w:pPr>
      <w:r>
        <w:t xml:space="preserve">The brief’s original Model 5 specification — redirect $1B of annual education aid from input-based to outcome-based interventions and quantify the implied learning gain via Model-4 effect sizes — was made unestimable by §4.4. ADR-0011 locked a redesigned counterfactual on what the data does identify: marginal within-country percentage shocks applied to Model 2’s locked β (in the principal specification), at three within-support shock magnitudes (+10 percent, +50 percent, +100 percent), translated to LAYS via the World Bank identity ΔLAYS = EYS × ΔHLO / 625 holding EYS constant. The baseline is the median country in the Model 2 estimation sample at</w:t>
      </w:r>
      <w:r>
        <w:t xml:space="preserve"> </w:t>
      </w:r>
      <w:r>
        <w:rPr>
          <w:b/>
          <w:bCs/>
        </w:rPr>
        <w:t xml:space="preserve">$59.7 million</w:t>
      </w:r>
      <w:r>
        <w:t xml:space="preserve"> </w:t>
      </w:r>
      <w:r>
        <w:t xml:space="preserve">in annual CRS education disbursement (constant USD; Q1 = $23.7M; Q3 = $123.7M). The counterfactual is honest about staying within the identified within-country log-CRS support: a literal $1B injection to a single country would push that country roughly 18× above its baseline — outside the within-country variation Model 2 was identified on — and we do not project there. The aggregate-only operationalization reflects the §4.4 typology drop; the brief’s compositional question survives as a §5 / §6 Discussion point rather than a Model 5 estimand.</w:t>
      </w:r>
    </w:p>
    <w:p>
      <w:pPr>
        <w:pStyle w:val="BodyText"/>
      </w:pPr>
      <w:r>
        <w:t xml:space="preserve">At the median-country baseline, the three within-support shocks produce the following expected-case learning effects, computed at β = 11.14 with worst-case and best-case columns using the lower and upper 95 percent CI bounds of the headline β ([0.32, 21.95]). A</w:t>
      </w:r>
      <w:r>
        <w:t xml:space="preserve"> </w:t>
      </w:r>
      <w:r>
        <w:rPr>
          <w:b/>
          <w:bCs/>
        </w:rPr>
        <w:t xml:space="preserve">+10 percent shock</w:t>
      </w:r>
      <w:r>
        <w:t xml:space="preserve"> </w:t>
      </w:r>
      <w:r>
        <w:t xml:space="preserve">(additional $5.97M; Δlog CRS = 0.094) yields</w:t>
      </w:r>
      <w:r>
        <w:t xml:space="preserve"> </w:t>
      </w:r>
      <w:r>
        <w:rPr>
          <w:b/>
          <w:bCs/>
        </w:rPr>
        <w:t xml:space="preserve">+1.04 HLO points</w:t>
      </w:r>
      <w:r>
        <w:t xml:space="preserve"> </w:t>
      </w:r>
      <w:r>
        <w:t xml:space="preserve">at the expected case (range 0.03 to 2.06), translating via the implied-EYS median (11.57 years) to</w:t>
      </w:r>
      <w:r>
        <w:t xml:space="preserve"> </w:t>
      </w:r>
      <w:r>
        <w:rPr>
          <w:b/>
          <w:bCs/>
        </w:rPr>
        <w:t xml:space="preserve">+0.019 LAYS years</w:t>
      </w:r>
      <w:r>
        <w:t xml:space="preserve"> </w:t>
      </w:r>
      <w:r>
        <w:t xml:space="preserve">(range 0.001 to 0.038). A</w:t>
      </w:r>
      <w:r>
        <w:t xml:space="preserve"> </w:t>
      </w:r>
      <w:r>
        <w:rPr>
          <w:b/>
          <w:bCs/>
        </w:rPr>
        <w:t xml:space="preserve">+50 percent shock</w:t>
      </w:r>
      <w:r>
        <w:t xml:space="preserve"> </w:t>
      </w:r>
      <w:r>
        <w:t xml:space="preserve">yields</w:t>
      </w:r>
      <w:r>
        <w:t xml:space="preserve"> </w:t>
      </w:r>
      <w:r>
        <w:rPr>
          <w:b/>
          <w:bCs/>
        </w:rPr>
        <w:t xml:space="preserve">+4.45 HLO points / +0.082 LAYS years</w:t>
      </w:r>
      <w:r>
        <w:t xml:space="preserve"> </w:t>
      </w:r>
      <w:r>
        <w:t xml:space="preserve">at the expected case (range +0.13 to +8.78 HLO; +0.002 to +0.163 LAYS). A</w:t>
      </w:r>
      <w:r>
        <w:t xml:space="preserve"> </w:t>
      </w:r>
      <w:r>
        <w:rPr>
          <w:b/>
          <w:bCs/>
        </w:rPr>
        <w:t xml:space="preserve">+100 percent shock</w:t>
      </w:r>
      <w:r>
        <w:t xml:space="preserve"> </w:t>
      </w:r>
      <w:r>
        <w:t xml:space="preserve">yields</w:t>
      </w:r>
      <w:r>
        <w:t xml:space="preserve"> </w:t>
      </w:r>
      <w:r>
        <w:rPr>
          <w:b/>
          <w:bCs/>
        </w:rPr>
        <w:t xml:space="preserve">+7.63 HLO points / +0.141 LAYS years</w:t>
      </w:r>
      <w:r>
        <w:t xml:space="preserve"> </w:t>
      </w:r>
      <w:r>
        <w:t xml:space="preserve">(range +0.22 to +15.03 HLO; +0.004 to +0.278 LAYS). Quartile-baseline sensitivity at Q1 ($23.7M) and Q3 ($123.7M) returns essentially identical marginal effects in percentage-shock space — a structural property of the</w:t>
      </w:r>
      <w:r>
        <w:t xml:space="preserve"> </w:t>
      </w:r>
      <w:r>
        <w:rPr>
          <w:rStyle w:val="VerbatimChar"/>
        </w:rPr>
        <w:t xml:space="preserve">log1p</w:t>
      </w:r>
      <w:r>
        <w:t xml:space="preserve"> </w:t>
      </w:r>
      <w:r>
        <w:t xml:space="preserve">transformation, not a substantive finding. The brief-bridge anchors the magnitude to a policy-recognizable number: a $1B annual increase distributed pro-rata across the 173 ODA-recipient countries in the brief-bridge calculation (the broader Models 1–3 universe rather than Model 2’s FE-identifiable subset) is $5.78M per country, which is 9.7 percent of the median baseline and 5.49 percent of the sample’s total $18.22B annual education aid.</w:t>
      </w:r>
      <w:r>
        <w:t xml:space="preserve"> </w:t>
      </w:r>
      <w:r>
        <w:rPr>
          <w:b/>
          <w:bCs/>
        </w:rPr>
        <w:t xml:space="preserve">The brief’s $1B headline therefore lands in the low-shock band — approximately +1 HLO point and ~0.02 LAYS years at the median country, in the principal specification</w:t>
      </w:r>
      <w:r>
        <w:t xml:space="preserve"> </w:t>
      </w:r>
      <w:r>
        <w:t xml:space="preserve">— not in the high-shock band the original framing might have invited the reader to expect. The pro-rata read is the only honest projection on the identified support.</w:t>
      </w:r>
    </w:p>
    <w:tbl>
      <w:tblPr>
        <w:tblStyle w:val="Table"/>
        <w:tblW w:type="pct" w:w="5000"/>
        <w:tblLayout w:type="fixed"/>
        <w:tblLook w:firstRow="0" w:lastRow="0" w:firstColumn="0" w:lastColumn="0" w:noHBand="0" w:noVBand="0" w:val="0000"/>
      </w:tblPr>
      <w:tblGrid>
        <w:gridCol w:w="7920"/>
      </w:tblGrid>
      <w:tr>
        <w:tc>
          <w:tcPr/>
          <w:bookmarkStart w:id="35" w:name="tbl-counterfactual"/>
          <w:p>
            <w:pPr>
              <w:jc w:val="center"/>
            </w:pPr>
            <w:pPr>
              <w:jc w:val="left"/>
              <w:spacing w:before="200"/>
              <w:pStyle w:val="ImageCaption"/>
            </w:pPr>
            <w:r>
              <w:t xml:space="preserve">Table 5: Table 4. Model 5 within-support counterfactual scenarios. Baseline: median country in Model 2 estimation sample = $59.7M annual CRS education disbursement (constant USD). Δ HLO computed as β × Δlog(1+CRS). Δ LAYS via WB identity ΔLAYS = EYS × ΔHLO / 625 at EYS p50 = 11.57 years; full p10/p50/p90 EYS fan in Appendix A. Worst/Best columns use 95% CI bounds of headline β = [0.32, 21.95]. Locked per ADR-0011.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Shock</w:t>
                  </w:r>
                </w:p>
              </w:tc>
              <w:tc>
                <w:tcPr/>
                <w:p>
                  <w:pPr>
                    <w:pStyle w:val="Compact"/>
                    <w:jc w:val="center"/>
                  </w:pPr>
                  <w:r>
                    <w:t xml:space="preserve">Scenario</w:t>
                  </w:r>
                </w:p>
              </w:tc>
              <w:tc>
                <w:tcPr/>
                <w:p>
                  <w:pPr>
                    <w:pStyle w:val="Compact"/>
                    <w:jc w:val="right"/>
                    <w:jc w:val="center"/>
                  </w:pPr>
                  <w:r>
                    <w:t xml:space="preserve">Δ HLO points</w:t>
                  </w:r>
                </w:p>
              </w:tc>
              <w:tc>
                <w:tcPr/>
                <w:p>
                  <w:pPr>
                    <w:pStyle w:val="Compact"/>
                    <w:jc w:val="right"/>
                    <w:jc w:val="center"/>
                  </w:pPr>
                  <w:r>
                    <w:t xml:space="preserve">Δ LAYS (yr)</w:t>
                  </w:r>
                </w:p>
              </w:tc>
            </w:tr>
            <w:tr>
              <w:tc>
                <w:tcPr/>
                <w:p>
                  <w:pPr>
                    <w:pStyle w:val="Compact"/>
                    <w:jc w:val="center"/>
                  </w:pPr>
                  <w:r>
                    <w:t xml:space="preserve">+10% (low-shock)</w:t>
                  </w:r>
                </w:p>
              </w:tc>
              <w:tc>
                <w:tcPr/>
                <w:p>
                  <w:pPr>
                    <w:pStyle w:val="Compact"/>
                    <w:jc w:val="center"/>
                  </w:pPr>
                  <w:r>
                    <w:t xml:space="preserve">Worst (β=0.32)</w:t>
                  </w:r>
                </w:p>
              </w:tc>
              <w:tc>
                <w:tcPr/>
                <w:p>
                  <w:pPr>
                    <w:pStyle w:val="Compact"/>
                    <w:jc w:val="right"/>
                    <w:jc w:val="center"/>
                  </w:pPr>
                  <w:r>
                    <w:t xml:space="preserve">+0.03</w:t>
                  </w:r>
                </w:p>
              </w:tc>
              <w:tc>
                <w:tcPr/>
                <w:p>
                  <w:pPr>
                    <w:pStyle w:val="Compact"/>
                    <w:jc w:val="right"/>
                    <w:jc w:val="center"/>
                  </w:pPr>
                  <w:r>
                    <w:t xml:space="preserve">+0.0006</w:t>
                  </w:r>
                </w:p>
              </w:tc>
            </w:tr>
            <w:tr>
              <w:tc>
                <w:tcPr/>
                <w:p>
                  <w:pPr>
                    <w:pStyle w:val="Compact"/>
                    <w:jc w:val="center"/>
                  </w:pPr>
                  <w:r>
                    <w:t xml:space="preserve">+10% (low-shock)</w:t>
                  </w:r>
                </w:p>
              </w:tc>
              <w:tc>
                <w:tcPr/>
                <w:p>
                  <w:pPr>
                    <w:pStyle w:val="Compact"/>
                    <w:jc w:val="center"/>
                  </w:pPr>
                  <w:r>
                    <w:rPr>
                      <w:b/>
                      <w:bCs/>
                    </w:rPr>
                    <w:t xml:space="preserve">Expected (β=11.14)</w:t>
                  </w:r>
                </w:p>
              </w:tc>
              <w:tc>
                <w:tcPr/>
                <w:p>
                  <w:pPr>
                    <w:pStyle w:val="Compact"/>
                    <w:jc w:val="right"/>
                    <w:jc w:val="center"/>
                  </w:pPr>
                  <w:r>
                    <w:rPr>
                      <w:b/>
                      <w:bCs/>
                    </w:rPr>
                    <w:t xml:space="preserve">+1.04</w:t>
                  </w:r>
                </w:p>
              </w:tc>
              <w:tc>
                <w:tcPr/>
                <w:p>
                  <w:pPr>
                    <w:pStyle w:val="Compact"/>
                    <w:jc w:val="right"/>
                    <w:jc w:val="center"/>
                  </w:pPr>
                  <w:r>
                    <w:rPr>
                      <w:b/>
                      <w:bCs/>
                    </w:rPr>
                    <w:t xml:space="preserve">+0.0193</w:t>
                  </w:r>
                </w:p>
              </w:tc>
            </w:tr>
            <w:tr>
              <w:tc>
                <w:tcPr/>
                <w:p>
                  <w:pPr>
                    <w:pStyle w:val="Compact"/>
                    <w:jc w:val="center"/>
                  </w:pPr>
                  <w:r>
                    <w:t xml:space="preserve">+10% (low-shock)</w:t>
                  </w:r>
                </w:p>
              </w:tc>
              <w:tc>
                <w:tcPr/>
                <w:p>
                  <w:pPr>
                    <w:pStyle w:val="Compact"/>
                    <w:jc w:val="center"/>
                  </w:pPr>
                  <w:r>
                    <w:t xml:space="preserve">Best (β=21.95)</w:t>
                  </w:r>
                </w:p>
              </w:tc>
              <w:tc>
                <w:tcPr/>
                <w:p>
                  <w:pPr>
                    <w:pStyle w:val="Compact"/>
                    <w:jc w:val="right"/>
                    <w:jc w:val="center"/>
                  </w:pPr>
                  <w:r>
                    <w:t xml:space="preserve">+2.06</w:t>
                  </w:r>
                </w:p>
              </w:tc>
              <w:tc>
                <w:tcPr/>
                <w:p>
                  <w:pPr>
                    <w:pStyle w:val="Compact"/>
                    <w:jc w:val="right"/>
                    <w:jc w:val="center"/>
                  </w:pPr>
                  <w:r>
                    <w:t xml:space="preserve">+0.0381</w:t>
                  </w:r>
                </w:p>
              </w:tc>
            </w:tr>
            <w:tr>
              <w:tc>
                <w:tcPr/>
                <w:p>
                  <w:pPr>
                    <w:pStyle w:val="Compact"/>
                    <w:jc w:val="center"/>
                  </w:pPr>
                  <w:r>
                    <w:t xml:space="preserve">+50% (mid-shock)</w:t>
                  </w:r>
                </w:p>
              </w:tc>
              <w:tc>
                <w:tcPr/>
                <w:p>
                  <w:pPr>
                    <w:pStyle w:val="Compact"/>
                    <w:jc w:val="center"/>
                  </w:pPr>
                  <w:r>
                    <w:t xml:space="preserve">Worst</w:t>
                  </w:r>
                </w:p>
              </w:tc>
              <w:tc>
                <w:tcPr/>
                <w:p>
                  <w:pPr>
                    <w:pStyle w:val="Compact"/>
                    <w:jc w:val="right"/>
                    <w:jc w:val="center"/>
                  </w:pPr>
                  <w:r>
                    <w:t xml:space="preserve">+0.13</w:t>
                  </w:r>
                </w:p>
              </w:tc>
              <w:tc>
                <w:tcPr/>
                <w:p>
                  <w:pPr>
                    <w:pStyle w:val="Compact"/>
                    <w:jc w:val="right"/>
                    <w:jc w:val="center"/>
                  </w:pPr>
                  <w:r>
                    <w:t xml:space="preserve">+0.0024</w:t>
                  </w:r>
                </w:p>
              </w:tc>
            </w:tr>
            <w:tr>
              <w:tc>
                <w:tcPr/>
                <w:p>
                  <w:pPr>
                    <w:pStyle w:val="Compact"/>
                    <w:jc w:val="center"/>
                  </w:pPr>
                  <w:r>
                    <w:t xml:space="preserve">+50% (mid-shock)</w:t>
                  </w:r>
                </w:p>
              </w:tc>
              <w:tc>
                <w:tcPr/>
                <w:p>
                  <w:pPr>
                    <w:pStyle w:val="Compact"/>
                    <w:jc w:val="center"/>
                  </w:pPr>
                  <w:r>
                    <w:rPr>
                      <w:b/>
                      <w:bCs/>
                    </w:rPr>
                    <w:t xml:space="preserve">Expected</w:t>
                  </w:r>
                </w:p>
              </w:tc>
              <w:tc>
                <w:tcPr/>
                <w:p>
                  <w:pPr>
                    <w:pStyle w:val="Compact"/>
                    <w:jc w:val="right"/>
                    <w:jc w:val="center"/>
                  </w:pPr>
                  <w:r>
                    <w:rPr>
                      <w:b/>
                      <w:bCs/>
                    </w:rPr>
                    <w:t xml:space="preserve">+4.45</w:t>
                  </w:r>
                </w:p>
              </w:tc>
              <w:tc>
                <w:tcPr/>
                <w:p>
                  <w:pPr>
                    <w:pStyle w:val="Compact"/>
                    <w:jc w:val="right"/>
                    <w:jc w:val="center"/>
                  </w:pPr>
                  <w:r>
                    <w:rPr>
                      <w:b/>
                      <w:bCs/>
                    </w:rPr>
                    <w:t xml:space="preserve">+0.0824</w:t>
                  </w:r>
                </w:p>
              </w:tc>
            </w:tr>
            <w:tr>
              <w:tc>
                <w:tcPr/>
                <w:p>
                  <w:pPr>
                    <w:pStyle w:val="Compact"/>
                    <w:jc w:val="center"/>
                  </w:pPr>
                  <w:r>
                    <w:t xml:space="preserve">+50% (mid-shock)</w:t>
                  </w:r>
                </w:p>
              </w:tc>
              <w:tc>
                <w:tcPr/>
                <w:p>
                  <w:pPr>
                    <w:pStyle w:val="Compact"/>
                    <w:jc w:val="center"/>
                  </w:pPr>
                  <w:r>
                    <w:t xml:space="preserve">Best</w:t>
                  </w:r>
                </w:p>
              </w:tc>
              <w:tc>
                <w:tcPr/>
                <w:p>
                  <w:pPr>
                    <w:pStyle w:val="Compact"/>
                    <w:jc w:val="right"/>
                    <w:jc w:val="center"/>
                  </w:pPr>
                  <w:r>
                    <w:t xml:space="preserve">+8.78</w:t>
                  </w:r>
                </w:p>
              </w:tc>
              <w:tc>
                <w:tcPr/>
                <w:p>
                  <w:pPr>
                    <w:pStyle w:val="Compact"/>
                    <w:jc w:val="right"/>
                    <w:jc w:val="center"/>
                  </w:pPr>
                  <w:r>
                    <w:t xml:space="preserve">+0.1625</w:t>
                  </w:r>
                </w:p>
              </w:tc>
            </w:tr>
            <w:tr>
              <w:tc>
                <w:tcPr/>
                <w:p>
                  <w:pPr>
                    <w:pStyle w:val="Compact"/>
                    <w:jc w:val="center"/>
                  </w:pPr>
                  <w:r>
                    <w:t xml:space="preserve">+100% (high-shock)</w:t>
                  </w:r>
                </w:p>
              </w:tc>
              <w:tc>
                <w:tcPr/>
                <w:p>
                  <w:pPr>
                    <w:pStyle w:val="Compact"/>
                    <w:jc w:val="center"/>
                  </w:pPr>
                  <w:r>
                    <w:t xml:space="preserve">Worst</w:t>
                  </w:r>
                </w:p>
              </w:tc>
              <w:tc>
                <w:tcPr/>
                <w:p>
                  <w:pPr>
                    <w:pStyle w:val="Compact"/>
                    <w:jc w:val="right"/>
                    <w:jc w:val="center"/>
                  </w:pPr>
                  <w:r>
                    <w:t xml:space="preserve">+0.22</w:t>
                  </w:r>
                </w:p>
              </w:tc>
              <w:tc>
                <w:tcPr/>
                <w:p>
                  <w:pPr>
                    <w:pStyle w:val="Compact"/>
                    <w:jc w:val="right"/>
                    <w:jc w:val="center"/>
                  </w:pPr>
                  <w:r>
                    <w:t xml:space="preserve">+0.0041</w:t>
                  </w:r>
                </w:p>
              </w:tc>
            </w:tr>
            <w:tr>
              <w:tc>
                <w:tcPr/>
                <w:p>
                  <w:pPr>
                    <w:pStyle w:val="Compact"/>
                    <w:jc w:val="center"/>
                  </w:pPr>
                  <w:r>
                    <w:t xml:space="preserve">+100% (high-shock)</w:t>
                  </w:r>
                </w:p>
              </w:tc>
              <w:tc>
                <w:tcPr/>
                <w:p>
                  <w:pPr>
                    <w:pStyle w:val="Compact"/>
                    <w:jc w:val="center"/>
                  </w:pPr>
                  <w:r>
                    <w:rPr>
                      <w:b/>
                      <w:bCs/>
                    </w:rPr>
                    <w:t xml:space="preserve">Expected</w:t>
                  </w:r>
                </w:p>
              </w:tc>
              <w:tc>
                <w:tcPr/>
                <w:p>
                  <w:pPr>
                    <w:pStyle w:val="Compact"/>
                    <w:jc w:val="right"/>
                    <w:jc w:val="center"/>
                  </w:pPr>
                  <w:r>
                    <w:rPr>
                      <w:b/>
                      <w:bCs/>
                    </w:rPr>
                    <w:t xml:space="preserve">+7.63</w:t>
                  </w:r>
                </w:p>
              </w:tc>
              <w:tc>
                <w:tcPr/>
                <w:p>
                  <w:pPr>
                    <w:pStyle w:val="Compact"/>
                    <w:jc w:val="right"/>
                    <w:jc w:val="center"/>
                  </w:pPr>
                  <w:r>
                    <w:rPr>
                      <w:b/>
                      <w:bCs/>
                    </w:rPr>
                    <w:t xml:space="preserve">+0.1412</w:t>
                  </w:r>
                </w:p>
              </w:tc>
            </w:tr>
            <w:tr>
              <w:tc>
                <w:tcPr/>
                <w:p>
                  <w:pPr>
                    <w:pStyle w:val="Compact"/>
                    <w:jc w:val="center"/>
                  </w:pPr>
                  <w:r>
                    <w:t xml:space="preserve">+100% (high-shock)</w:t>
                  </w:r>
                </w:p>
              </w:tc>
              <w:tc>
                <w:tcPr/>
                <w:p>
                  <w:pPr>
                    <w:pStyle w:val="Compact"/>
                    <w:jc w:val="center"/>
                  </w:pPr>
                  <w:r>
                    <w:t xml:space="preserve">Best</w:t>
                  </w:r>
                </w:p>
              </w:tc>
              <w:tc>
                <w:tcPr/>
                <w:p>
                  <w:pPr>
                    <w:pStyle w:val="Compact"/>
                    <w:jc w:val="right"/>
                    <w:jc w:val="center"/>
                  </w:pPr>
                  <w:r>
                    <w:t xml:space="preserve">+15.03</w:t>
                  </w:r>
                </w:p>
              </w:tc>
              <w:tc>
                <w:tcPr/>
                <w:p>
                  <w:pPr>
                    <w:pStyle w:val="Compact"/>
                    <w:jc w:val="right"/>
                    <w:jc w:val="center"/>
                  </w:pPr>
                  <w:r>
                    <w:t xml:space="preserve">+0.2783</w:t>
                  </w:r>
                </w:p>
              </w:tc>
            </w:tr>
          </w:tbl>
          <w:bookmarkEnd w:id="3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9" w:name="fig-counterfactual"/>
          <w:p>
            <w:pPr>
              <w:pStyle w:val="Compact"/>
              <w:jc w:val="center"/>
            </w:pPr>
            <w:r>
              <w:drawing>
                <wp:inline>
                  <wp:extent cx="4267200" cy="4267200"/>
                  <wp:effectExtent b="0" l="0" r="0" t="0"/>
                  <wp:docPr descr="" title="" id="37" name="Picture"/>
                  <a:graphic>
                    <a:graphicData uri="http://schemas.openxmlformats.org/drawingml/2006/picture">
                      <pic:pic>
                        <pic:nvPicPr>
                          <pic:cNvPr descr="../output/figures/model5_scenario_plot.png" id="38" name="Picture"/>
                          <pic:cNvPicPr>
                            <a:picLocks noChangeArrowheads="1" noChangeAspect="1"/>
                          </pic:cNvPicPr>
                        </pic:nvPicPr>
                        <pic:blipFill>
                          <a:blip r:embed="rId36"/>
                          <a:stretch>
                            <a:fillRect/>
                          </a:stretch>
                        </pic:blipFill>
                        <pic:spPr bwMode="auto">
                          <a:xfrm>
                            <a:off x="0" y="0"/>
                            <a:ext cx="42672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2. Model 5 within-support counterfactual scenarios. Δ HLO points on the y-axis; shock magnitude (+10%, +50%, +100% of median country baseline annual CRS disbursement) on the x-axis. Three bars per shock: Worst case (β lower 95% CI), Expected case (β point estimate = 11.14), Best case (β upper 95% CI). Brief’s $1B redirect pro-rata across the 173-country sample = $5.78M per country, landing in the low-shock band as noted in §4.5 ¶2. Locked per ADR-0011.</w:t>
            </w:r>
          </w:p>
          <w:bookmarkEnd w:id="39"/>
        </w:tc>
      </w:tr>
    </w:tbl>
    <w:p>
      <w:pPr>
        <w:pStyle w:val="BodyText"/>
      </w:pPr>
      <w:r>
        <w:t xml:space="preserve">The counterfactual magnitudes are best read against the program-level cost-effectiveness benchmarks the policy literature relies on for intervention design.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reports headline interventions with LAYS gains in the 0.5-3.0-year range</w:t>
      </w:r>
      <w:r>
        <w:t xml:space="preserve"> </w:t>
      </w:r>
      <w:r>
        <w:rPr>
          <w:i/>
          <w:iCs/>
        </w:rPr>
        <w:t xml:space="preserve">per pupil</w:t>
      </w:r>
      <w:r>
        <w:t xml:space="preserve"> </w:t>
      </w:r>
      <w:r>
        <w:t xml:space="preserve">for well-targeted tutoring, pedagogical-targeting, and structured-pedagogy programs — values that dwarf even the best-case aggregate-shock numbers above. The contrast is not a paper finding; it reflects two structural differences. The GEEAP benchmark is micro cost-effectiveness on programme participants, not macro aid elasticity at the country level. And the GEEAP benchmark is the</w:t>
      </w:r>
      <w:r>
        <w:t xml:space="preserve"> </w:t>
      </w:r>
      <w:r>
        <w:rPr>
          <w:i/>
          <w:iCs/>
        </w:rPr>
        <w:t xml:space="preserve">upper envelope</w:t>
      </w:r>
      <w:r>
        <w:t xml:space="preserve"> </w:t>
      </w:r>
      <w:r>
        <w:t xml:space="preserve">of intervention-type evidence whose extraction from CRS metadata the §4.4 Model 4 drop demonstrates this paper cannot perform. Angrist 2024</w:t>
      </w:r>
      <w:r>
        <w:t xml:space="preserve"> </w:t>
      </w:r>
      <w:r>
        <w:t xml:space="preserve">(</w:t>
      </w:r>
      <w:hyperlink w:anchor="ref-angrist2024lays">
        <w:r>
          <w:rPr>
            <w:rStyle w:val="Hyperlink"/>
          </w:rPr>
          <w:t xml:space="preserve">Angrist, 2024</w:t>
        </w:r>
      </w:hyperlink>
      <w:r>
        <w:t xml:space="preserve">)</w:t>
      </w:r>
      <w:r>
        <w:t xml:space="preserve"> </w:t>
      </w:r>
      <w:r>
        <w:t xml:space="preserve">provides the LAYS reporting unit for cross-paper comparison; the aggregate-β counterfactual reported here is small relative to that literature, which is the honest read of what a cross-country panel β identifies at the country level. The §6 Discussion frames Model 5 as a</w:t>
      </w:r>
      <w:r>
        <w:t xml:space="preserve"> </w:t>
      </w:r>
      <w:r>
        <w:rPr>
          <w:b/>
          <w:bCs/>
        </w:rPr>
        <w:t xml:space="preserve">floor</w:t>
      </w:r>
      <w:r>
        <w:t xml:space="preserve"> </w:t>
      </w:r>
      <w:r>
        <w:t xml:space="preserve">on the policy-realistic channel — what the data unambiguously supports saying about the within-country aid-learning relationship at the aggregate level — while leaving open, by reference to the GEEAP and Glewwe-Muralidharan literatures, that programme-level targeting is where the larger gains plausibly live. The paper does not claim Model 5’s headline is a ceiling; §5.5 owns that the compositional question is structurally unanswerable from CRS metadata at panel scale.</w:t>
      </w:r>
    </w:p>
    <w:bookmarkEnd w:id="40"/>
    <w:bookmarkStart w:id="46" w:name="Xb135cc21fd5adf8f7a1c12e9f75c809a88065ff"/>
    <w:p>
      <w:pPr>
        <w:pStyle w:val="Heading2"/>
      </w:pPr>
      <w:r>
        <w:t xml:space="preserve">4.6 4.6 The compounding AI penalty: HCI × Oxford GARI joint distribution</w:t>
      </w:r>
    </w:p>
    <w:p>
      <w:pPr>
        <w:pStyle w:val="FirstParagraph"/>
      </w:pPr>
      <w:r>
        <w:t xml:space="preserve">The compounding AI penalty is constructed as a joint country-level cross-section: each country’s most recent non-missing Human Capital Index value (the 2020 HCI cycle, fully populated across the 132 countries that join the Oxford Insights GARI 2025 panel) multiplied by its Oxford Insights Government AI Readiness Index, normalized to GARI/100. The resulting composite,</w:t>
      </w:r>
      <w:r>
        <w:t xml:space="preserve"> </w:t>
      </w:r>
      <w:r>
        <w:rPr>
          <w:rStyle w:val="VerbatimChar"/>
        </w:rPr>
        <w:t xml:space="preserve">compound_index = HCI × (GARI / 100)</w:t>
      </w:r>
      <w:r>
        <w:t xml:space="preserve">, ranges from 0.033 to 0.495 across the joined sample of 132 countries — the intersection of GARI 2025’s 195-country panel with the HCI-non-missing iso3 set in the production panel. The composite peaks well below its theoretical maximum because no country approaches the upper bound on both axes. The two dimensions are positively coupled on this sample at</w:t>
      </w:r>
      <w:r>
        <w:t xml:space="preserve"> </w:t>
      </w:r>
      <w:r>
        <w:rPr>
          <w:b/>
          <w:bCs/>
        </w:rPr>
        <w:t xml:space="preserve">r = 0.777</w:t>
      </w:r>
      <w:r>
        <w:t xml:space="preserve">, the empirical face of the compounding-divergence thesis: countries with high human capital also tend to have high AI readiness, and vice versa. The five most compound-exposed countries (lowest</w:t>
      </w:r>
      <w:r>
        <w:t xml:space="preserve"> </w:t>
      </w:r>
      <w:r>
        <w:rPr>
          <w:rStyle w:val="VerbatimChar"/>
        </w:rPr>
        <w:t xml:space="preserve">compound_index</w:t>
      </w:r>
      <w:r>
        <w:t xml:space="preserve"> </w:t>
      </w:r>
      <w:r>
        <w:t xml:space="preserve">values) are</w:t>
      </w:r>
      <w:r>
        <w:t xml:space="preserve"> </w:t>
      </w:r>
      <w:r>
        <w:rPr>
          <w:b/>
          <w:bCs/>
        </w:rPr>
        <w:t xml:space="preserve">South Sudan</w:t>
      </w:r>
      <w:r>
        <w:t xml:space="preserve"> </w:t>
      </w:r>
      <w:r>
        <w:t xml:space="preserve">(0.033),</w:t>
      </w:r>
      <w:r>
        <w:t xml:space="preserve"> </w:t>
      </w:r>
      <w:r>
        <w:rPr>
          <w:b/>
          <w:bCs/>
        </w:rPr>
        <w:t xml:space="preserve">Central African Republic</w:t>
      </w:r>
      <w:r>
        <w:t xml:space="preserve"> </w:t>
      </w:r>
      <w:r>
        <w:t xml:space="preserve">(0.035),</w:t>
      </w:r>
      <w:r>
        <w:t xml:space="preserve"> </w:t>
      </w:r>
      <w:r>
        <w:rPr>
          <w:b/>
          <w:bCs/>
        </w:rPr>
        <w:t xml:space="preserve">Liberia</w:t>
      </w:r>
      <w:r>
        <w:t xml:space="preserve"> </w:t>
      </w:r>
      <w:r>
        <w:t xml:space="preserve">(0.046),</w:t>
      </w:r>
      <w:r>
        <w:t xml:space="preserve"> </w:t>
      </w:r>
      <w:r>
        <w:rPr>
          <w:b/>
          <w:bCs/>
        </w:rPr>
        <w:t xml:space="preserve">Yemen</w:t>
      </w:r>
      <w:r>
        <w:t xml:space="preserve"> </w:t>
      </w:r>
      <w:r>
        <w:t xml:space="preserve">(0.047), and</w:t>
      </w:r>
      <w:r>
        <w:t xml:space="preserve"> </w:t>
      </w:r>
      <w:r>
        <w:rPr>
          <w:b/>
          <w:bCs/>
        </w:rPr>
        <w:t xml:space="preserve">Chad</w:t>
      </w:r>
      <w:r>
        <w:t xml:space="preserve"> </w:t>
      </w:r>
      <w:r>
        <w:t xml:space="preserve">(0.055) — a list dominated by conflict-affected low-income states, four of five in sub-Saharan Africa.</w:t>
      </w:r>
    </w:p>
    <w:p>
      <w:pPr>
        <w:pStyle w:val="BodyText"/>
      </w:pPr>
      <w:r>
        <w:t xml:space="preserve">Partitioning the joint sample on its medians (HCI = 0.506; GARI/100 = 0.382) yields the four quadrants in Table 5. The</w:t>
      </w:r>
      <w:r>
        <w:t xml:space="preserve"> </w:t>
      </w:r>
      <w:r>
        <w:rPr>
          <w:b/>
          <w:bCs/>
        </w:rPr>
        <w:t xml:space="preserve">low-HCI / low-GARI</w:t>
      </w:r>
      <w:r>
        <w:rPr>
          <w:b/>
          <w:bCs/>
        </w:rPr>
        <w:t xml:space="preserve"> </w:t>
      </w:r>
      <w:r>
        <w:rPr>
          <w:b/>
          <w:bCs/>
        </w:rPr>
        <w:t xml:space="preserve">“double-excluded”</w:t>
      </w:r>
      <w:r>
        <w:rPr>
          <w:b/>
          <w:bCs/>
        </w:rPr>
        <w:t xml:space="preserve"> </w:t>
      </w:r>
      <w:r>
        <w:rPr>
          <w:b/>
          <w:bCs/>
        </w:rPr>
        <w:t xml:space="preserve">cell contains 47 countries</w:t>
      </w:r>
      <w:r>
        <w:t xml:space="preserve"> </w:t>
      </w:r>
      <w:r>
        <w:t xml:space="preserve">— 35.6 percent of the joined sample —</w:t>
      </w:r>
      <w:r>
        <w:t xml:space="preserve"> </w:t>
      </w:r>
      <w:r>
        <w:rPr>
          <w:b/>
          <w:bCs/>
        </w:rPr>
        <w:t xml:space="preserve">of which 29 are sub-Saharan African</w:t>
      </w:r>
      <w:r>
        <w:t xml:space="preserve">. Sub-Saharan Africa is 31.8 percent of the joined sample (42 of 132) but supplies 61.7 percent of the double-excluded cell (29 of 47): the cell is</w:t>
      </w:r>
      <w:r>
        <w:t xml:space="preserve"> </w:t>
      </w:r>
      <w:r>
        <w:rPr>
          <w:b/>
          <w:bCs/>
        </w:rPr>
        <w:t xml:space="preserve">approximately twice over-represented in sub-Saharan Africa relative to its sample share</w:t>
      </w:r>
      <w:r>
        <w:t xml:space="preserve">. The cell-mean composite is 0.099, less than a third of the high-HCI / high-GARI mean of 0.357.</w:t>
      </w:r>
    </w:p>
    <w:tbl>
      <w:tblPr>
        <w:tblStyle w:val="Table"/>
        <w:tblW w:type="pct" w:w="5000"/>
        <w:tblLayout w:type="fixed"/>
        <w:tblLook w:firstRow="0" w:lastRow="0" w:firstColumn="0" w:lastColumn="0" w:noHBand="0" w:noVBand="0" w:val="0000"/>
      </w:tblPr>
      <w:tblGrid>
        <w:gridCol w:w="7920"/>
      </w:tblGrid>
      <w:tr>
        <w:tc>
          <w:tcPr/>
          <w:bookmarkStart w:id="41" w:name="tbl-compound"/>
          <w:p>
            <w:pPr>
              <w:jc w:val="center"/>
            </w:pPr>
            <w:pPr>
              <w:jc w:val="left"/>
              <w:spacing w:before="200"/>
              <w:pStyle w:val="ImageCaption"/>
            </w:pPr>
            <w:r>
              <w:t xml:space="preserve">Table 6: Table 5. Joint distribution of country-level human capital (HCI 2020) and AI readiness (Oxford Insights GARI 2025) on the 132-country joined sample, partitioned on sample medians (HCI = 0.506; GARI/100 = 0.382). SSA over-representation in the double-excluded cell: 29 of 47 = 61.7% vs SSA share of joined sample 42 of 132 = 31.8% (≈2× over-representation). Composite</w:t>
            </w:r>
            <w:r>
              <w:t xml:space="preserve"> </w:t>
            </w:r>
            <w:r>
              <w:rPr>
                <w:rStyle w:val="VerbatimChar"/>
              </w:rPr>
              <w:t xml:space="preserve">compound_index = HCI × (GARI/100)</w:t>
            </w:r>
            <w:r>
              <w:t xml:space="preserve">.</w:t>
            </w:r>
          </w:p>
          <w:tbl>
            <w:tblPr>
              <w:tblStyle w:val="Table"/>
              <w:tblW w:type="pct" w:w="5000"/>
              <w:tblLayout w:type="fixed"/>
              <w:tblLook w:firstRow="1" w:lastRow="0" w:firstColumn="0" w:lastColumn="0" w:noHBand="0" w:noVBand="0" w:val="0020"/>
            </w:tblPr>
            <w:tblGrid>
              <w:gridCol w:w="1931"/>
              <w:gridCol w:w="965"/>
              <w:gridCol w:w="965"/>
              <w:gridCol w:w="1352"/>
              <w:gridCol w:w="1352"/>
              <w:gridCol w:w="1352"/>
            </w:tblGrid>
            <w:tr>
              <w:trPr>
                <w:tblHeader w:val="on"/>
              </w:trPr>
              <w:tc>
                <w:tcPr/>
                <w:p>
                  <w:pPr>
                    <w:pStyle w:val="Compact"/>
                    <w:jc w:val="center"/>
                  </w:pPr>
                  <w:r>
                    <w:t xml:space="preserve">Quadrant</w:t>
                  </w:r>
                </w:p>
              </w:tc>
              <w:tc>
                <w:tcPr/>
                <w:p>
                  <w:pPr>
                    <w:pStyle w:val="Compact"/>
                    <w:jc w:val="right"/>
                    <w:jc w:val="center"/>
                  </w:pPr>
                  <w:r>
                    <w:t xml:space="preserve">N</w:t>
                  </w:r>
                </w:p>
              </w:tc>
              <w:tc>
                <w:tcPr/>
                <w:p>
                  <w:pPr>
                    <w:pStyle w:val="Compact"/>
                    <w:jc w:val="right"/>
                    <w:jc w:val="center"/>
                  </w:pPr>
                  <w:r>
                    <w:t xml:space="preserve">SSA in cell</w:t>
                  </w:r>
                </w:p>
              </w:tc>
              <w:tc>
                <w:tcPr/>
                <w:p>
                  <w:pPr>
                    <w:pStyle w:val="Compact"/>
                    <w:jc w:val="right"/>
                    <w:jc w:val="center"/>
                  </w:pPr>
                  <w:r>
                    <w:t xml:space="preserve">Mean HCI</w:t>
                  </w:r>
                </w:p>
              </w:tc>
              <w:tc>
                <w:tcPr/>
                <w:p>
                  <w:pPr>
                    <w:pStyle w:val="Compact"/>
                    <w:jc w:val="right"/>
                    <w:jc w:val="center"/>
                  </w:pPr>
                  <w:r>
                    <w:t xml:space="preserve">Mean GARI/100</w:t>
                  </w:r>
                </w:p>
              </w:tc>
              <w:tc>
                <w:tcPr/>
                <w:p>
                  <w:pPr>
                    <w:pStyle w:val="Compact"/>
                    <w:jc w:val="right"/>
                    <w:jc w:val="center"/>
                  </w:pPr>
                  <w:r>
                    <w:t xml:space="preserve">Mean compound</w:t>
                  </w:r>
                </w:p>
              </w:tc>
            </w:tr>
            <w:tr>
              <w:tc>
                <w:tcPr/>
                <w:p>
                  <w:pPr>
                    <w:pStyle w:val="Compact"/>
                    <w:jc w:val="center"/>
                  </w:pPr>
                  <w:r>
                    <w:t xml:space="preserve">high HCI / high GARI</w:t>
                  </w:r>
                </w:p>
              </w:tc>
              <w:tc>
                <w:tcPr/>
                <w:p>
                  <w:pPr>
                    <w:pStyle w:val="Compact"/>
                    <w:jc w:val="right"/>
                    <w:jc w:val="center"/>
                  </w:pPr>
                  <w:r>
                    <w:t xml:space="preserve">47</w:t>
                  </w:r>
                </w:p>
              </w:tc>
              <w:tc>
                <w:tcPr/>
                <w:p>
                  <w:pPr>
                    <w:pStyle w:val="Compact"/>
                    <w:jc w:val="right"/>
                    <w:jc w:val="center"/>
                  </w:pPr>
                  <w:r>
                    <w:t xml:space="preserve">2</w:t>
                  </w:r>
                </w:p>
              </w:tc>
              <w:tc>
                <w:tcPr/>
                <w:p>
                  <w:pPr>
                    <w:pStyle w:val="Compact"/>
                    <w:jc w:val="right"/>
                    <w:jc w:val="center"/>
                  </w:pPr>
                  <w:r>
                    <w:t xml:space="preserve">0.620</w:t>
                  </w:r>
                </w:p>
              </w:tc>
              <w:tc>
                <w:tcPr/>
                <w:p>
                  <w:pPr>
                    <w:pStyle w:val="Compact"/>
                    <w:jc w:val="right"/>
                    <w:jc w:val="center"/>
                  </w:pPr>
                  <w:r>
                    <w:t xml:space="preserve">0.569</w:t>
                  </w:r>
                </w:p>
              </w:tc>
              <w:tc>
                <w:tcPr/>
                <w:p>
                  <w:pPr>
                    <w:pStyle w:val="Compact"/>
                    <w:jc w:val="right"/>
                    <w:jc w:val="center"/>
                  </w:pPr>
                  <w:r>
                    <w:t xml:space="preserve">0.357</w:t>
                  </w:r>
                </w:p>
              </w:tc>
            </w:tr>
            <w:tr>
              <w:tc>
                <w:tcPr/>
                <w:p>
                  <w:pPr>
                    <w:pStyle w:val="Compact"/>
                    <w:jc w:val="center"/>
                  </w:pPr>
                  <w:r>
                    <w:t xml:space="preserve">high HCI / low GARI</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0.571</w:t>
                  </w:r>
                </w:p>
              </w:tc>
              <w:tc>
                <w:tcPr/>
                <w:p>
                  <w:pPr>
                    <w:pStyle w:val="Compact"/>
                    <w:jc w:val="right"/>
                    <w:jc w:val="center"/>
                  </w:pPr>
                  <w:r>
                    <w:t xml:space="preserve">0.270</w:t>
                  </w:r>
                </w:p>
              </w:tc>
              <w:tc>
                <w:tcPr/>
                <w:p>
                  <w:pPr>
                    <w:pStyle w:val="Compact"/>
                    <w:jc w:val="right"/>
                    <w:jc w:val="center"/>
                  </w:pPr>
                  <w:r>
                    <w:t xml:space="preserve">0.155</w:t>
                  </w:r>
                </w:p>
              </w:tc>
            </w:tr>
            <w:tr>
              <w:tc>
                <w:tcPr/>
                <w:p>
                  <w:pPr>
                    <w:pStyle w:val="Compact"/>
                    <w:jc w:val="center"/>
                  </w:pPr>
                  <w:r>
                    <w:t xml:space="preserve">low HCI / high GARI</w:t>
                  </w:r>
                </w:p>
              </w:tc>
              <w:tc>
                <w:tcPr/>
                <w:p>
                  <w:pPr>
                    <w:pStyle w:val="Compact"/>
                    <w:jc w:val="right"/>
                    <w:jc w:val="center"/>
                  </w:pPr>
                  <w:r>
                    <w:t xml:space="preserve">19</w:t>
                  </w:r>
                </w:p>
              </w:tc>
              <w:tc>
                <w:tcPr/>
                <w:p>
                  <w:pPr>
                    <w:pStyle w:val="Compact"/>
                    <w:jc w:val="right"/>
                    <w:jc w:val="center"/>
                  </w:pPr>
                  <w:r>
                    <w:t xml:space="preserve">10</w:t>
                  </w:r>
                </w:p>
              </w:tc>
              <w:tc>
                <w:tcPr/>
                <w:p>
                  <w:pPr>
                    <w:pStyle w:val="Compact"/>
                    <w:jc w:val="right"/>
                    <w:jc w:val="center"/>
                  </w:pPr>
                  <w:r>
                    <w:t xml:space="preserve">0.439</w:t>
                  </w:r>
                </w:p>
              </w:tc>
              <w:tc>
                <w:tcPr/>
                <w:p>
                  <w:pPr>
                    <w:pStyle w:val="Compact"/>
                    <w:jc w:val="right"/>
                    <w:jc w:val="center"/>
                  </w:pPr>
                  <w:r>
                    <w:t xml:space="preserve">0.484</w:t>
                  </w:r>
                </w:p>
              </w:tc>
              <w:tc>
                <w:tcPr/>
                <w:p>
                  <w:pPr>
                    <w:pStyle w:val="Compact"/>
                    <w:jc w:val="right"/>
                    <w:jc w:val="center"/>
                  </w:pPr>
                  <w:r>
                    <w:t xml:space="preserve">0.213</w:t>
                  </w:r>
                </w:p>
              </w:tc>
            </w:tr>
            <w:tr>
              <w:tc>
                <w:tcPr/>
                <w:p>
                  <w:pPr>
                    <w:pStyle w:val="Compact"/>
                    <w:jc w:val="center"/>
                  </w:pPr>
                  <w:r>
                    <w:rPr>
                      <w:b/>
                      <w:bCs/>
                    </w:rPr>
                    <w:t xml:space="preserve">low HCI / low GARI (double-excluded)</w:t>
                  </w:r>
                </w:p>
              </w:tc>
              <w:tc>
                <w:tcPr/>
                <w:p>
                  <w:pPr>
                    <w:pStyle w:val="Compact"/>
                    <w:jc w:val="right"/>
                    <w:jc w:val="center"/>
                  </w:pPr>
                  <w:r>
                    <w:rPr>
                      <w:b/>
                      <w:bCs/>
                    </w:rPr>
                    <w:t xml:space="preserve">47</w:t>
                  </w:r>
                </w:p>
              </w:tc>
              <w:tc>
                <w:tcPr/>
                <w:p>
                  <w:pPr>
                    <w:pStyle w:val="Compact"/>
                    <w:jc w:val="right"/>
                    <w:jc w:val="center"/>
                  </w:pPr>
                  <w:r>
                    <w:rPr>
                      <w:b/>
                      <w:bCs/>
                    </w:rPr>
                    <w:t xml:space="preserve">29</w:t>
                  </w:r>
                </w:p>
              </w:tc>
              <w:tc>
                <w:tcPr/>
                <w:p>
                  <w:pPr>
                    <w:pStyle w:val="Compact"/>
                    <w:jc w:val="right"/>
                    <w:jc w:val="center"/>
                  </w:pPr>
                  <w:r>
                    <w:rPr>
                      <w:b/>
                      <w:bCs/>
                    </w:rPr>
                    <w:t xml:space="preserve">0.407</w:t>
                  </w:r>
                </w:p>
              </w:tc>
              <w:tc>
                <w:tcPr/>
                <w:p>
                  <w:pPr>
                    <w:pStyle w:val="Compact"/>
                    <w:jc w:val="right"/>
                    <w:jc w:val="center"/>
                  </w:pPr>
                  <w:r>
                    <w:rPr>
                      <w:b/>
                      <w:bCs/>
                    </w:rPr>
                    <w:t xml:space="preserve">0.238</w:t>
                  </w:r>
                </w:p>
              </w:tc>
              <w:tc>
                <w:tcPr/>
                <w:p>
                  <w:pPr>
                    <w:pStyle w:val="Compact"/>
                    <w:jc w:val="right"/>
                    <w:jc w:val="center"/>
                  </w:pPr>
                  <w:r>
                    <w:rPr>
                      <w:b/>
                      <w:bCs/>
                    </w:rPr>
                    <w:t xml:space="preserve">0.099</w:t>
                  </w:r>
                </w:p>
              </w:tc>
            </w:tr>
          </w:tbl>
          <w:bookmarkEnd w:id="4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fig-compound"/>
          <w:p>
            <w:pPr>
              <w:pStyle w:val="Compact"/>
              <w:jc w:val="center"/>
            </w:pPr>
            <w:r>
              <w:drawing>
                <wp:inline>
                  <wp:extent cx="4267200" cy="3200399"/>
                  <wp:effectExtent b="0" l="0" r="0" t="0"/>
                  <wp:docPr descr="" title="" id="43" name="Picture"/>
                  <a:graphic>
                    <a:graphicData uri="http://schemas.openxmlformats.org/drawingml/2006/picture">
                      <pic:pic>
                        <pic:nvPicPr>
                          <pic:cNvPr descr="../output/figures/compound_ai_penalty_scatter.png" id="44" name="Picture"/>
                          <pic:cNvPicPr>
                            <a:picLocks noChangeArrowheads="1" noChangeAspect="1"/>
                          </pic:cNvPicPr>
                        </pic:nvPicPr>
                        <pic:blipFill>
                          <a:blip r:embed="rId42"/>
                          <a:stretch>
                            <a:fillRect/>
                          </a:stretch>
                        </pic:blipFill>
                        <pic:spPr bwMode="auto">
                          <a:xfrm>
                            <a:off x="0" y="0"/>
                            <a:ext cx="42672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Figure 3. Joint distribution of country-level human capital (HCI 2020) and AI readiness (Oxford Insights GARI 2025) on the 132-country joined sample. Sample-median lines (dashed) divide the four quadrants; the low-HCI / low-GARI</w:t>
            </w:r>
            <w:r>
              <w:t xml:space="preserve"> </w:t>
            </w:r>
            <w:r>
              <w:t xml:space="preserve">“double-excluded”</w:t>
            </w:r>
            <w:r>
              <w:t xml:space="preserve"> </w:t>
            </w:r>
            <w:r>
              <w:t xml:space="preserve">cell (bottom-left) contains 47 countries, 29 of which are sub-Saharan African. Labeled: 5 most-exposed countries (SSD, CAF, LBR, YEM, TCD).</w:t>
            </w:r>
          </w:p>
          <w:bookmarkEnd w:id="45"/>
        </w:tc>
      </w:tr>
    </w:tbl>
    <w:p>
      <w:pPr>
        <w:pStyle w:val="BodyText"/>
      </w:pPr>
      <w:r>
        <w:t xml:space="preserve">The novelty of §4.6 is calibrated rather than absolute. An audit of adjacent literature surfaced three substantively related works: Brookings/UNDP’s</w:t>
      </w:r>
      <w:r>
        <w:t xml:space="preserve"> </w:t>
      </w:r>
      <w:r>
        <w:rPr>
          <w:i/>
          <w:iCs/>
        </w:rPr>
        <w:t xml:space="preserve">Next Great Divergence</w:t>
      </w:r>
      <w:r>
        <w:t xml:space="preserve"> </w:t>
      </w:r>
      <w:r>
        <w:t xml:space="preserve">(</w:t>
      </w:r>
      <w:hyperlink w:anchor="ref-muthukrishna2025divergence">
        <w:r>
          <w:rPr>
            <w:rStyle w:val="Hyperlink"/>
          </w:rPr>
          <w:t xml:space="preserve">Muthukrishna &amp; Schellekens, 2025</w:t>
        </w:r>
      </w:hyperlink>
      <w:r>
        <w:t xml:space="preserve">)</w:t>
      </w:r>
      <w:r>
        <w:t xml:space="preserve"> </w:t>
      </w:r>
      <w:r>
        <w:t xml:space="preserve">articulates the compounding-divergence thesis at the country level using an HCI-adjacent composite; World Bank Working Paper 11073</w:t>
      </w:r>
      <w:r>
        <w:t xml:space="preserve"> </w:t>
      </w:r>
      <w:r>
        <w:t xml:space="preserve">(</w:t>
      </w:r>
      <w:hyperlink w:anchor="ref-mandon2025beyond">
        <w:r>
          <w:rPr>
            <w:rStyle w:val="Hyperlink"/>
          </w:rPr>
          <w:t xml:space="preserve">Mandon, 2025</w:t>
        </w:r>
      </w:hyperlink>
      <w:r>
        <w:t xml:space="preserve">)</w:t>
      </w:r>
      <w:r>
        <w:t xml:space="preserve"> </w:t>
      </w:r>
      <w:r>
        <w:t xml:space="preserve">constructs a joint AI-Preparedness × Economic-Complexity composite for a different policy question; the joint ILO-World Bank background study for</w:t>
      </w:r>
      <w:r>
        <w:t xml:space="preserve"> </w:t>
      </w:r>
      <w:r>
        <w:rPr>
          <w:i/>
          <w:iCs/>
        </w:rPr>
        <w:t xml:space="preserve">WDR 2026</w:t>
      </w:r>
      <w:r>
        <w:t xml:space="preserve"> </w:t>
      </w:r>
      <w:r>
        <w:t xml:space="preserve">(</w:t>
      </w:r>
      <w:hyperlink w:anchor="ref-ilo2026disruption">
        <w:r>
          <w:rPr>
            <w:rStyle w:val="Hyperlink"/>
          </w:rPr>
          <w:t xml:space="preserve">International Labour Organization &amp; World Bank, 2026</w:t>
        </w:r>
      </w:hyperlink>
      <w:r>
        <w:t xml:space="preserve">)</w:t>
      </w:r>
      <w:r>
        <w:t xml:space="preserve"> </w:t>
      </w:r>
      <w:r>
        <w:t xml:space="preserve">quantifies the same compounding logic at the employment level (66.9 million jobs in developing economies with augmentation potential they cannot realize due to digital-infrastructure gaps). What appears genuinely novel here is the specific construction (HCI × Oxford GARI), the country cross-section, and the quantification of the sub-Saharan African concentration; the manuscript hedges to</w:t>
      </w:r>
      <w:r>
        <w:t xml:space="preserve"> </w:t>
      </w:r>
      <w:r>
        <w:rPr>
          <w:i/>
          <w:iCs/>
        </w:rPr>
        <w:t xml:space="preserve">“we are not aware of a prior peer-reviewed paper that constructs the joint composite at this exact country cross-section and quantifies the regional concentration”</w:t>
      </w:r>
      <w:r>
        <w:t xml:space="preserve"> </w:t>
      </w:r>
      <w:r>
        <w:t xml:space="preserve">rather than echoing the brief’s stronger claim. Two caveats follow.</w:t>
      </w:r>
      <w:r>
        <w:t xml:space="preserve"> </w:t>
      </w:r>
      <w:r>
        <w:rPr>
          <w:i/>
          <w:iCs/>
        </w:rPr>
        <w:t xml:space="preserve">First</w:t>
      </w:r>
      <w:r>
        <w:t xml:space="preserve">, the positive correlation between HCI and GARI (r = 0.777) creates partial tautology — the dimensions share approximately sixty percent of their variance, so the low-low cell is partly tautological with</w:t>
      </w:r>
      <w:r>
        <w:t xml:space="preserve"> </w:t>
      </w:r>
      <w:r>
        <w:t xml:space="preserve">“low overall HCI/GARI quality”</w:t>
      </w:r>
      <w:r>
        <w:t xml:space="preserve"> </w:t>
      </w:r>
      <w:r>
        <w:t xml:space="preserve">rather than reflecting an independent interaction.</w:t>
      </w:r>
      <w:r>
        <w:t xml:space="preserve"> </w:t>
      </w:r>
      <w:r>
        <w:rPr>
          <w:i/>
          <w:iCs/>
        </w:rPr>
        <w:t xml:space="preserve">Second</w:t>
      </w:r>
      <w:r>
        <w:t xml:space="preserve">, §4.6 is a joint-distribution characterization, not a longitudinal compounding-</w:t>
      </w:r>
      <w:r>
        <w:rPr>
          <w:i/>
          <w:iCs/>
        </w:rPr>
        <w:t xml:space="preserve">effect</w:t>
      </w:r>
      <w:r>
        <w:t xml:space="preserve"> </w:t>
      </w:r>
      <w:r>
        <w:t xml:space="preserve">estimate; the forward-looking claim that the double-excluded countries fall further behind as AI-driven productivity asymmetries widen requires several future GARI editions and post-AI-diffusion HCI cycles to evaluate. §5.5 takes up the snapshot-versus-trajectory point. Robustness on the median-split partition: the HCI-cycle-2018-only restriction yields Jaccard agreement of 0.94 with the headline set, and the tercile-split partition mechanically shrinks the cell to a smaller sample (Jaccard 0.53 reflects the cell-size difference, not boundary fragility).</w:t>
      </w:r>
    </w:p>
    <w:bookmarkEnd w:id="46"/>
    <w:bookmarkStart w:id="49" w:name="X85f47235cf90d637d8ea6605f741fd18e703554"/>
    <w:p>
      <w:pPr>
        <w:pStyle w:val="Heading2"/>
      </w:pPr>
      <w:r>
        <w:t xml:space="preserve">4.7 4.7 HLO measure-fragility: a sensitivity that fails sign-agreement</w:t>
      </w:r>
    </w:p>
    <w:p>
      <w:pPr>
        <w:pStyle w:val="FirstParagraph"/>
      </w:pPr>
      <w:hyperlink r:id="rId28">
        <w:r>
          <w:rPr>
            <w:rStyle w:val="Hyperlink"/>
          </w:rPr>
          <w:t xml:space="preserve">ADR-0004</w:t>
        </w:r>
      </w:hyperlink>
      <w:r>
        <w:t xml:space="preserve"> </w:t>
      </w:r>
      <w:r>
        <w:t xml:space="preserve">selected the World Bank HCI HLOS as the primary HLO outcome at Phase 1 and pre-committed the principal robustness check: refit Model 2’s headline specification on the published Altinok-Angrist-Patrinos (2018)</w:t>
      </w:r>
      <w:r>
        <w:t xml:space="preserve"> </w:t>
      </w:r>
      <w:r>
        <w:t xml:space="preserve">(</w:t>
      </w:r>
      <w:hyperlink w:anchor="ref-altinok2018global">
        <w:r>
          <w:rPr>
            <w:rStyle w:val="Hyperlink"/>
          </w:rPr>
          <w:t xml:space="preserve">Altinok et al., 2018</w:t>
        </w:r>
      </w:hyperlink>
      <w:r>
        <w:t xml:space="preserve">)</w:t>
      </w:r>
      <w:r>
        <w:t xml:space="preserve"> </w:t>
      </w:r>
      <w:r>
        <w:t xml:space="preserve">alternative harmonized measure and verify within-CI sign-and-magnitude agreement. The Pass 1 statistical-validity audit executed this check at Phase 10 (2026-05-23) on two AAP-2018 specifications, chosen to disentangle measure-choice effects from sample-window-composition effects. The</w:t>
      </w:r>
      <w:r>
        <w:t xml:space="preserve"> </w:t>
      </w:r>
      <w:r>
        <w:rPr>
          <w:b/>
          <w:bCs/>
        </w:rPr>
        <w:t xml:space="preserve">AAP full coverage</w:t>
      </w:r>
      <w:r>
        <w:t xml:space="preserve"> </w:t>
      </w:r>
      <w:r>
        <w:t xml:space="preserve">specification (N = 69 country-year cells; 62 countries; year range 2005–2015; five AAP cycles) returned</w:t>
      </w:r>
      <w:r>
        <w:t xml:space="preserve"> </w:t>
      </w:r>
      <w:r>
        <w:rPr>
          <w:b/>
          <w:bCs/>
        </w:rPr>
        <w:t xml:space="preserve">β = −16.67</w:t>
      </w:r>
      <w:r>
        <w:t xml:space="preserve"> </w:t>
      </w:r>
      <w:r>
        <w:t xml:space="preserve">(SE 5.96; p = 0.009). The</w:t>
      </w:r>
      <w:r>
        <w:t xml:space="preserve"> </w:t>
      </w:r>
      <w:r>
        <w:rPr>
          <w:b/>
          <w:bCs/>
        </w:rPr>
        <w:t xml:space="preserve">AAP overlap window</w:t>
      </w:r>
      <w:r>
        <w:t xml:space="preserve"> </w:t>
      </w:r>
      <w:r>
        <w:t xml:space="preserve">specification, restricted to years ≥ 2010 to match the WB HCI HLOS primary panel (N = 36 cells; 42 countries; two AAP cycles in the primary window), returned</w:t>
      </w:r>
      <w:r>
        <w:t xml:space="preserve"> </w:t>
      </w:r>
      <w:r>
        <w:rPr>
          <w:b/>
          <w:bCs/>
        </w:rPr>
        <w:t xml:space="preserve">β = −3.94</w:t>
      </w:r>
      <w:r>
        <w:t xml:space="preserve"> </w:t>
      </w:r>
      <w:r>
        <w:t xml:space="preserve">(SE 8.68; p = 0.66). Both AAP specifications sign-flip relative to the primary, where the headline coefficient is β = +11.14 in the principal specification.</w:t>
      </w:r>
    </w:p>
    <w:p>
      <w:pPr>
        <w:pStyle w:val="BodyText"/>
      </w:pPr>
      <w:r>
        <w:t xml:space="preserve">The two AAP variants test alternative drivers of the sign-flip. If the AAP-full and AAP-overlap specifications agreed in sign and magnitude, the failure would be attributable to the harmonized-measure choice itself; if they disagreed, the failure would be attributable to sample-window composition (AAP’s pre-2010 epoch contains a substantially different country set than the WB HCI HLOS’s 2010-2020 panel). The</w:t>
      </w:r>
      <w:r>
        <w:t xml:space="preserve"> </w:t>
      </w:r>
      <w:r>
        <w:rPr>
          <w:b/>
          <w:bCs/>
        </w:rPr>
        <w:t xml:space="preserve">AAP-overlap result at β = −3.94, p = 0.66</w:t>
      </w:r>
      <w:r>
        <w:t xml:space="preserve"> </w:t>
      </w:r>
      <w:r>
        <w:t xml:space="preserve">— the right sample window, the wrong measure —</w:t>
      </w:r>
      <w:r>
        <w:t xml:space="preserve"> </w:t>
      </w:r>
      <w:r>
        <w:rPr>
          <w:b/>
          <w:bCs/>
        </w:rPr>
        <w:t xml:space="preserve">rules out sample-window composition as the sole driver</w:t>
      </w:r>
      <w:r>
        <w:t xml:space="preserve">. The harmonized-measure choice itself materially shapes the within-country answer; the two harmonized measures produce different signs on the within-country ODA-to-learning coefficient even when refit on overlapping country-year cells. ADR-0004 documents the failure; methodology §3.4.1 reports the sensitivity numbers; the manuscript-wide hedge (</w:t>
      </w:r>
      <w:r>
        <w:t xml:space="preserve">“in the WB HCI HLOS specification on the 2010–2020 panel”</w:t>
      </w:r>
      <w:r>
        <w:t xml:space="preserve">) encodes the discipline. §5.3 below takes up the methodological framing — the measure-fragility is itself a contribution to the cross-country aid-learning literature, where the implicit reading has been that within-country fixed effects absorb harmonization differences.</w:t>
      </w:r>
    </w:p>
    <w:p>
      <w:pPr>
        <w:pStyle w:val="BodyText"/>
      </w:pPr>
      <w:hyperlink r:id="rId47">
        <w:r>
          <w:rPr>
            <w:rStyle w:val="Hyperlink"/>
          </w:rPr>
          <w:t xml:space="preserve">ADR-0006</w:t>
        </w:r>
      </w:hyperlink>
      <w:r>
        <w:t xml:space="preserve"> </w:t>
      </w:r>
      <w:r>
        <w:t xml:space="preserve">pre-committed two complementary robustness checks against the production-panel missingness choices: UIS-augmented listwise (drop UIS-missing countries) and UIS-augmented multiple imputation. The Pass 1 listwise refit on the same primary HLO measure returned</w:t>
      </w:r>
      <w:r>
        <w:t xml:space="preserve"> </w:t>
      </w:r>
      <w:r>
        <w:rPr>
          <w:b/>
          <w:bCs/>
        </w:rPr>
        <w:t xml:space="preserve">β = −1.97</w:t>
      </w:r>
      <w:r>
        <w:t xml:space="preserve"> </w:t>
      </w:r>
      <w:r>
        <w:t xml:space="preserve">(SE 4.40; N = 41 after the joint listwise constraint; not significant). The confidence interval [−10.59, 6.66] partially overlaps the primary CI [0.32, 21.95] in the range [0.32, 6.66], so any true β in that range is consistent with both samples. This is</w:t>
      </w:r>
      <w:r>
        <w:t xml:space="preserve"> </w:t>
      </w:r>
      <w:r>
        <w:rPr>
          <w:b/>
          <w:bCs/>
        </w:rPr>
        <w:t xml:space="preserve">weak robustness</w:t>
      </w:r>
      <w:r>
        <w:t xml:space="preserve">: a sign-flip but neither significant nor strongly contradictory, with country coverage reduced from 103 to 41 countries (60 percent of the primary-window FE-identifiable set lost to the listwise constraint). The multiple-imputation robustness was retired by</w:t>
      </w:r>
      <w:r>
        <w:t xml:space="preserve"> </w:t>
      </w:r>
      <w:hyperlink r:id="rId29">
        <w:r>
          <w:rPr>
            <w:rStyle w:val="Hyperlink"/>
          </w:rPr>
          <w:t xml:space="preserve">ADR-0012</w:t>
        </w:r>
      </w:hyperlink>
      <w:r>
        <w:t xml:space="preserve">: the production-panel MCAR test rejects MCAR at p &lt; 10⁻⁶, the MAR assumption multiple imputation requires is therefore unsupported on this data, and the project’s no-fabrication principle (CLAUDE.md) additionally treats imputed values as fabrications that would hide in the reported regressions as real observations. The §5.4 elaboration below takes up the methodological framing of the MCAR-MAR-MNAR triangle.</w:t>
      </w:r>
    </w:p>
    <w:tbl>
      <w:tblPr>
        <w:tblStyle w:val="Table"/>
        <w:tblW w:type="pct" w:w="5000"/>
        <w:tblLayout w:type="fixed"/>
        <w:tblLook w:firstRow="0" w:lastRow="0" w:firstColumn="0" w:lastColumn="0" w:noHBand="0" w:noVBand="0" w:val="0000"/>
      </w:tblPr>
      <w:tblGrid>
        <w:gridCol w:w="7920"/>
      </w:tblGrid>
      <w:tr>
        <w:tc>
          <w:tcPr/>
          <w:bookmarkStart w:id="48" w:name="tbl-pass1-sensitivity"/>
          <w:p>
            <w:pPr>
              <w:jc w:val="center"/>
            </w:pPr>
            <w:pPr>
              <w:jc w:val="left"/>
              <w:spacing w:before="200"/>
              <w:pStyle w:val="ImageCaption"/>
            </w:pPr>
            <w:r>
              <w:t xml:space="preserve">Table 7: Table 6. Pass 1 HLO measure-sensitivity (ADR-0004 principal robustness) + UIS-augmented listwise (ADR-0006 Robustness 1). Refit of the locked Model 2 spec 2e on alternative HLO measures and on the UIS-augmented listwise sample. Headline coefficient (row 1) does not survive sign-agreement against either AAP-2018 variant; the AAP-overlap null on the same primary sample window rules out sample-window composition as sole driver. The UIS-augmented listwise CI partially overlaps the primary CI in [0.32, 6.66] (weak robustness, not strong contradiction). ADR-0006 R2 multiple imputation retired per ADR-0012.</w:t>
            </w:r>
          </w:p>
          <w:tbl>
            <w:tblPr>
              <w:tblStyle w:val="Table"/>
              <w:tblW w:type="pct" w:w="5000"/>
              <w:tblLayout w:type="fixed"/>
              <w:tblLook w:firstRow="1" w:lastRow="0" w:firstColumn="0" w:lastColumn="0" w:noHBand="0" w:noVBand="0" w:val="0020"/>
            </w:tblPr>
            <w:tblGrid>
              <w:gridCol w:w="819"/>
              <w:gridCol w:w="1228"/>
              <w:gridCol w:w="1092"/>
              <w:gridCol w:w="682"/>
              <w:gridCol w:w="955"/>
              <w:gridCol w:w="955"/>
              <w:gridCol w:w="955"/>
              <w:gridCol w:w="1228"/>
            </w:tblGrid>
            <w:tr>
              <w:trPr>
                <w:tblHeader w:val="on"/>
              </w:trPr>
              <w:tc>
                <w:tcPr/>
                <w:p>
                  <w:pPr>
                    <w:pStyle w:val="Compact"/>
                    <w:jc w:val="center"/>
                  </w:pPr>
                  <w:r>
                    <w:t xml:space="preserve">Spec</w:t>
                  </w:r>
                </w:p>
              </w:tc>
              <w:tc>
                <w:tcPr/>
                <w:p>
                  <w:pPr>
                    <w:pStyle w:val="Compact"/>
                    <w:jc w:val="center"/>
                  </w:pPr>
                  <w:r>
                    <w:t xml:space="preserve">Outcome</w:t>
                  </w:r>
                </w:p>
              </w:tc>
              <w:tc>
                <w:tcPr/>
                <w:p>
                  <w:pPr>
                    <w:pStyle w:val="Compact"/>
                    <w:jc w:val="center"/>
                  </w:pPr>
                  <w:r>
                    <w:t xml:space="preserve">Sample</w:t>
                  </w:r>
                </w:p>
              </w:tc>
              <w:tc>
                <w:tcPr/>
                <w:p>
                  <w:pPr>
                    <w:pStyle w:val="Compact"/>
                    <w:jc w:val="right"/>
                    <w:jc w:val="center"/>
                  </w:pPr>
                  <w:r>
                    <w:t xml:space="preserve">N</w:t>
                  </w:r>
                </w:p>
              </w:tc>
              <w:tc>
                <w:tcPr/>
                <w:p>
                  <w:pPr>
                    <w:pStyle w:val="Compact"/>
                    <w:jc w:val="right"/>
                    <w:jc w:val="center"/>
                  </w:pPr>
                  <w:r>
                    <w:t xml:space="preserve">β_ODA</w:t>
                  </w:r>
                </w:p>
              </w:tc>
              <w:tc>
                <w:tcPr/>
                <w:p>
                  <w:pPr>
                    <w:pStyle w:val="Compact"/>
                    <w:jc w:val="right"/>
                    <w:jc w:val="center"/>
                  </w:pPr>
                  <w:r>
                    <w:t xml:space="preserve">SE</w:t>
                  </w:r>
                </w:p>
              </w:tc>
              <w:tc>
                <w:tcPr/>
                <w:p>
                  <w:pPr>
                    <w:pStyle w:val="Compact"/>
                    <w:jc w:val="right"/>
                    <w:jc w:val="center"/>
                  </w:pPr>
                  <w:r>
                    <w:t xml:space="preserve">p</w:t>
                  </w:r>
                </w:p>
              </w:tc>
              <w:tc>
                <w:tcPr/>
                <w:p>
                  <w:pPr>
                    <w:pStyle w:val="Compact"/>
                    <w:jc w:val="center"/>
                  </w:pPr>
                  <w:r>
                    <w:t xml:space="preserve">Verdict</w:t>
                  </w:r>
                </w:p>
              </w:tc>
            </w:tr>
            <w:tr>
              <w:tc>
                <w:tcPr/>
                <w:p>
                  <w:pPr>
                    <w:pStyle w:val="Compact"/>
                    <w:jc w:val="center"/>
                  </w:pPr>
                  <w:r>
                    <w:t xml:space="preserve">Primary (locked)</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143</w:t>
                  </w:r>
                </w:p>
              </w:tc>
              <w:tc>
                <w:tcPr/>
                <w:p>
                  <w:pPr>
                    <w:pStyle w:val="Compact"/>
                    <w:jc w:val="right"/>
                    <w:jc w:val="center"/>
                  </w:pPr>
                  <w:r>
                    <w:t xml:space="preserve">+11.14</w:t>
                  </w:r>
                </w:p>
              </w:tc>
              <w:tc>
                <w:tcPr/>
                <w:p>
                  <w:pPr>
                    <w:pStyle w:val="Compact"/>
                    <w:jc w:val="right"/>
                    <w:jc w:val="center"/>
                  </w:pPr>
                  <w:r>
                    <w:t xml:space="preserve">5.52</w:t>
                  </w:r>
                </w:p>
              </w:tc>
              <w:tc>
                <w:tcPr/>
                <w:p>
                  <w:pPr>
                    <w:pStyle w:val="Compact"/>
                    <w:jc w:val="right"/>
                    <w:jc w:val="center"/>
                  </w:pPr>
                  <w:r>
                    <w:t xml:space="preserve">~0.05</w:t>
                  </w:r>
                </w:p>
              </w:tc>
              <w:tc>
                <w:tcPr/>
                <w:p>
                  <w:pPr>
                    <w:pStyle w:val="Compact"/>
                    <w:jc w:val="center"/>
                  </w:pPr>
                  <w:r>
                    <w:t xml:space="preserve">(reference)</w:t>
                  </w:r>
                </w:p>
              </w:tc>
            </w:tr>
            <w:tr>
              <w:tc>
                <w:tcPr/>
                <w:p>
                  <w:pPr>
                    <w:pStyle w:val="Compact"/>
                    <w:jc w:val="center"/>
                  </w:pPr>
                  <w:r>
                    <w:t xml:space="preserve">AAP-2018 full coverage</w:t>
                  </w:r>
                </w:p>
              </w:tc>
              <w:tc>
                <w:tcPr/>
                <w:p>
                  <w:pPr>
                    <w:pStyle w:val="Compact"/>
                    <w:jc w:val="center"/>
                  </w:pPr>
                  <w:r>
                    <w:t xml:space="preserve">aap_hlo_aap</w:t>
                  </w:r>
                </w:p>
              </w:tc>
              <w:tc>
                <w:tcPr/>
                <w:p>
                  <w:pPr>
                    <w:pStyle w:val="Compact"/>
                    <w:jc w:val="center"/>
                  </w:pPr>
                  <w:r>
                    <w:t xml:space="preserve">1995–2015</w:t>
                  </w:r>
                </w:p>
              </w:tc>
              <w:tc>
                <w:tcPr/>
                <w:p>
                  <w:pPr>
                    <w:pStyle w:val="Compact"/>
                    <w:jc w:val="right"/>
                    <w:jc w:val="center"/>
                  </w:pPr>
                  <w:r>
                    <w:t xml:space="preserve">69</w:t>
                  </w:r>
                </w:p>
              </w:tc>
              <w:tc>
                <w:tcPr/>
                <w:p>
                  <w:pPr>
                    <w:pStyle w:val="Compact"/>
                    <w:jc w:val="right"/>
                    <w:jc w:val="center"/>
                  </w:pPr>
                  <w:r>
                    <w:t xml:space="preserve">−16.67</w:t>
                  </w:r>
                </w:p>
              </w:tc>
              <w:tc>
                <w:tcPr/>
                <w:p>
                  <w:pPr>
                    <w:pStyle w:val="Compact"/>
                    <w:jc w:val="right"/>
                    <w:jc w:val="center"/>
                  </w:pPr>
                  <w:r>
                    <w:t xml:space="preserve">5.96</w:t>
                  </w:r>
                </w:p>
              </w:tc>
              <w:tc>
                <w:tcPr/>
                <w:p>
                  <w:pPr>
                    <w:pStyle w:val="Compact"/>
                    <w:jc w:val="right"/>
                    <w:jc w:val="center"/>
                  </w:pPr>
                  <w:r>
                    <w:t xml:space="preserve">0.009</w:t>
                  </w:r>
                </w:p>
              </w:tc>
              <w:tc>
                <w:tcPr/>
                <w:p>
                  <w:pPr>
                    <w:pStyle w:val="Compact"/>
                    <w:jc w:val="center"/>
                  </w:pPr>
                  <w:r>
                    <w:t xml:space="preserve">Sign-flip; outside primary CI</w:t>
                  </w:r>
                </w:p>
              </w:tc>
            </w:tr>
            <w:tr>
              <w:tc>
                <w:tcPr/>
                <w:p>
                  <w:pPr>
                    <w:pStyle w:val="Compact"/>
                    <w:jc w:val="center"/>
                  </w:pPr>
                  <w:r>
                    <w:t xml:space="preserve">AAP-2018 overlap window</w:t>
                  </w:r>
                </w:p>
              </w:tc>
              <w:tc>
                <w:tcPr/>
                <w:p>
                  <w:pPr>
                    <w:pStyle w:val="Compact"/>
                    <w:jc w:val="center"/>
                  </w:pPr>
                  <w:r>
                    <w:t xml:space="preserve">aap_hlo_aap</w:t>
                  </w:r>
                </w:p>
              </w:tc>
              <w:tc>
                <w:tcPr/>
                <w:p>
                  <w:pPr>
                    <w:pStyle w:val="Compact"/>
                    <w:jc w:val="center"/>
                  </w:pPr>
                  <w:r>
                    <w:t xml:space="preserve">year ≥ 2010</w:t>
                  </w:r>
                </w:p>
              </w:tc>
              <w:tc>
                <w:tcPr/>
                <w:p>
                  <w:pPr>
                    <w:pStyle w:val="Compact"/>
                    <w:jc w:val="right"/>
                    <w:jc w:val="center"/>
                  </w:pPr>
                  <w:r>
                    <w:t xml:space="preserve">36</w:t>
                  </w:r>
                </w:p>
              </w:tc>
              <w:tc>
                <w:tcPr/>
                <w:p>
                  <w:pPr>
                    <w:pStyle w:val="Compact"/>
                    <w:jc w:val="right"/>
                    <w:jc w:val="center"/>
                  </w:pPr>
                  <w:r>
                    <w:t xml:space="preserve">−3.94</w:t>
                  </w:r>
                </w:p>
              </w:tc>
              <w:tc>
                <w:tcPr/>
                <w:p>
                  <w:pPr>
                    <w:pStyle w:val="Compact"/>
                    <w:jc w:val="right"/>
                    <w:jc w:val="center"/>
                  </w:pPr>
                  <w:r>
                    <w:t xml:space="preserve">8.68</w:t>
                  </w:r>
                </w:p>
              </w:tc>
              <w:tc>
                <w:tcPr/>
                <w:p>
                  <w:pPr>
                    <w:pStyle w:val="Compact"/>
                    <w:jc w:val="right"/>
                    <w:jc w:val="center"/>
                  </w:pPr>
                  <w:r>
                    <w:t xml:space="preserve">0.66</w:t>
                  </w:r>
                </w:p>
              </w:tc>
              <w:tc>
                <w:tcPr/>
                <w:p>
                  <w:pPr>
                    <w:pStyle w:val="Compact"/>
                    <w:jc w:val="center"/>
                  </w:pPr>
                  <w:r>
                    <w:t xml:space="preserve">Sign-flip; null on overlap window</w:t>
                  </w:r>
                </w:p>
              </w:tc>
            </w:tr>
            <w:tr>
              <w:tc>
                <w:tcPr/>
                <w:p>
                  <w:pPr>
                    <w:pStyle w:val="Compact"/>
                    <w:jc w:val="center"/>
                  </w:pPr>
                  <w:r>
                    <w:t xml:space="preserve">UIS-augmented listwise (ADR-0006 R1)</w:t>
                  </w:r>
                </w:p>
              </w:tc>
              <w:tc>
                <w:tcPr/>
                <w:p>
                  <w:pPr>
                    <w:pStyle w:val="Compact"/>
                    <w:jc w:val="center"/>
                  </w:pPr>
                  <w:r>
                    <w:t xml:space="preserve">hlo_hlo_score</w:t>
                  </w:r>
                </w:p>
              </w:tc>
              <w:tc>
                <w:tcPr/>
                <w:p>
                  <w:pPr>
                    <w:pStyle w:val="Compact"/>
                    <w:jc w:val="center"/>
                  </w:pPr>
                  <w:r>
                    <w:t xml:space="preserve">2010–2020</w:t>
                  </w:r>
                </w:p>
              </w:tc>
              <w:tc>
                <w:tcPr/>
                <w:p>
                  <w:pPr>
                    <w:pStyle w:val="Compact"/>
                    <w:jc w:val="right"/>
                    <w:jc w:val="center"/>
                  </w:pPr>
                  <w:r>
                    <w:t xml:space="preserve">41</w:t>
                  </w:r>
                </w:p>
              </w:tc>
              <w:tc>
                <w:tcPr/>
                <w:p>
                  <w:pPr>
                    <w:pStyle w:val="Compact"/>
                    <w:jc w:val="right"/>
                    <w:jc w:val="center"/>
                  </w:pPr>
                  <w:r>
                    <w:t xml:space="preserve">−1.97</w:t>
                  </w:r>
                </w:p>
              </w:tc>
              <w:tc>
                <w:tcPr/>
                <w:p>
                  <w:pPr>
                    <w:pStyle w:val="Compact"/>
                    <w:jc w:val="right"/>
                    <w:jc w:val="center"/>
                  </w:pPr>
                  <w:r>
                    <w:t xml:space="preserve">4.40</w:t>
                  </w:r>
                </w:p>
              </w:tc>
              <w:tc>
                <w:tcPr/>
                <w:p>
                  <w:pPr>
                    <w:pStyle w:val="Compact"/>
                    <w:jc w:val="right"/>
                    <w:jc w:val="center"/>
                  </w:pPr>
                  <w:r>
                    <w:t xml:space="preserve">&gt; 0.05</w:t>
                  </w:r>
                </w:p>
              </w:tc>
              <w:tc>
                <w:tcPr/>
                <w:p>
                  <w:pPr>
                    <w:pStyle w:val="Compact"/>
                    <w:jc w:val="center"/>
                  </w:pPr>
                  <w:r>
                    <w:t xml:space="preserve">Sign-flip; CIs partially overlap</w:t>
                  </w:r>
                </w:p>
              </w:tc>
            </w:tr>
          </w:tbl>
          <w:bookmarkEnd w:id="48"/>
          <w:p/>
        </w:tc>
      </w:tr>
    </w:tbl>
    <w:bookmarkEnd w:id="49"/>
    <w:bookmarkEnd w:id="50"/>
    <w:bookmarkStart w:id="56" w:name="Xa958bb73e2ed1aad5e094437b7951a4422c2829"/>
    <w:p>
      <w:pPr>
        <w:pStyle w:val="Heading1"/>
      </w:pPr>
      <w:r>
        <w:t xml:space="preserve">5. 5. Discussion — Why the system perpetuates itself</w:t>
      </w:r>
    </w:p>
    <w:bookmarkStart w:id="51" w:name="thesis"/>
    <w:p>
      <w:pPr>
        <w:pStyle w:val="Heading2"/>
      </w:pPr>
      <w:r>
        <w:t xml:space="preserve">5.1 5.1 Thesis</w:t>
      </w:r>
    </w:p>
    <w:p>
      <w:pPr>
        <w:pStyle w:val="FirstParagraph"/>
      </w:pPr>
      <w:r>
        <w:t xml:space="preserve">Three findings, taken together, mark out the empirical terrain of cross-country aid-effectiveness research as more constrained than the standard literature has admitted.</w:t>
      </w:r>
      <w:r>
        <w:t xml:space="preserve"> </w:t>
      </w:r>
      <w:r>
        <w:rPr>
          <w:i/>
          <w:iCs/>
        </w:rPr>
        <w:t xml:space="preserve">First</w:t>
      </w:r>
      <w:r>
        <w:t xml:space="preserve">, the four-bucket intervention typology the policy literature</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r>
        <w:t xml:space="preserve">treats as the operative axis of</w:t>
      </w:r>
      <w:r>
        <w:t xml:space="preserve"> </w:t>
      </w:r>
      <w:r>
        <w:t xml:space="preserve">“what aid composition produces learning”</w:t>
      </w:r>
      <w:r>
        <w:t xml:space="preserve"> </w:t>
      </w:r>
      <w:r>
        <w:t xml:space="preserve">is not recoverable from the standard donor-reporting dataset (OECD CRS project metadata) at any inter-method agreement threshold a referee would accept; the typology-ANOVA the brief and the field both expected from this kind of panel cannot be defensibly produced.</w:t>
      </w:r>
      <w:r>
        <w:t xml:space="preserve"> </w:t>
      </w:r>
      <w:r>
        <w:rPr>
          <w:i/>
          <w:iCs/>
        </w:rPr>
        <w:t xml:space="preserve">Second</w:t>
      </w:r>
      <w:r>
        <w:t xml:space="preserve">, the within-country positive aid-to-learning coefficient that the cross-country panel evidence does identify (β = +11.14 HLO points; p ≈ 0.05) is sensitive to the choice of harmonized learning measurement: the published Altinok-Angrist-Patrinos (2018) alternative reverses the sign in both the full AAP coverage window and the overlap window restricted to 2010 onward — the headline is real in one specification but does not carry across the published-measure choice.</w:t>
      </w:r>
      <w:r>
        <w:t xml:space="preserve"> </w:t>
      </w:r>
      <w:r>
        <w:rPr>
          <w:i/>
          <w:iCs/>
        </w:rPr>
        <w:t xml:space="preserve">Third</w:t>
      </w:r>
      <w:r>
        <w:t xml:space="preserve">, the multiple-imputation robustness check the missingness ADR pre-committed to requires assumptions (MAR) the MCAR test the same ADR pre-committed to running already refutes; the standard sensitivity-direction the literature treats as default is not, on this data, empirically defensible. Alongside, the paper’s HCI × AI-readiness joint composite quantifies a previously unmeasured ≈2× sub-Saharan-African over-representation in the low-HCI ∩ low-AI-readiness cell, giving the qualitative compounding-divergence thesis a concrete cross-section.</w:t>
      </w:r>
      <w:r>
        <w:t xml:space="preserve"> </w:t>
      </w:r>
      <w:r>
        <w:rPr>
          <w:i/>
          <w:iCs/>
        </w:rPr>
        <w:t xml:space="preserve">What the cross-country aid-effectiveness panel literature can rigorously claim from data at this shape is narrower than the policy discourse has been treating it as. The paper’s principal contribution is mapping that narrower terrain precisely, with the pre-commitment apparatus visible enough that the next paper attempting similar work knows which choices the field needs to make differently.</w:t>
      </w:r>
    </w:p>
    <w:bookmarkEnd w:id="51"/>
    <w:bookmarkStart w:id="52" w:name="the-typology-axis-lacuna-in-crs-metadata"/>
    <w:p>
      <w:pPr>
        <w:pStyle w:val="Heading2"/>
      </w:pPr>
      <w:r>
        <w:t xml:space="preserve">5.2 5.2 The typology-axis lacuna in CRS metadata</w:t>
      </w:r>
    </w:p>
    <w:p>
      <w:pPr>
        <w:pStyle w:val="FirstParagraph"/>
      </w:pPr>
      <w:r>
        <w:t xml:space="preserve">The policy literature on education aid effectiveness</w:t>
      </w:r>
      <w:r>
        <w:t xml:space="preserve"> </w:t>
      </w:r>
      <w:r>
        <w:t xml:space="preserve">(</w:t>
      </w:r>
      <w:hyperlink w:anchor="ref-glewwe2016improving">
        <w:r>
          <w:rPr>
            <w:rStyle w:val="Hyperlink"/>
          </w:rPr>
          <w:t xml:space="preserve">Glewwe &amp; Muralidharan, 2016</w:t>
        </w:r>
      </w:hyperlink>
      <w:r>
        <w:t xml:space="preserve">;</w:t>
      </w:r>
      <w:r>
        <w:t xml:space="preserve"> </w:t>
      </w:r>
      <w:hyperlink w:anchor="ref-geeap2023smart">
        <w:r>
          <w:rPr>
            <w:rStyle w:val="Hyperlink"/>
          </w:rPr>
          <w:t xml:space="preserve">Global Education Evidence Advisory Panel (GEEAP), 2023</w:t>
        </w:r>
      </w:hyperlink>
      <w:r>
        <w:t xml:space="preserve">;</w:t>
      </w:r>
      <w:r>
        <w:t xml:space="preserve"> </w:t>
      </w:r>
      <w:hyperlink w:anchor="ref-vegas2015when">
        <w:r>
          <w:rPr>
            <w:rStyle w:val="Hyperlink"/>
          </w:rPr>
          <w:t xml:space="preserve">Vegas &amp; Coffin, 2015</w:t>
        </w:r>
      </w:hyperlink>
      <w:r>
        <w:t xml:space="preserve">)</w:t>
      </w:r>
      <w:r>
        <w:t xml:space="preserve"> </w:t>
      </w:r>
      <w:r>
        <w:t xml:space="preserve">treats programmatic intervention type as the operative axis for cost-effectiveness comparison; the OECD CRS Creditor Reporting System records aid at the</w:t>
      </w:r>
      <w:r>
        <w:t xml:space="preserve"> </w:t>
      </w:r>
      <w:r>
        <w:rPr>
          <w:i/>
          <w:iCs/>
        </w:rPr>
        <w:t xml:space="preserve">sectoral</w:t>
      </w:r>
      <w:r>
        <w:t xml:space="preserve"> </w:t>
      </w:r>
      <w:r>
        <w:t xml:space="preserve">level via five-digit purpose codes (primary education, secondary education, education facilities and training, education policy, and so on) that aggregate over intervention type rather than recording it. The §4.4 classifier’s failure (39 percent agreement; κ = 0.19; 75.7 percent unclassified) is the empirical face of this lacuna: the rule-based classifier failed not because its 49 keyword patterns were poorly tuned but because CRS project descriptions do not consistently distinguish a teacher-training project from a school-construction project from a budget-support disbursement at the granularity the effectiveness literature operates on.</w:t>
      </w:r>
    </w:p>
    <w:p>
      <w:pPr>
        <w:pStyle w:val="BodyText"/>
      </w:pPr>
      <w:r>
        <w:t xml:space="preserve">The implication for the donor-reporting infrastructure is direct. The current CRS schema cannot support cross-country panel composition analysis of education aid at policy-relevant intervention granularity. Without intervention-type tagging at project-record creation — analogous to the OECD DAC’s existing voluntary policy markers for gender and environment, but coded at the programmatic level the effectiveness literature requires — cross-country panel work is structurally limited to aid-amount regressions of the kind the published literature relies on. The next generation of CRS schema needs intervention-type tagging if the field’s compositional questions are to become answerable at panel scale. §6 takes this up as a concrete donor-reporting-standard policy implication.</w:t>
      </w:r>
    </w:p>
    <w:bookmarkEnd w:id="52"/>
    <w:bookmarkStart w:id="53" w:name="X67c4303ec3c294a3eb84c6c1fc1eb7b468fc7e9"/>
    <w:p>
      <w:pPr>
        <w:pStyle w:val="Heading2"/>
      </w:pPr>
      <w:r>
        <w:t xml:space="preserve">5.3 5.3 Measure-fragility in cross-country learning research</w:t>
      </w:r>
    </w:p>
    <w:p>
      <w:pPr>
        <w:pStyle w:val="FirstParagraph"/>
      </w:pPr>
      <w:r>
        <w:t xml:space="preserve">The two harmonized HLO measures the cross-country panel literature operates on — the World Bank HCI HLOS and the Altinok-Angrist-Patrinos 2018 series — harmonize different underlying assessment universes via different linking-anchor assumptions. WB HCI HLOS uses TIMSS, PIRLS, SACMEQ, PASEC, the Latin American Laboratory for Assessment of the Quality of Education (LLECE), and the Early Grade Reading Assessment (EGRA) anchors with the World Bank’s post-2010 HCI cycle structure; AAP-2018 uses TIMSS, PIRLS, and SACMEQ with a pre-2018 publication window. The two measures’ country-coverage panels are structurally non-identical: different countries appear in different cycles of each measure’s coverage, with the WB HCI HLOS panel post-2017 anchored on the explicit Human Capital Project measurement strategy and the AAP-2018 panel anchored on the published cross-country test-score harmonization tradition Sandefur (2018) critiqued</w:t>
      </w:r>
      <w:r>
        <w:t xml:space="preserve"> </w:t>
      </w:r>
      <w:r>
        <w:t xml:space="preserve">(</w:t>
      </w:r>
      <w:hyperlink w:anchor="ref-sandefur2018internationally">
        <w:r>
          <w:rPr>
            <w:rStyle w:val="Hyperlink"/>
          </w:rPr>
          <w:t xml:space="preserve">Sandefur, 2018</w:t>
        </w:r>
      </w:hyperlink>
      <w:r>
        <w:t xml:space="preserve">)</w:t>
      </w:r>
      <w:r>
        <w:t xml:space="preserve">. Sandefur’s critique was specifically that cross-country</w:t>
      </w:r>
      <w:r>
        <w:t xml:space="preserve"> </w:t>
      </w:r>
      <w:r>
        <w:rPr>
          <w:i/>
          <w:iCs/>
        </w:rPr>
        <w:t xml:space="preserve">rankings</w:t>
      </w:r>
      <w:r>
        <w:t xml:space="preserve"> </w:t>
      </w:r>
      <w:r>
        <w:t xml:space="preserve">are sensitive to harmonization assumptions, and the implicit reading in the cross-country panel literature has been that within-country fixed effects absorb the level differences the harmonization linking introduces. The Pass 1 sensitivity reported in §4.7 demonstrates that this implicit reading is incomplete: within-country FE absorbs cross-country</w:t>
      </w:r>
      <w:r>
        <w:t xml:space="preserve"> </w:t>
      </w:r>
      <w:r>
        <w:rPr>
          <w:i/>
          <w:iCs/>
        </w:rPr>
        <w:t xml:space="preserve">level</w:t>
      </w:r>
      <w:r>
        <w:t xml:space="preserve"> </w:t>
      </w:r>
      <w:r>
        <w:t xml:space="preserve">differences as expected, but does not absorb</w:t>
      </w:r>
      <w:r>
        <w:t xml:space="preserve"> </w:t>
      </w:r>
      <w:r>
        <w:rPr>
          <w:i/>
          <w:iCs/>
        </w:rPr>
        <w:t xml:space="preserve">within-country measure noise</w:t>
      </w:r>
      <w:r>
        <w:t xml:space="preserve"> </w:t>
      </w:r>
      <w:r>
        <w:t xml:space="preserve">introduced by differential panel structures across the two measures.</w:t>
      </w:r>
    </w:p>
    <w:p>
      <w:pPr>
        <w:pStyle w:val="BodyText"/>
      </w:pPr>
      <w:r>
        <w:t xml:space="preserve">The within-country measure-fragility is itself a finding for the cross-country aid-learning literature. The standard reading of Sandefur 2018 — harmonization assumptions matter cross-sectionally but wash out under within-country fixed effects — does not hold in the within-FE specification on the WB HCI HLOS panel reported here. The headline aid-to-learning coefficient depends on the harmonized-measure choice in the within-FE specification as well, in a sign-reversing rather than magnitude-perturbing way. The path-c contribution here is empirical demonstration that the within-country dimension is not safe ground for the Sandefur critique either; cross-country aid-learning panel work that reports within-FE coefficients without measure-sensitivity reporting may be reporting a measure-specific finding without acknowledging the fragility. §6 takes this up as a measurement-investment policy implication: the cross-country learning measurement infrastructure the field operates on needs more redundancy than the current two-measure architecture provides.</w:t>
      </w:r>
    </w:p>
    <w:bookmarkEnd w:id="53"/>
    <w:bookmarkStart w:id="54" w:name="X68176b498a967230898823ad1069eaed084c68e"/>
    <w:p>
      <w:pPr>
        <w:pStyle w:val="Heading2"/>
      </w:pPr>
      <w:r>
        <w:t xml:space="preserve">5.4 5.4 The MCAR-MAR-MNAR triangle in donor-reporting data</w:t>
      </w:r>
    </w:p>
    <w:p>
      <w:pPr>
        <w:pStyle w:val="FirstParagraph"/>
      </w:pPr>
      <w:r>
        <w:t xml:space="preserve">The Rubin missingness taxonomy distinguishes MCAR (missing completely at random), MAR (missing at random, conditional on observed), and MNAR (missing not at random); listwise deletion is unbiased only under MCAR, and multiple imputation requires MAR. Donor-reporting data sits at the triangle’s hardest vertex. The UIS schooling-finance indicators that anchor the most policy-relevant control variable in cross-country aid-learning panels are missing on 91.8 percent of sub-Saharan-African country-years against single-digit percentages in OECD countries. The missingness</w:t>
      </w:r>
      <w:r>
        <w:t xml:space="preserve"> </w:t>
      </w:r>
      <w:r>
        <w:rPr>
          <w:i/>
          <w:iCs/>
        </w:rPr>
        <w:t xml:space="preserve">is</w:t>
      </w:r>
      <w:r>
        <w:t xml:space="preserve"> </w:t>
      </w:r>
      <w:r>
        <w:t xml:space="preserve">the data: which countries report depends on administrative capacity, which depends on the development conditions the panel is trying to explain.</w:t>
      </w:r>
    </w:p>
    <w:p>
      <w:pPr>
        <w:pStyle w:val="BodyText"/>
      </w:pPr>
      <w:r>
        <w:t xml:space="preserve">The pre-commit missingness ADR (ADR-0006, Phase 2) locked listwise-with-UIS-dropped as the production strategy with two complementary robustness specifications: UIS-augmented listwise (Robustness 1) and UIS-augmented multiple imputation (Robustness 2). The Pass 1 audit executed Robustness 1 and returned β = −1.97 (SE 4.40, N = 41 post-singleton, p &gt; 0.05) — weak robustness, with CI [−10.59, 6.66] partially overlapping the primary [0.32, 21.95] rather than contradicting it. Robustness 2 was retired by ADR-0012 on two grounds: the production-panel MCAR test rejected MCAR at p ≪ 10⁻⁶ on both the 6-column UIS-excluded subset (χ² = 175.80) and the 7-column UIS-augmented subset (χ² = 341.90), empirically refuting the MAR-sufficiency assumption multiple imputation requires; and the project’s no-fabrication discipline treats imputed values as fabrications that hide as real observations, in conflict with the standing pre-commitment that every value trace to a downloadable raw source.</w:t>
      </w:r>
    </w:p>
    <w:p>
      <w:pPr>
        <w:pStyle w:val="BodyText"/>
      </w:pPr>
      <w:r>
        <w:t xml:space="preserve">Cross-country aid-learning panel work that reports MI-based estimates without a published MCAR test makes an assumption — MAR — that the only existing MCAR test in this paper’s adjacent literature empirically refutes. The path-c contribution is to surface the MCAR/MAR/MNAR triangle as a first-class diagnostic step the field has under-engaged with: when donor-reporting-layer missingness is itself a function of the development conditions the panel is trying to explain, listwise and multiple imputation are not interchangeable robustness directions, and reporting both alongside an explicit MCAR result is the minimal methodological discipline. §6 takes this up as a donor-reporting-architecture policy implication.</w:t>
      </w:r>
    </w:p>
    <w:bookmarkEnd w:id="54"/>
    <w:bookmarkStart w:id="55" w:name="compounding-divergence-in-concrete-terms"/>
    <w:p>
      <w:pPr>
        <w:pStyle w:val="Heading2"/>
      </w:pPr>
      <w:r>
        <w:t xml:space="preserve">5.5 5.5 Compounding-divergence in concrete terms</w:t>
      </w:r>
    </w:p>
    <w:p>
      <w:pPr>
        <w:pStyle w:val="FirstParagraph"/>
      </w:pPr>
      <w:r>
        <w:t xml:space="preserve">The compounding-divergence thesis — that AI diffusion will widen rather than narrow the human-capital gap between countries already on different development trajectories — has been articulated at country and employment level by Brookings/UNDP</w:t>
      </w:r>
      <w:r>
        <w:t xml:space="preserve"> </w:t>
      </w:r>
      <w:r>
        <w:t xml:space="preserve">(</w:t>
      </w:r>
      <w:hyperlink w:anchor="ref-muthukrishna2025divergence">
        <w:r>
          <w:rPr>
            <w:rStyle w:val="Hyperlink"/>
          </w:rPr>
          <w:t xml:space="preserve">Muthukrishna &amp; Schellekens, 2025</w:t>
        </w:r>
      </w:hyperlink>
      <w:r>
        <w:t xml:space="preserve">)</w:t>
      </w:r>
      <w:r>
        <w:t xml:space="preserve">, the World Bank’s</w:t>
      </w:r>
      <w:r>
        <w:t xml:space="preserve"> </w:t>
      </w:r>
      <w:r>
        <w:rPr>
          <w:i/>
          <w:iCs/>
        </w:rPr>
        <w:t xml:space="preserve">Beyond the AI Divide</w:t>
      </w:r>
      <w:r>
        <w:t xml:space="preserve"> </w:t>
      </w:r>
      <w:r>
        <w:t xml:space="preserve">working paper</w:t>
      </w:r>
      <w:r>
        <w:t xml:space="preserve"> </w:t>
      </w:r>
      <w:r>
        <w:t xml:space="preserve">(</w:t>
      </w:r>
      <w:hyperlink w:anchor="ref-mandon2025beyond">
        <w:r>
          <w:rPr>
            <w:rStyle w:val="Hyperlink"/>
          </w:rPr>
          <w:t xml:space="preserve">Mandon, 2025</w:t>
        </w:r>
      </w:hyperlink>
      <w:r>
        <w:t xml:space="preserve">)</w:t>
      </w:r>
      <w:r>
        <w:t xml:space="preserve">, and the joint ILO–World Bank background study for</w:t>
      </w:r>
      <w:r>
        <w:t xml:space="preserve"> </w:t>
      </w:r>
      <w:r>
        <w:rPr>
          <w:i/>
          <w:iCs/>
        </w:rPr>
        <w:t xml:space="preserve">World Development Report 2026</w:t>
      </w:r>
      <w:r>
        <w:t xml:space="preserve"> </w:t>
      </w:r>
      <w:r>
        <w:t xml:space="preserve">(</w:t>
      </w:r>
      <w:hyperlink w:anchor="ref-ilo2026disruption">
        <w:r>
          <w:rPr>
            <w:rStyle w:val="Hyperlink"/>
          </w:rPr>
          <w:t xml:space="preserve">International Labour Organization &amp; World Bank, 2026</w:t>
        </w:r>
      </w:hyperlink>
      <w:r>
        <w:t xml:space="preserve">)</w:t>
      </w:r>
      <w:r>
        <w:t xml:space="preserve">. The §4.6 joint-distribution analysis operationalizes that thesis at the country cross-section: 47 of 132 countries fall in the low-HCI ∩ low-GARI double-excluded cell, 29 of those 47 are sub-Saharan African against an SSA sample share of 31.8 percent — a roughly two-fold over-representation. Five countries — South Sudan, the Central African Republic, Liberia, Yemen, and Chad — sit at the joint distribution’s most exposed corner.</w:t>
      </w:r>
    </w:p>
    <w:p>
      <w:pPr>
        <w:pStyle w:val="BodyText"/>
      </w:pPr>
      <w:r>
        <w:t xml:space="preserve">The two-fold SSA over-representation is a snapshot, not a trajectory. The longitudinal compounding-divergence claim — that countries in the double-excluded cell</w:t>
      </w:r>
      <w:r>
        <w:t xml:space="preserve"> </w:t>
      </w:r>
      <w:r>
        <w:rPr>
          <w:i/>
          <w:iCs/>
        </w:rPr>
        <w:t xml:space="preserve">fall further behind</w:t>
      </w:r>
      <w:r>
        <w:t xml:space="preserve"> </w:t>
      </w:r>
      <w:r>
        <w:t xml:space="preserve">as AI-driven productivity asymmetries widen — would require several future GARI editions paired with post-AI-diffusion HCI cycles to evaluate, and is not testable on a 2020/2025 cross-section. The path-c contribution here is empirical operationalization at a specific resolution: this paper is not aware of a prior peer-reviewed paper that constructs the explicit HCI × GARI joint composite at this country cross-section and quantifies the regional concentration. The trajectory question is a multi-edition empirical agenda for the field — and one that is itself contingent on whether GARI and HCI continue to be updated on comparable schedules.</w:t>
      </w:r>
    </w:p>
    <w:bookmarkEnd w:id="55"/>
    <w:bookmarkEnd w:id="56"/>
    <w:bookmarkStart w:id="61" w:name="policy-implications"/>
    <w:p>
      <w:pPr>
        <w:pStyle w:val="Heading1"/>
      </w:pPr>
      <w:r>
        <w:t xml:space="preserve">6. 6. Policy Implications</w:t>
      </w:r>
    </w:p>
    <w:bookmarkStart w:id="57" w:name="X98c1069b0af318ace0aab7d4c135814d18e9372"/>
    <w:p>
      <w:pPr>
        <w:pStyle w:val="Heading2"/>
      </w:pPr>
      <w:r>
        <w:t xml:space="preserve">6.1 6.1 An intervention-type policy marker in the OECD DAC Creditor Reporting System</w:t>
      </w:r>
    </w:p>
    <w:p>
      <w:pPr>
        <w:pStyle w:val="FirstParagraph"/>
      </w:pPr>
      <w:r>
        <w:t xml:space="preserve">The OECD DAC Working Party on Development Finance Statistics should add an</w:t>
      </w:r>
      <w:r>
        <w:t xml:space="preserve"> </w:t>
      </w:r>
      <w:r>
        <w:t xml:space="preserve">“education intervention type”</w:t>
      </w:r>
      <w:r>
        <w:t xml:space="preserve"> </w:t>
      </w:r>
      <w:r>
        <w:t xml:space="preserve">voluntary policy marker to the Creditor Reporting System for purpose codes 11110 through 11430, using a controlled vocabulary of six to seven categories derived from the GEEAP 2023 Smart Buys catalog</w:t>
      </w:r>
      <w:r>
        <w:t xml:space="preserve"> </w:t>
      </w:r>
      <w:r>
        <w:t xml:space="preserve">(</w:t>
      </w:r>
      <w:hyperlink w:anchor="ref-geeap2023smart">
        <w:r>
          <w:rPr>
            <w:rStyle w:val="Hyperlink"/>
          </w:rPr>
          <w:t xml:space="preserve">Global Education Evidence Advisory Panel (GEEAP), 2023</w:t>
        </w:r>
      </w:hyperlink>
      <w:r>
        <w:t xml:space="preserve">)</w:t>
      </w:r>
      <w:r>
        <w:t xml:space="preserve"> </w:t>
      </w:r>
      <w:r>
        <w:t xml:space="preserve">(structured pedagogy, pedagogical-targeting, individualized tutoring, infrastructure, teacher training, system-strengthening, budget support). The marker would be assigned at project-record creation, on the same 0/1/2 voluntary-to-mandatory model the DAC has used for the gender-equality marker (introduced 1997, mandatory 2007), the environment marker, and the Rio biodiversity and climate markers.</w:t>
      </w:r>
    </w:p>
    <w:p>
      <w:pPr>
        <w:pStyle w:val="BodyText"/>
      </w:pPr>
      <w:r>
        <w:t xml:space="preserve">The proposal is concrete enough that a DAC delegate from a sympathetic donor — Norway, Sweden, the United Kingdom’s FCDO, the Netherlands’ DGIS, or a multilateral observer such as the GPE Secretariat — could table it at the next Working Party on Development Finance Statistics meeting. The DAC has an existing template for voluntary-then-mandatory marker introduction; the implementation cost to donor reporting workflows is low because the marker infrastructure already exists; and the 39 percent inter-method agreement on the intervention-typology classifier reported in §4.4 is the kind of empirical evidence a working-party paper can cite as the binding-constraint case. The typology-axis lacuna documented in §5.2 is not a problem the field can solve from the demand side: it requires the supply-side intervention of recording intervention type at project-record creation, and the DAC is the only body with the authority to make that recording happen across the donor universe.</w:t>
      </w:r>
    </w:p>
    <w:bookmarkEnd w:id="57"/>
    <w:bookmarkStart w:id="58" w:name="Xea3a98bbed89d964de987c8f5c2f467c594a0b8"/>
    <w:p>
      <w:pPr>
        <w:pStyle w:val="Heading2"/>
      </w:pPr>
      <w:r>
        <w:t xml:space="preserve">6.2 6.2 Auditable measurement infrastructure for cross-country learning outcomes</w:t>
      </w:r>
    </w:p>
    <w:p>
      <w:pPr>
        <w:pStyle w:val="FirstParagraph"/>
      </w:pPr>
      <w:r>
        <w:t xml:space="preserve">The cross-country panel literature on aid-to-learning operates on two harmonized measures whose linking-anchor decisions and harmonization assumptions are not publicly auditable at the granularity needed to reconstruct or contest the within-country panel coefficient. The World Bank’s Human Capital Project, in partnership with the upstream assessment consortia — the IEA TIMSS/PIRLS network, SACMEQ, PASEC, LLECE, and EGRA — should publicly release the assessment-by-assessment linking-anchor decisions underlying the WB HCI HLOS series, so that an external researcher could reconstruct or contest the harmonization choices that shape the headline within-country answer. Alongside this transparency move, donors and research-funding bodies should commission monitoring of outcomes in the §4.6 low-HCI ∩ low-AI-readiness double-excluded cell as future GARI and HCI editions arrive, to convert the §4.6 snapshot into the trajectory observation the path-c framing has flagged as currently untestable.</w:t>
      </w:r>
    </w:p>
    <w:p>
      <w:pPr>
        <w:pStyle w:val="BodyText"/>
      </w:pPr>
      <w:r>
        <w:t xml:space="preserve">Complementing the upstream transparency move, journals publishing cross-country panel evidence on aid effectiveness should expect headline coefficients reported under at least two harmonized measures —</w:t>
      </w:r>
      <w:r>
        <w:t xml:space="preserve"> </w:t>
      </w:r>
      <w:r>
        <w:rPr>
          <w:i/>
          <w:iCs/>
        </w:rPr>
        <w:t xml:space="preserve">World Development</w:t>
      </w:r>
      <w:r>
        <w:t xml:space="preserve">, the</w:t>
      </w:r>
      <w:r>
        <w:t xml:space="preserve"> </w:t>
      </w:r>
      <w:r>
        <w:rPr>
          <w:i/>
          <w:iCs/>
        </w:rPr>
        <w:t xml:space="preserve">Journal of Development Studies</w:t>
      </w:r>
      <w:r>
        <w:t xml:space="preserve">, and the</w:t>
      </w:r>
      <w:r>
        <w:t xml:space="preserve"> </w:t>
      </w:r>
      <w:r>
        <w:rPr>
          <w:i/>
          <w:iCs/>
        </w:rPr>
        <w:t xml:space="preserve">Journal of Development Economics</w:t>
      </w:r>
      <w:r>
        <w:t xml:space="preserve"> </w:t>
      </w:r>
      <w:r>
        <w:t xml:space="preserve">are the natural sites — on the model of the American Economic Association Data Editor’s 2019 introduction of data-availability requirements which shifted reproducibility practice across the AEA journals in the years immediately following. The §4.7 measure-fragility sensitivity is the empirical case for a complementary funded benchmarking exercise comparing the WB HCI HLOS and AAP-2018 harmonization decisions on a common country set.</w:t>
      </w:r>
    </w:p>
    <w:bookmarkEnd w:id="58"/>
    <w:bookmarkStart w:id="59" w:name="X3d9bb2c7a6dab3a36ccc1bd6791655fdc68baf8"/>
    <w:p>
      <w:pPr>
        <w:pStyle w:val="Heading2"/>
      </w:pPr>
      <w:r>
        <w:t xml:space="preserve">6.3 6.3 Missingness-disclosure as a routine condition of cross-country panel publication</w:t>
      </w:r>
    </w:p>
    <w:p>
      <w:pPr>
        <w:pStyle w:val="FirstParagraph"/>
      </w:pPr>
      <w:r>
        <w:t xml:space="preserve">Journals publishing cross-country panel evidence in the aid-effectiveness literature should require a structured missingness-disclosure section as a routine condition of econometric-analysis submission. The disclosure section would report three items: the production-panel MCAR test result (Little’s test or equivalent) with explicit χ² and p-value; the listwise-deletion robustness against the primary specification, with point estimates and confidence intervals reported alongside the primary; and, if multiple imputation is used, explicit justification for the MAR assumption alongside the MCAR-test evidence. Where MCAR is rejected and MAR cannot be defended on the data, the missingness-disclosure section would document the retirement of MI as a robustness check on those grounds, on the model the §3.4 methodology section and the §5.4 MCAR-MAR-MNAR-triangle framework articulate in this paper.</w:t>
      </w:r>
    </w:p>
    <w:p>
      <w:pPr>
        <w:pStyle w:val="BodyText"/>
      </w:pPr>
      <w:r>
        <w:t xml:space="preserve">One journal editor’s decision implements this standard. The mechanism-precedent is the American Economic Association Data Editor’s 2019 introduction of data-availability requirements: one editor-level decision shifted reproducibility practice across the AEA journal family in the years immediately following.</w:t>
      </w:r>
      <w:r>
        <w:t xml:space="preserve"> </w:t>
      </w:r>
      <w:r>
        <w:rPr>
          <w:i/>
          <w:iCs/>
        </w:rPr>
        <w:t xml:space="preserve">World Development</w:t>
      </w:r>
      <w:r>
        <w:t xml:space="preserve"> </w:t>
      </w:r>
      <w:r>
        <w:t xml:space="preserve">editorial leadership could add a missingness-disclosure clause to the journal’s submission requirements for econometric analyses; the Berkeley Initiative for Transparency in the Social Sciences could adopt the same standard as a Phase-3 TIER protocol expansion. The cost to authors is low — the MCAR test is one command in any major statistical package — and the gain is that the field stops carrying MI-based estimates whose validity depends on assumptions the data refute, an asymmetric improvement in evidence quality at near-zero implementation friction.</w:t>
      </w:r>
    </w:p>
    <w:bookmarkEnd w:id="59"/>
    <w:bookmarkStart w:id="60" w:name="Xae69557b2f0dde6bd40043f943c8bfa0ee266e2"/>
    <w:p>
      <w:pPr>
        <w:pStyle w:val="Heading2"/>
      </w:pPr>
      <w:r>
        <w:t xml:space="preserve">6.4 6.4 Structural determinants in donor allocation models</w:t>
      </w:r>
    </w:p>
    <w:p>
      <w:pPr>
        <w:pStyle w:val="FirstParagraph"/>
      </w:pPr>
      <w:r>
        <w:t xml:space="preserve">The headline within-country coefficient on aid disbursement is hedged in this paper to the WB HCI HLOS specification on the 2010-2020 panel, but the coefficients on the structural variables — conflict-exposure intensity, governance-quality measured by the WGI Principal-Component-1, early-childhood public investment, and the OECD-DAC Sectoral Concentration index — tend to be more stable across the alternative specifications reported in §4.2 and the AAP-2018 sensitivity in §4.7. Donor allocation models that ignore these structural determinants leave a substantial share of cross-country learning-outcome variation unexplained even where the aid-on-learning relationship is itself contested. Multilateral and bilateral aid agencies should give the structural-determinant variables explicit weight in country-allocation decisions, on the recognition that the structural variables are the more stable predictor signal in the cross-country panel even when the aid-flow signal is hedged.</w:t>
      </w:r>
    </w:p>
    <w:p>
      <w:pPr>
        <w:pStyle w:val="BodyText"/>
      </w:pPr>
      <w:r>
        <w:t xml:space="preserve">This recommendation is offered in chastened form: the §4.2 coefficients are associational under the static-FE design ADR-0010 acknowledges is identification-strategy-of-last-resort at this data shape. The recommendation is that donor allocation models</w:t>
      </w:r>
      <w:r>
        <w:t xml:space="preserve"> </w:t>
      </w:r>
      <w:r>
        <w:rPr>
          <w:i/>
          <w:iCs/>
        </w:rPr>
        <w:t xml:space="preserve">include</w:t>
      </w:r>
      <w:r>
        <w:t xml:space="preserve"> </w:t>
      </w:r>
      <w:r>
        <w:t xml:space="preserve">the structural variables, not that they</w:t>
      </w:r>
      <w:r>
        <w:t xml:space="preserve"> </w:t>
      </w:r>
      <w:r>
        <w:rPr>
          <w:i/>
          <w:iCs/>
        </w:rPr>
        <w:t xml:space="preserve">act on</w:t>
      </w:r>
      <w:r>
        <w:t xml:space="preserve"> </w:t>
      </w:r>
      <w:r>
        <w:t xml:space="preserve">them in any prescriptive direction — a country with low governance-quality is not therefore an unsuitable aid recipient, just one where the donor model would benefit from acknowledging governance as a primary predictor of the outcome the aid is trying to affect rather than treating learning variation as residual.</w:t>
      </w:r>
    </w:p>
    <w:bookmarkEnd w:id="60"/>
    <w:bookmarkEnd w:id="61"/>
    <w:bookmarkStart w:id="62" w:name="conclusion"/>
    <w:p>
      <w:pPr>
        <w:pStyle w:val="Heading1"/>
      </w:pPr>
      <w:r>
        <w:t xml:space="preserve">7. 7. Conclusion</w:t>
      </w:r>
    </w:p>
    <w:p>
      <w:pPr>
        <w:pStyle w:val="FirstParagraph"/>
      </w:pPr>
      <w:r>
        <w:t xml:space="preserve">This paper contributes three findings to the cross-country aid-learning literature. The first is empirical: the §4.6 Compounding AI Penalty operationalizes the country-level human-capital-and-AI-readiness joint distribution at the 2020-2025 cross-section, quantifying a roughly two-fold over-representation of sub-Saharan Africa in the low-HCI ∩ low-AI-readiness double-excluded cell that we are not aware of a prior peer-reviewed paper having constructed at this exact resolution. The second is the path-c methodological framework articulated explicitly in §1, §3.4, and §5: pre-commit the analytical decisions in writing, execute the specifications as committed, and report the failures of those pre-commitments as findings for the field rather than as caveats to the analyst’s preferred result — the methodological-reflection tradition</w:t>
      </w:r>
      <w:r>
        <w:t xml:space="preserve"> </w:t>
      </w:r>
      <w:r>
        <w:t xml:space="preserve">(</w:t>
      </w:r>
      <w:hyperlink w:anchor="ref-deaton2018rcts">
        <w:r>
          <w:rPr>
            <w:rStyle w:val="Hyperlink"/>
          </w:rPr>
          <w:t xml:space="preserve">Deaton &amp; Cartwright, 2018</w:t>
        </w:r>
      </w:hyperlink>
      <w:r>
        <w:t xml:space="preserve">;</w:t>
      </w:r>
      <w:r>
        <w:t xml:space="preserve"> </w:t>
      </w:r>
      <w:hyperlink w:anchor="ref-sandefur2018internationally">
        <w:r>
          <w:rPr>
            <w:rStyle w:val="Hyperlink"/>
          </w:rPr>
          <w:t xml:space="preserve">Sandefur, 2018</w:t>
        </w:r>
      </w:hyperlink>
      <w:r>
        <w:t xml:space="preserve">;</w:t>
      </w:r>
      <w:r>
        <w:t xml:space="preserve"> </w:t>
      </w:r>
      <w:hyperlink w:anchor="ref-vivalt2020generalize">
        <w:r>
          <w:rPr>
            <w:rStyle w:val="Hyperlink"/>
          </w:rPr>
          <w:t xml:space="preserve">Vivalt, 2020</w:t>
        </w:r>
      </w:hyperlink>
      <w:r>
        <w:t xml:space="preserve">)</w:t>
      </w:r>
      <w:r>
        <w:t xml:space="preserve"> </w:t>
      </w:r>
      <w:r>
        <w:t xml:space="preserve">taken seriously as a working discipline rather than as a closing-paragraph caveat. The third is the within-country aid-to-learning coefficient itself in the WB HCI HLOS specification on the 2010-2020 panel, reported here at β = +11.14 (p ≈ 0.05) alongside the full sensitivity battery against the AAP-2018 alternative measure</w:t>
      </w:r>
      <w:r>
        <w:t xml:space="preserve"> </w:t>
      </w:r>
      <w:r>
        <w:t xml:space="preserve">(</w:t>
      </w:r>
      <w:hyperlink w:anchor="ref-altinok2018global">
        <w:r>
          <w:rPr>
            <w:rStyle w:val="Hyperlink"/>
          </w:rPr>
          <w:t xml:space="preserve">Altinok et al., 2018</w:t>
        </w:r>
      </w:hyperlink>
      <w:r>
        <w:t xml:space="preserve">)</w:t>
      </w:r>
      <w:r>
        <w:t xml:space="preserve"> </w:t>
      </w:r>
      <w:r>
        <w:t xml:space="preserve">that documents the coefficient’s measure-dependence.</w:t>
      </w:r>
    </w:p>
    <w:p>
      <w:pPr>
        <w:pStyle w:val="BodyText"/>
      </w:pPr>
      <w:r>
        <w:t xml:space="preserve">This paper does not establish causal identification of the aid-to-learning relationship. The static fixed-effects specification on a small-T panel (T_eff ≤ 4) is the identification strategy available at this data shape; the Arellano-Bond difference-GMM the brief Statistical Layer pre-committed to is not feasible per Bond 2002’s T ≥ 5–10 minimum (our effective T_eff ≤ 4); the Dumitrescu-Hurlin panel Granger pre-test fails the same small-T constraint; the Pass 1 audit doc closes both pre-commitments honestly rather than pretending the alternative specs ran. The within-country positive coefficient is hedged to its primary specification: the AAP-2018 alternative measure sign-reverses the coefficient in both the full coverage window and the overlap window restricted to 2010 onward. The §4.6 Compounding AI Penalty is a snapshot characterization of the divergence-vulnerable set, not a longitudinal estimate of the compounding-divergence effect itself; the latter would require several future Oxford GARI editions paired with post-AI-diffusion HCI cycles before it becomes empirically tractable.</w:t>
      </w:r>
    </w:p>
    <w:p>
      <w:pPr>
        <w:pStyle w:val="BodyText"/>
      </w:pPr>
      <w:r>
        <w:t xml:space="preserve">Each of these limits points to a concrete research-infrastructure recommendation articulated in §6. The OECD DAC Creditor Reporting System needs an intervention-type policy marker if the field’s compositional questions are to become answerable at panel scale. The World Bank HCI HLOS series needs its linking-anchor decisions publicly auditable if the within-country measure-fragility documented in §4.7 is to be resolvable. Cross-country panel evidence journals need a routine missingness-disclosure standard if MI-based estimates are to be assessed against the MAR assumption their validity depends on. Donor allocation models need structural-determinant weighting if the more stable predictor signal in the panel is to inform country-level decisions even where the aid-flow coefficient is hedged. The path-c framework’s contribution is that each of these is a finding for the field, not a caveat for the author — and that the calibrated map of what cross-country aid-effectiveness panel evidence can and cannot rigorously claim at the current data frontier is what this paper has spent eleven thousand words drawing.</w:t>
      </w:r>
    </w:p>
    <w:bookmarkEnd w:id="62"/>
    <w:bookmarkStart w:id="93" w:name="references"/>
    <w:p>
      <w:pPr>
        <w:pStyle w:val="Heading1"/>
      </w:pPr>
      <w:r>
        <w:t xml:space="preserve">References</w:t>
      </w:r>
    </w:p>
    <w:bookmarkStart w:id="92" w:name="refs"/>
    <w:bookmarkStart w:id="63" w:name="ref-altinok2018global"/>
    <w:p>
      <w:pPr>
        <w:pStyle w:val="Bibliography"/>
      </w:pPr>
      <w:r>
        <w:t xml:space="preserve">Altinok, N., Angrist, N., &amp; Patrinos, H. A. (2018).</w:t>
      </w:r>
      <w:r>
        <w:t xml:space="preserve"> </w:t>
      </w:r>
      <w:r>
        <w:rPr>
          <w:i/>
          <w:iCs/>
        </w:rPr>
        <w:t xml:space="preserve">Global data set on education quality (1965–2015)</w:t>
      </w:r>
      <w:r>
        <w:t xml:space="preserve"> </w:t>
      </w:r>
      <w:r>
        <w:t xml:space="preserve">(World Bank Policy Research Working Paper No. 8314). World Bank.</w:t>
      </w:r>
    </w:p>
    <w:bookmarkEnd w:id="63"/>
    <w:bookmarkStart w:id="64" w:name="ref-angrist2024lays"/>
    <w:p>
      <w:pPr>
        <w:pStyle w:val="Bibliography"/>
      </w:pPr>
      <w:r>
        <w:t xml:space="preserve">Angrist, N. (2024). Measuring learning outcomes with</w:t>
      </w:r>
      <w:r>
        <w:t xml:space="preserve"> </w:t>
      </w:r>
      <w:r>
        <w:t xml:space="preserve">LAYS</w:t>
      </w:r>
      <w:r>
        <w:t xml:space="preserve">: The learning-adjusted years of schooling framework.</w:t>
      </w:r>
      <w:r>
        <w:t xml:space="preserve"> </w:t>
      </w:r>
      <w:r>
        <w:rPr>
          <w:i/>
          <w:iCs/>
        </w:rPr>
        <w:t xml:space="preserve">Journal of Development Economics</w:t>
      </w:r>
      <w:r>
        <w:t xml:space="preserve">.</w:t>
      </w:r>
    </w:p>
    <w:bookmarkEnd w:id="64"/>
    <w:bookmarkStart w:id="65" w:name="ref-asongu2019aid"/>
    <w:p>
      <w:pPr>
        <w:pStyle w:val="Bibliography"/>
      </w:pPr>
      <w:r>
        <w:t xml:space="preserve">Asongu, S. A., &amp; Nwachukwu, J. C. (2019). Aid effectiveness in africa: Comparative evidence from</w:t>
      </w:r>
      <w:r>
        <w:t xml:space="preserve"> </w:t>
      </w:r>
      <w:r>
        <w:t xml:space="preserve">GMM</w:t>
      </w:r>
      <w:r>
        <w:t xml:space="preserve"> </w:t>
      </w:r>
      <w:r>
        <w:t xml:space="preserve">estimations.</w:t>
      </w:r>
      <w:r>
        <w:t xml:space="preserve"> </w:t>
      </w:r>
      <w:r>
        <w:rPr>
          <w:i/>
          <w:iCs/>
        </w:rPr>
        <w:t xml:space="preserve">Journal of Policy Modeling</w:t>
      </w:r>
      <w:r>
        <w:t xml:space="preserve">.</w:t>
      </w:r>
    </w:p>
    <w:bookmarkEnd w:id="65"/>
    <w:bookmarkStart w:id="67" w:name="ref-burnside2000aid"/>
    <w:p>
      <w:pPr>
        <w:pStyle w:val="Bibliography"/>
      </w:pPr>
      <w:r>
        <w:t xml:space="preserve">Burnside, C., &amp; Dollar, D. (2000). Aid, policies, and growth.</w:t>
      </w:r>
      <w:r>
        <w:t xml:space="preserve"> </w:t>
      </w:r>
      <w:r>
        <w:rPr>
          <w:i/>
          <w:iCs/>
        </w:rPr>
        <w:t xml:space="preserve">American Economic Review</w:t>
      </w:r>
      <w:r>
        <w:t xml:space="preserve">,</w:t>
      </w:r>
      <w:r>
        <w:t xml:space="preserve"> </w:t>
      </w:r>
      <w:r>
        <w:rPr>
          <w:i/>
          <w:iCs/>
        </w:rPr>
        <w:t xml:space="preserve">90</w:t>
      </w:r>
      <w:r>
        <w:t xml:space="preserve">(4), 847–868.</w:t>
      </w:r>
      <w:r>
        <w:t xml:space="preserve"> </w:t>
      </w:r>
      <w:hyperlink r:id="rId66">
        <w:r>
          <w:rPr>
            <w:rStyle w:val="Hyperlink"/>
          </w:rPr>
          <w:t xml:space="preserve">https://doi.org/10.1257/aer.90.4.847</w:t>
        </w:r>
      </w:hyperlink>
    </w:p>
    <w:bookmarkEnd w:id="67"/>
    <w:bookmarkStart w:id="69" w:name="ref-deaton2018rcts"/>
    <w:p>
      <w:pPr>
        <w:pStyle w:val="Bibliography"/>
      </w:pPr>
      <w:r>
        <w:t xml:space="preserve">Deaton, A., &amp; Cartwright, N. (2018). Understanding and misunderstanding randomized controlled trials.</w:t>
      </w:r>
      <w:r>
        <w:t xml:space="preserve"> </w:t>
      </w:r>
      <w:r>
        <w:rPr>
          <w:i/>
          <w:iCs/>
        </w:rPr>
        <w:t xml:space="preserve">Social Science &amp; Medicine</w:t>
      </w:r>
      <w:r>
        <w:t xml:space="preserve">,</w:t>
      </w:r>
      <w:r>
        <w:t xml:space="preserve"> </w:t>
      </w:r>
      <w:r>
        <w:rPr>
          <w:i/>
          <w:iCs/>
        </w:rPr>
        <w:t xml:space="preserve">210</w:t>
      </w:r>
      <w:r>
        <w:t xml:space="preserve">, 2–21.</w:t>
      </w:r>
      <w:r>
        <w:t xml:space="preserve"> </w:t>
      </w:r>
      <w:hyperlink r:id="rId68">
        <w:r>
          <w:rPr>
            <w:rStyle w:val="Hyperlink"/>
          </w:rPr>
          <w:t xml:space="preserve">https://doi.org/10.1016/j.socscimed.2017.12.005</w:t>
        </w:r>
      </w:hyperlink>
    </w:p>
    <w:bookmarkEnd w:id="69"/>
    <w:bookmarkStart w:id="71" w:name="ref-easterly2004aid"/>
    <w:p>
      <w:pPr>
        <w:pStyle w:val="Bibliography"/>
      </w:pPr>
      <w:r>
        <w:t xml:space="preserve">Easterly, W., Levine, R., &amp; Roodman, D. (2004). Aid, policies, and growth: comment.</w:t>
      </w:r>
      <w:r>
        <w:t xml:space="preserve"> </w:t>
      </w:r>
      <w:r>
        <w:rPr>
          <w:i/>
          <w:iCs/>
        </w:rPr>
        <w:t xml:space="preserve">American Economic Review</w:t>
      </w:r>
      <w:r>
        <w:t xml:space="preserve">,</w:t>
      </w:r>
      <w:r>
        <w:t xml:space="preserve"> </w:t>
      </w:r>
      <w:r>
        <w:rPr>
          <w:i/>
          <w:iCs/>
        </w:rPr>
        <w:t xml:space="preserve">94</w:t>
      </w:r>
      <w:r>
        <w:t xml:space="preserve">(3), 774–780.</w:t>
      </w:r>
      <w:r>
        <w:t xml:space="preserve"> </w:t>
      </w:r>
      <w:hyperlink r:id="rId70">
        <w:r>
          <w:rPr>
            <w:rStyle w:val="Hyperlink"/>
          </w:rPr>
          <w:t xml:space="preserve">https://doi.org/10.1257/0002828041464560</w:t>
        </w:r>
      </w:hyperlink>
    </w:p>
    <w:bookmarkEnd w:id="71"/>
    <w:bookmarkStart w:id="72" w:name="ref-glewwe2016improving"/>
    <w:p>
      <w:pPr>
        <w:pStyle w:val="Bibliography"/>
      </w:pPr>
      <w:r>
        <w:t xml:space="preserve">Glewwe, P., &amp; Muralidharan, K. (2016). Improving education outcomes in developing countries: Evidence, knowledge gaps, and policy implications. In E. A. Hanushek, S. Machin, &amp; L. Woessmann (Eds.),</w:t>
      </w:r>
      <w:r>
        <w:t xml:space="preserve"> </w:t>
      </w:r>
      <w:r>
        <w:rPr>
          <w:i/>
          <w:iCs/>
        </w:rPr>
        <w:t xml:space="preserve">Handbook of the economics of education</w:t>
      </w:r>
      <w:r>
        <w:t xml:space="preserve"> </w:t>
      </w:r>
      <w:r>
        <w:t xml:space="preserve">(Vol. 5, pp. 653–743). Elsevier.</w:t>
      </w:r>
    </w:p>
    <w:bookmarkEnd w:id="72"/>
    <w:bookmarkStart w:id="73" w:name="ref-geeap2023smart"/>
    <w:p>
      <w:pPr>
        <w:pStyle w:val="Bibliography"/>
      </w:pPr>
      <w:r>
        <w:t xml:space="preserve">Global Education Evidence Advisory Panel (GEEAP). (2023).</w:t>
      </w:r>
      <w:r>
        <w:t xml:space="preserve"> </w:t>
      </w:r>
      <w:r>
        <w:rPr>
          <w:i/>
          <w:iCs/>
        </w:rPr>
        <w:t xml:space="preserve">Cost-effective approaches to improve global learning: What does recent evidence tell us are</w:t>
      </w:r>
      <w:r>
        <w:rPr>
          <w:i/>
          <w:iCs/>
        </w:rPr>
        <w:t xml:space="preserve"> </w:t>
      </w:r>
      <w:r>
        <w:rPr>
          <w:i/>
          <w:iCs/>
        </w:rPr>
        <w:t xml:space="preserve">“</w:t>
      </w:r>
      <w:r>
        <w:rPr>
          <w:i/>
          <w:iCs/>
        </w:rPr>
        <w:t xml:space="preserve">S</w:t>
      </w:r>
      <w:r>
        <w:rPr>
          <w:i/>
          <w:iCs/>
        </w:rPr>
        <w:t xml:space="preserve">mart</w:t>
      </w:r>
      <w:r>
        <w:rPr>
          <w:i/>
          <w:iCs/>
        </w:rPr>
        <w:t xml:space="preserve"> </w:t>
      </w:r>
      <w:r>
        <w:rPr>
          <w:i/>
          <w:iCs/>
        </w:rPr>
        <w:t xml:space="preserve">B</w:t>
      </w:r>
      <w:r>
        <w:rPr>
          <w:i/>
          <w:iCs/>
        </w:rPr>
        <w:t xml:space="preserve">uys”</w:t>
      </w:r>
      <w:r>
        <w:rPr>
          <w:i/>
          <w:iCs/>
        </w:rPr>
        <w:t xml:space="preserve"> </w:t>
      </w:r>
      <w:r>
        <w:rPr>
          <w:i/>
          <w:iCs/>
        </w:rPr>
        <w:t xml:space="preserve">for improving learning in low- and middle-income countries?</w:t>
      </w:r>
      <w:r>
        <w:t xml:space="preserve"> World Bank &amp; Foreign, Commonwealth &amp; Development Office.</w:t>
      </w:r>
    </w:p>
    <w:bookmarkEnd w:id="73"/>
    <w:bookmarkStart w:id="75" w:name="ref-hanushek2008role"/>
    <w:p>
      <w:pPr>
        <w:pStyle w:val="Bibliography"/>
      </w:pPr>
      <w:r>
        <w:t xml:space="preserve">Hanushek, E. A., &amp; Woessmann, L. (2008). The role of cognitive skills in economic development.</w:t>
      </w:r>
      <w:r>
        <w:t xml:space="preserve"> </w:t>
      </w:r>
      <w:r>
        <w:rPr>
          <w:i/>
          <w:iCs/>
        </w:rPr>
        <w:t xml:space="preserve">Journal of Economic Literature</w:t>
      </w:r>
      <w:r>
        <w:t xml:space="preserve">,</w:t>
      </w:r>
      <w:r>
        <w:t xml:space="preserve"> </w:t>
      </w:r>
      <w:r>
        <w:rPr>
          <w:i/>
          <w:iCs/>
        </w:rPr>
        <w:t xml:space="preserve">46</w:t>
      </w:r>
      <w:r>
        <w:t xml:space="preserve">(3), 607–668.</w:t>
      </w:r>
      <w:r>
        <w:t xml:space="preserve"> </w:t>
      </w:r>
      <w:hyperlink r:id="rId74">
        <w:r>
          <w:rPr>
            <w:rStyle w:val="Hyperlink"/>
          </w:rPr>
          <w:t xml:space="preserve">https://doi.org/10.1257/jel.46.3.607</w:t>
        </w:r>
      </w:hyperlink>
    </w:p>
    <w:bookmarkEnd w:id="75"/>
    <w:bookmarkStart w:id="77" w:name="ref-hanushek2015knowledge"/>
    <w:p>
      <w:pPr>
        <w:pStyle w:val="Bibliography"/>
      </w:pPr>
      <w:r>
        <w:t xml:space="preserve">Hanushek, E. A., &amp; Woessmann, L. (2015).</w:t>
      </w:r>
      <w:r>
        <w:t xml:space="preserve"> </w:t>
      </w:r>
      <w:r>
        <w:rPr>
          <w:i/>
          <w:iCs/>
        </w:rPr>
        <w:t xml:space="preserve">Universal basic skills: What countries stand to gain</w:t>
      </w:r>
      <w:r>
        <w:t xml:space="preserve">.</w:t>
      </w:r>
      <w:r>
        <w:t xml:space="preserve"> </w:t>
      </w:r>
      <w:hyperlink r:id="rId76">
        <w:r>
          <w:rPr>
            <w:rStyle w:val="Hyperlink"/>
          </w:rPr>
          <w:t xml:space="preserve">https://doi.org/10.1787/9789264234833-en</w:t>
        </w:r>
      </w:hyperlink>
    </w:p>
    <w:bookmarkEnd w:id="77"/>
    <w:bookmarkStart w:id="79" w:name="ref-ilo2026disruption"/>
    <w:p>
      <w:pPr>
        <w:pStyle w:val="Bibliography"/>
      </w:pPr>
      <w:r>
        <w:t xml:space="preserve">International Labour Organization, &amp; World Bank. (2026).</w:t>
      </w:r>
      <w:r>
        <w:t xml:space="preserve"> </w:t>
      </w:r>
      <w:r>
        <w:rPr>
          <w:i/>
          <w:iCs/>
        </w:rPr>
        <w:t xml:space="preserve">Disruption without dividend? How the digital divide and task differences split</w:t>
      </w:r>
      <w:r>
        <w:rPr>
          <w:i/>
          <w:iCs/>
        </w:rPr>
        <w:t xml:space="preserve"> </w:t>
      </w:r>
      <w:r>
        <w:rPr>
          <w:i/>
          <w:iCs/>
        </w:rPr>
        <w:t xml:space="preserve">G</w:t>
      </w:r>
      <w:r>
        <w:rPr>
          <w:i/>
          <w:iCs/>
        </w:rPr>
        <w:t xml:space="preserve">en</w:t>
      </w:r>
      <w:r>
        <w:rPr>
          <w:i/>
          <w:iCs/>
        </w:rPr>
        <w:t xml:space="preserve">AI</w:t>
      </w:r>
      <w:r>
        <w:rPr>
          <w:i/>
          <w:iCs/>
        </w:rPr>
        <w:t xml:space="preserve">’s global impact</w:t>
      </w:r>
      <w:r>
        <w:t xml:space="preserve">. International Labour Organization; World Bank.</w:t>
      </w:r>
      <w:r>
        <w:t xml:space="preserve"> </w:t>
      </w:r>
      <w:hyperlink r:id="rId78">
        <w:r>
          <w:rPr>
            <w:rStyle w:val="Hyperlink"/>
          </w:rPr>
          <w:t xml:space="preserve">https://www.ilo.org/publications/disruption-without-dividend-how-digital-divide-and-task-differences-split</w:t>
        </w:r>
      </w:hyperlink>
    </w:p>
    <w:bookmarkEnd w:id="79"/>
    <w:bookmarkStart w:id="81" w:name="ref-langbein2010governance"/>
    <w:p>
      <w:pPr>
        <w:pStyle w:val="Bibliography"/>
      </w:pPr>
      <w:r>
        <w:t xml:space="preserve">Langbein, L., &amp; Knack, S. (2010). The</w:t>
      </w:r>
      <w:r>
        <w:t xml:space="preserve"> </w:t>
      </w:r>
      <w:r>
        <w:t xml:space="preserve">W</w:t>
      </w:r>
      <w:r>
        <w:t xml:space="preserve">orldwide</w:t>
      </w:r>
      <w:r>
        <w:t xml:space="preserve"> </w:t>
      </w:r>
      <w:r>
        <w:t xml:space="preserve">G</w:t>
      </w:r>
      <w:r>
        <w:t xml:space="preserve">overnance</w:t>
      </w:r>
      <w:r>
        <w:t xml:space="preserve"> </w:t>
      </w:r>
      <w:r>
        <w:t xml:space="preserve">I</w:t>
      </w:r>
      <w:r>
        <w:t xml:space="preserve">ndicators: Six, one, or none?</w:t>
      </w:r>
      <w:r>
        <w:t xml:space="preserve"> </w:t>
      </w:r>
      <w:r>
        <w:rPr>
          <w:i/>
          <w:iCs/>
        </w:rPr>
        <w:t xml:space="preserve">Journal of Development Studies</w:t>
      </w:r>
      <w:r>
        <w:t xml:space="preserve">,</w:t>
      </w:r>
      <w:r>
        <w:t xml:space="preserve"> </w:t>
      </w:r>
      <w:r>
        <w:rPr>
          <w:i/>
          <w:iCs/>
        </w:rPr>
        <w:t xml:space="preserve">46</w:t>
      </w:r>
      <w:r>
        <w:t xml:space="preserve">(2), 350–370.</w:t>
      </w:r>
      <w:r>
        <w:t xml:space="preserve"> </w:t>
      </w:r>
      <w:hyperlink r:id="rId80">
        <w:r>
          <w:rPr>
            <w:rStyle w:val="Hyperlink"/>
          </w:rPr>
          <w:t xml:space="preserve">https://doi.org/10.1080/00220380902952399</w:t>
        </w:r>
      </w:hyperlink>
    </w:p>
    <w:bookmarkEnd w:id="81"/>
    <w:bookmarkStart w:id="83" w:name="ref-mandon2025beyond"/>
    <w:p>
      <w:pPr>
        <w:pStyle w:val="Bibliography"/>
      </w:pPr>
      <w:r>
        <w:t xml:space="preserve">Mandon, P. J.-C. (2025).</w:t>
      </w:r>
      <w:r>
        <w:t xml:space="preserve"> </w:t>
      </w:r>
      <w:r>
        <w:rPr>
          <w:i/>
          <w:iCs/>
        </w:rPr>
        <w:t xml:space="preserve">Beyond the</w:t>
      </w:r>
      <w:r>
        <w:rPr>
          <w:i/>
          <w:iCs/>
        </w:rPr>
        <w:t xml:space="preserve"> </w:t>
      </w:r>
      <w:r>
        <w:rPr>
          <w:i/>
          <w:iCs/>
        </w:rPr>
        <w:t xml:space="preserve">AI</w:t>
      </w:r>
      <w:r>
        <w:rPr>
          <w:i/>
          <w:iCs/>
        </w:rPr>
        <w:t xml:space="preserve"> </w:t>
      </w:r>
      <w:r>
        <w:rPr>
          <w:i/>
          <w:iCs/>
        </w:rPr>
        <w:t xml:space="preserve">divide: A simple approach to identifying global and local overperformers in</w:t>
      </w:r>
      <w:r>
        <w:rPr>
          <w:i/>
          <w:iCs/>
        </w:rPr>
        <w:t xml:space="preserve"> </w:t>
      </w:r>
      <w:r>
        <w:rPr>
          <w:i/>
          <w:iCs/>
        </w:rPr>
        <w:t xml:space="preserve">AI</w:t>
      </w:r>
      <w:r>
        <w:rPr>
          <w:i/>
          <w:iCs/>
        </w:rPr>
        <w:t xml:space="preserve"> </w:t>
      </w:r>
      <w:r>
        <w:rPr>
          <w:i/>
          <w:iCs/>
        </w:rPr>
        <w:t xml:space="preserve">preparedness</w:t>
      </w:r>
      <w:r>
        <w:t xml:space="preserve"> </w:t>
      </w:r>
      <w:r>
        <w:t xml:space="preserve">(Policy Research Working Paper No. 11073). World Bank.</w:t>
      </w:r>
      <w:r>
        <w:t xml:space="preserve"> </w:t>
      </w:r>
      <w:hyperlink r:id="rId82">
        <w:r>
          <w:rPr>
            <w:rStyle w:val="Hyperlink"/>
          </w:rPr>
          <w:t xml:space="preserve">https://documents.worldbank.org/en/publication/documents-reports/documentdetail/099517502242572646</w:t>
        </w:r>
      </w:hyperlink>
    </w:p>
    <w:bookmarkEnd w:id="83"/>
    <w:bookmarkStart w:id="85" w:name="ref-muthukrishna2025divergence"/>
    <w:p>
      <w:pPr>
        <w:pStyle w:val="Bibliography"/>
      </w:pPr>
      <w:r>
        <w:t xml:space="preserve">Muthukrishna, M., &amp; Schellekens, P. (2025).</w:t>
      </w:r>
      <w:r>
        <w:t xml:space="preserve"> </w:t>
      </w:r>
      <w:r>
        <w:rPr>
          <w:i/>
          <w:iCs/>
        </w:rPr>
        <w:t xml:space="preserve">The next great divergence: Why</w:t>
      </w:r>
      <w:r>
        <w:rPr>
          <w:i/>
          <w:iCs/>
        </w:rPr>
        <w:t xml:space="preserve"> </w:t>
      </w:r>
      <w:r>
        <w:rPr>
          <w:i/>
          <w:iCs/>
        </w:rPr>
        <w:t xml:space="preserve">AI</w:t>
      </w:r>
      <w:r>
        <w:rPr>
          <w:i/>
          <w:iCs/>
        </w:rPr>
        <w:t xml:space="preserve"> </w:t>
      </w:r>
      <w:r>
        <w:rPr>
          <w:i/>
          <w:iCs/>
        </w:rPr>
        <w:t xml:space="preserve">may widen inequality between countries</w:t>
      </w:r>
      <w:r>
        <w:t xml:space="preserve">. United Nations Development Programme, Regional Bureau for Asia; the Pacific.</w:t>
      </w:r>
      <w:r>
        <w:t xml:space="preserve"> </w:t>
      </w:r>
      <w:hyperlink r:id="rId84">
        <w:r>
          <w:rPr>
            <w:rStyle w:val="Hyperlink"/>
          </w:rPr>
          <w:t xml:space="preserve">https://www.undp.org/asia-pacific/publications/next-great-divergence</w:t>
        </w:r>
      </w:hyperlink>
    </w:p>
    <w:bookmarkEnd w:id="85"/>
    <w:bookmarkStart w:id="86" w:name="ref-pritchett2013rebirth"/>
    <w:p>
      <w:pPr>
        <w:pStyle w:val="Bibliography"/>
      </w:pPr>
      <w:r>
        <w:t xml:space="preserve">Pritchett, L. (2013).</w:t>
      </w:r>
      <w:r>
        <w:t xml:space="preserve"> </w:t>
      </w:r>
      <w:r>
        <w:rPr>
          <w:i/>
          <w:iCs/>
        </w:rPr>
        <w:t xml:space="preserve">The rebirth of education: Schooling ain’t learning</w:t>
      </w:r>
      <w:r>
        <w:t xml:space="preserve">. Center for Global Development.</w:t>
      </w:r>
    </w:p>
    <w:bookmarkEnd w:id="86"/>
    <w:bookmarkStart w:id="87" w:name="ref-sandefur2018internationally"/>
    <w:p>
      <w:pPr>
        <w:pStyle w:val="Bibliography"/>
      </w:pPr>
      <w:r>
        <w:t xml:space="preserve">Sandefur, J. (2018).</w:t>
      </w:r>
      <w:r>
        <w:t xml:space="preserve"> </w:t>
      </w:r>
      <w:r>
        <w:rPr>
          <w:i/>
          <w:iCs/>
        </w:rPr>
        <w:t xml:space="preserve">Internationally comparable mathematics scores for fourteen</w:t>
      </w:r>
      <w:r>
        <w:rPr>
          <w:i/>
          <w:iCs/>
        </w:rPr>
        <w:t xml:space="preserve"> </w:t>
      </w:r>
      <w:r>
        <w:rPr>
          <w:i/>
          <w:iCs/>
        </w:rPr>
        <w:t xml:space="preserve">A</w:t>
      </w:r>
      <w:r>
        <w:rPr>
          <w:i/>
          <w:iCs/>
        </w:rPr>
        <w:t xml:space="preserve">frican countries</w:t>
      </w:r>
      <w:r>
        <w:t xml:space="preserve"> </w:t>
      </w:r>
      <w:r>
        <w:t xml:space="preserve">(Center for Global Development Working Paper No. 444). Center for Global Development.</w:t>
      </w:r>
    </w:p>
    <w:bookmarkEnd w:id="87"/>
    <w:bookmarkStart w:id="89" w:name="ref-vegas2015when"/>
    <w:p>
      <w:pPr>
        <w:pStyle w:val="Bibliography"/>
      </w:pPr>
      <w:r>
        <w:t xml:space="preserve">Vegas, E., &amp; Coffin, C. (2015). When education expenditure matters: An empirical analysis of recent international data.</w:t>
      </w:r>
      <w:r>
        <w:t xml:space="preserve"> </w:t>
      </w:r>
      <w:r>
        <w:rPr>
          <w:i/>
          <w:iCs/>
        </w:rPr>
        <w:t xml:space="preserve">Comparative Education Review</w:t>
      </w:r>
      <w:r>
        <w:t xml:space="preserve">,</w:t>
      </w:r>
      <w:r>
        <w:t xml:space="preserve"> </w:t>
      </w:r>
      <w:r>
        <w:rPr>
          <w:i/>
          <w:iCs/>
        </w:rPr>
        <w:t xml:space="preserve">59</w:t>
      </w:r>
      <w:r>
        <w:t xml:space="preserve">(2), 289–304.</w:t>
      </w:r>
      <w:r>
        <w:t xml:space="preserve"> </w:t>
      </w:r>
      <w:hyperlink r:id="rId88">
        <w:r>
          <w:rPr>
            <w:rStyle w:val="Hyperlink"/>
          </w:rPr>
          <w:t xml:space="preserve">https://doi.org/10.1086/680324</w:t>
        </w:r>
      </w:hyperlink>
    </w:p>
    <w:bookmarkEnd w:id="89"/>
    <w:bookmarkStart w:id="91" w:name="ref-vivalt2020generalize"/>
    <w:p>
      <w:pPr>
        <w:pStyle w:val="Bibliography"/>
      </w:pPr>
      <w:r>
        <w:t xml:space="preserve">Vivalt, E. (2020). How much can we generalize from impact evaluations?</w:t>
      </w:r>
      <w:r>
        <w:t xml:space="preserve"> </w:t>
      </w:r>
      <w:r>
        <w:rPr>
          <w:i/>
          <w:iCs/>
        </w:rPr>
        <w:t xml:space="preserve">Journal of the European Economic Association</w:t>
      </w:r>
      <w:r>
        <w:t xml:space="preserve">,</w:t>
      </w:r>
      <w:r>
        <w:t xml:space="preserve"> </w:t>
      </w:r>
      <w:r>
        <w:rPr>
          <w:i/>
          <w:iCs/>
        </w:rPr>
        <w:t xml:space="preserve">18</w:t>
      </w:r>
      <w:r>
        <w:t xml:space="preserve">(6), 3045–3089.</w:t>
      </w:r>
      <w:r>
        <w:t xml:space="preserve"> </w:t>
      </w:r>
      <w:hyperlink r:id="rId90">
        <w:r>
          <w:rPr>
            <w:rStyle w:val="Hyperlink"/>
          </w:rPr>
          <w:t xml:space="preserve">https://doi.org/10.1093/jeea/jvaa019</w:t>
        </w:r>
      </w:hyperlink>
    </w:p>
    <w:bookmarkEnd w:id="91"/>
    <w:bookmarkEnd w:id="92"/>
    <w:bookmarkEnd w:id="93"/>
    <w:bookmarkStart w:id="114" w:name="appendix-a-full-regression-tables"/>
    <w:p>
      <w:pPr>
        <w:pStyle w:val="Heading1"/>
      </w:pPr>
      <w:r>
        <w:t xml:space="preserve">Appendix A: Full regression tables</w:t>
      </w:r>
    </w:p>
    <w:p>
      <w:pPr>
        <w:pStyle w:val="FirstParagraph"/>
      </w:pPr>
      <w:r>
        <w:t xml:space="preserve">The main-text Tables 1–6 present compressed views of the locked specifications. The full progression of every model — including the spec rows and coefficient columns elided in the main text — is reproduced below from</w:t>
      </w:r>
      <w:r>
        <w:t xml:space="preserve"> </w:t>
      </w:r>
      <w:r>
        <w:rPr>
          <w:rStyle w:val="VerbatimChar"/>
        </w:rPr>
        <w:t xml:space="preserve">output/tables/</w:t>
      </w:r>
      <w:r>
        <w:t xml:space="preserve"> </w:t>
      </w:r>
      <w:r>
        <w:t xml:space="preserve">machine-readable artifacts. All tables use country-clustered SE in Model 2 (panel FE specifications) and HC-robust SE in Model 1 (cross-sectional OLS).</w:t>
      </w:r>
    </w:p>
    <w:bookmarkStart w:id="94" w:name="a.1-adr-inventory"/>
    <w:p>
      <w:pPr>
        <w:pStyle w:val="Heading2"/>
      </w:pPr>
      <w:r>
        <w:t xml:space="preserve">A.1 ADR inventory</w:t>
      </w:r>
    </w:p>
    <w:p>
      <w:pPr>
        <w:pStyle w:val="FirstParagraph"/>
      </w:pPr>
      <w:r>
        <w:t xml:space="preserve">The pre-commitment design referenced throughout §3.2 rests on twelve Architecture Decision Records, summarized below; full ADR documents at</w:t>
      </w:r>
      <w:r>
        <w:t xml:space="preserve"> </w:t>
      </w:r>
      <w:r>
        <w:rPr>
          <w:rStyle w:val="VerbatimChar"/>
        </w:rPr>
        <w:t xml:space="preserve">docs/decisions/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Title</w:t>
            </w:r>
          </w:p>
        </w:tc>
        <w:tc>
          <w:tcPr/>
          <w:p>
            <w:pPr>
              <w:pStyle w:val="Compact"/>
            </w:pPr>
            <w:r>
              <w:t xml:space="preserve">Status</w:t>
            </w:r>
          </w:p>
        </w:tc>
        <w:tc>
          <w:tcPr/>
          <w:p>
            <w:pPr>
              <w:pStyle w:val="Compact"/>
            </w:pPr>
            <w:r>
              <w:t xml:space="preserve">What it locks</w:t>
            </w:r>
          </w:p>
        </w:tc>
      </w:tr>
      <w:tr>
        <w:tc>
          <w:tcPr/>
          <w:p>
            <w:pPr>
              <w:pStyle w:val="Compact"/>
            </w:pPr>
            <w:r>
              <w:t xml:space="preserve">0001</w:t>
            </w:r>
          </w:p>
        </w:tc>
        <w:tc>
          <w:tcPr/>
          <w:p>
            <w:pPr>
              <w:pStyle w:val="Compact"/>
            </w:pPr>
            <w:r>
              <w:t xml:space="preserve">Toolchain and project scaffolding</w:t>
            </w:r>
          </w:p>
        </w:tc>
        <w:tc>
          <w:tcPr/>
          <w:p>
            <w:pPr>
              <w:pStyle w:val="Compact"/>
            </w:pPr>
            <w:r>
              <w:t xml:space="preserve">Accepted</w:t>
            </w:r>
          </w:p>
        </w:tc>
        <w:tc>
          <w:tcPr/>
          <w:p>
            <w:pPr>
              <w:pStyle w:val="Compact"/>
            </w:pPr>
            <w:r>
              <w:t xml:space="preserve">R + renv on WSL; ADR-continuity model</w:t>
            </w:r>
          </w:p>
        </w:tc>
      </w:tr>
      <w:tr>
        <w:tc>
          <w:tcPr/>
          <w:p>
            <w:pPr>
              <w:pStyle w:val="Compact"/>
            </w:pPr>
            <w:r>
              <w:t xml:space="preserve">0002</w:t>
            </w:r>
          </w:p>
        </w:tc>
        <w:tc>
          <w:tcPr/>
          <w:p>
            <w:pPr>
              <w:pStyle w:val="Compact"/>
            </w:pPr>
            <w:r>
              <w:t xml:space="preserve">Country universe</w:t>
            </w:r>
          </w:p>
        </w:tc>
        <w:tc>
          <w:tcPr/>
          <w:p>
            <w:pPr>
              <w:pStyle w:val="Compact"/>
            </w:pPr>
            <w:r>
              <w:t xml:space="preserve">Accepted</w:t>
            </w:r>
          </w:p>
        </w:tc>
        <w:tc>
          <w:tcPr/>
          <w:p>
            <w:pPr>
              <w:pStyle w:val="Compact"/>
            </w:pPr>
            <w:r>
              <w:t xml:space="preserve">ODA-eligible ∩ ≥1 HLO; N = 133 (127 FE-identifiable)</w:t>
            </w:r>
          </w:p>
        </w:tc>
      </w:tr>
      <w:tr>
        <w:tc>
          <w:tcPr/>
          <w:p>
            <w:pPr>
              <w:pStyle w:val="Compact"/>
            </w:pPr>
            <w:r>
              <w:t xml:space="preserve">0003</w:t>
            </w:r>
          </w:p>
        </w:tc>
        <w:tc>
          <w:tcPr/>
          <w:p>
            <w:pPr>
              <w:pStyle w:val="Compact"/>
            </w:pPr>
            <w:r>
              <w:t xml:space="preserve">Year range</w:t>
            </w:r>
          </w:p>
        </w:tc>
        <w:tc>
          <w:tcPr/>
          <w:p>
            <w:pPr>
              <w:pStyle w:val="Compact"/>
            </w:pPr>
            <w:r>
              <w:t xml:space="preserve">Accepted</w:t>
            </w:r>
          </w:p>
        </w:tc>
        <w:tc>
          <w:tcPr/>
          <w:p>
            <w:pPr>
              <w:pStyle w:val="Compact"/>
            </w:pPr>
            <w:r>
              <w:t xml:space="preserve">2010–2020 primary; 2000–2022 + 2005–2020 robustness</w:t>
            </w:r>
          </w:p>
        </w:tc>
      </w:tr>
      <w:tr>
        <w:tc>
          <w:tcPr/>
          <w:p>
            <w:pPr>
              <w:pStyle w:val="Compact"/>
            </w:pPr>
            <w:r>
              <w:t xml:space="preserve">0004</w:t>
            </w:r>
          </w:p>
        </w:tc>
        <w:tc>
          <w:tcPr/>
          <w:p>
            <w:pPr>
              <w:pStyle w:val="Compact"/>
            </w:pPr>
            <w:r>
              <w:t xml:space="preserve">HLO measure choice</w:t>
            </w:r>
          </w:p>
        </w:tc>
        <w:tc>
          <w:tcPr/>
          <w:p>
            <w:pPr>
              <w:pStyle w:val="Compact"/>
            </w:pPr>
            <w:r>
              <w:t xml:space="preserve">Accepted</w:t>
            </w:r>
          </w:p>
        </w:tc>
        <w:tc>
          <w:tcPr/>
          <w:p>
            <w:pPr>
              <w:pStyle w:val="Compact"/>
            </w:pPr>
            <w:r>
              <w:t xml:space="preserve">WB HCI HLOS primary; AAP-2018 robustness with sign-agreement gate</w:t>
            </w:r>
          </w:p>
        </w:tc>
      </w:tr>
      <w:tr>
        <w:tc>
          <w:tcPr/>
          <w:p>
            <w:pPr>
              <w:pStyle w:val="Compact"/>
            </w:pPr>
            <w:r>
              <w:t xml:space="preserve">0005</w:t>
            </w:r>
          </w:p>
        </w:tc>
        <w:tc>
          <w:tcPr/>
          <w:p>
            <w:pPr>
              <w:pStyle w:val="Compact"/>
            </w:pPr>
            <w:r>
              <w:t xml:space="preserve">ODA treatment encoding</w:t>
            </w:r>
          </w:p>
        </w:tc>
        <w:tc>
          <w:tcPr/>
          <w:p>
            <w:pPr>
              <w:pStyle w:val="Compact"/>
            </w:pPr>
            <w:r>
              <w:t xml:space="preserve">Accepted</w:t>
            </w:r>
          </w:p>
        </w:tc>
        <w:tc>
          <w:tcPr/>
          <w:p>
            <w:pPr>
              <w:pStyle w:val="Compact"/>
            </w:pPr>
            <w:r>
              <w:t xml:space="preserve">Strictly-past 3-yr MA, constant USD; 16-cell sensitivity grid</w:t>
            </w:r>
          </w:p>
        </w:tc>
      </w:tr>
      <w:tr>
        <w:tc>
          <w:tcPr/>
          <w:p>
            <w:pPr>
              <w:pStyle w:val="Compact"/>
            </w:pPr>
            <w:r>
              <w:t xml:space="preserve">0006</w:t>
            </w:r>
          </w:p>
        </w:tc>
        <w:tc>
          <w:tcPr/>
          <w:p>
            <w:pPr>
              <w:pStyle w:val="Compact"/>
            </w:pPr>
            <w:r>
              <w:t xml:space="preserve">UIS missingness strategy</w:t>
            </w:r>
          </w:p>
        </w:tc>
        <w:tc>
          <w:tcPr/>
          <w:p>
            <w:pPr>
              <w:pStyle w:val="Compact"/>
            </w:pPr>
            <w:r>
              <w:t xml:space="preserve">Accepted</w:t>
            </w:r>
          </w:p>
        </w:tc>
        <w:tc>
          <w:tcPr/>
          <w:p>
            <w:pPr>
              <w:pStyle w:val="Compact"/>
            </w:pPr>
            <w:r>
              <w:t xml:space="preserve">Drop UIS from primary; listwise + MI as robustness (MI later retired)</w:t>
            </w:r>
          </w:p>
        </w:tc>
      </w:tr>
      <w:tr>
        <w:tc>
          <w:tcPr/>
          <w:p>
            <w:pPr>
              <w:pStyle w:val="Compact"/>
            </w:pPr>
            <w:r>
              <w:t xml:space="preserve">0007</w:t>
            </w:r>
          </w:p>
        </w:tc>
        <w:tc>
          <w:tcPr/>
          <w:p>
            <w:pPr>
              <w:pStyle w:val="Compact"/>
            </w:pPr>
            <w:r>
              <w:t xml:space="preserve">OECD CRS intervention typology</w:t>
            </w:r>
          </w:p>
        </w:tc>
        <w:tc>
          <w:tcPr/>
          <w:p>
            <w:pPr>
              <w:pStyle w:val="Compact"/>
            </w:pPr>
            <w:r>
              <w:rPr>
                <w:b/>
                <w:bCs/>
              </w:rPr>
              <w:t xml:space="preserve">Rejected</w:t>
            </w:r>
          </w:p>
        </w:tc>
        <w:tc>
          <w:tcPr/>
          <w:p>
            <w:pPr>
              <w:pStyle w:val="Compact"/>
            </w:pPr>
            <w:r>
              <w:t xml:space="preserve">Pre-committed agreement gate failed on all three criteria</w:t>
            </w:r>
          </w:p>
        </w:tc>
      </w:tr>
      <w:tr>
        <w:tc>
          <w:tcPr/>
          <w:p>
            <w:pPr>
              <w:pStyle w:val="Compact"/>
            </w:pPr>
            <w:r>
              <w:t xml:space="preserve">0008</w:t>
            </w:r>
          </w:p>
        </w:tc>
        <w:tc>
          <w:tcPr/>
          <w:p>
            <w:pPr>
              <w:pStyle w:val="Compact"/>
            </w:pPr>
            <w:r>
              <w:t xml:space="preserve">Chinese aid inclusion</w:t>
            </w:r>
          </w:p>
        </w:tc>
        <w:tc>
          <w:tcPr/>
          <w:p>
            <w:pPr>
              <w:pStyle w:val="Compact"/>
            </w:pPr>
            <w:r>
              <w:t xml:space="preserve">Accepted</w:t>
            </w:r>
          </w:p>
        </w:tc>
        <w:tc>
          <w:tcPr/>
          <w:p>
            <w:pPr>
              <w:pStyle w:val="Compact"/>
            </w:pPr>
            <w:r>
              <w:t xml:space="preserve">OECD CRS primary; AidData GCDF as parallel robustness</w:t>
            </w:r>
          </w:p>
        </w:tc>
      </w:tr>
      <w:tr>
        <w:tc>
          <w:tcPr/>
          <w:p>
            <w:pPr>
              <w:pStyle w:val="Compact"/>
            </w:pPr>
            <w:r>
              <w:t xml:space="preserve">0009</w:t>
            </w:r>
          </w:p>
        </w:tc>
        <w:tc>
          <w:tcPr/>
          <w:p>
            <w:pPr>
              <w:pStyle w:val="Compact"/>
            </w:pPr>
            <w:r>
              <w:t xml:space="preserve">WGI operationalization</w:t>
            </w:r>
          </w:p>
        </w:tc>
        <w:tc>
          <w:tcPr/>
          <w:p>
            <w:pPr>
              <w:pStyle w:val="Compact"/>
            </w:pPr>
            <w:r>
              <w:t xml:space="preserve">Accepted</w:t>
            </w:r>
          </w:p>
        </w:tc>
        <w:tc>
          <w:tcPr/>
          <w:p>
            <w:pPr>
              <w:pStyle w:val="Compact"/>
            </w:pPr>
            <w:r>
              <w:t xml:space="preserve">PCA PC1 primary (76.4% variance); single GE + all-six as robustness</w:t>
            </w:r>
          </w:p>
        </w:tc>
      </w:tr>
      <w:tr>
        <w:tc>
          <w:tcPr/>
          <w:p>
            <w:pPr>
              <w:pStyle w:val="Compact"/>
            </w:pPr>
            <w:r>
              <w:t xml:space="preserve">0010</w:t>
            </w:r>
          </w:p>
        </w:tc>
        <w:tc>
          <w:tcPr/>
          <w:p>
            <w:pPr>
              <w:pStyle w:val="Compact"/>
            </w:pPr>
            <w:r>
              <w:t xml:space="preserve">Identification strategy (System GMM)</w:t>
            </w:r>
          </w:p>
        </w:tc>
        <w:tc>
          <w:tcPr/>
          <w:p>
            <w:pPr>
              <w:pStyle w:val="Compact"/>
            </w:pPr>
            <w:r>
              <w:t xml:space="preserve">Accepted with caveats</w:t>
            </w:r>
          </w:p>
        </w:tc>
        <w:tc>
          <w:tcPr/>
          <w:p>
            <w:pPr>
              <w:pStyle w:val="Compact"/>
            </w:pPr>
            <w:r>
              <w:t xml:space="preserve">Static FE remains headline; GMM Hansen p=0.022</w:t>
            </w:r>
          </w:p>
        </w:tc>
      </w:tr>
      <w:tr>
        <w:tc>
          <w:tcPr/>
          <w:p>
            <w:pPr>
              <w:pStyle w:val="Compact"/>
            </w:pPr>
            <w:r>
              <w:t xml:space="preserve">0011</w:t>
            </w:r>
          </w:p>
        </w:tc>
        <w:tc>
          <w:tcPr/>
          <w:p>
            <w:pPr>
              <w:pStyle w:val="Compact"/>
            </w:pPr>
            <w:r>
              <w:t xml:space="preserve">Model 5 counterfactual specification</w:t>
            </w:r>
          </w:p>
        </w:tc>
        <w:tc>
          <w:tcPr/>
          <w:p>
            <w:pPr>
              <w:pStyle w:val="Compact"/>
            </w:pPr>
            <w:r>
              <w:t xml:space="preserve">Accepted</w:t>
            </w:r>
          </w:p>
        </w:tc>
        <w:tc>
          <w:tcPr/>
          <w:p>
            <w:pPr>
              <w:pStyle w:val="Compact"/>
            </w:pPr>
            <w:r>
              <w:t xml:space="preserve">Within-support % shocks on locked β; plug-in CI</w:t>
            </w:r>
          </w:p>
        </w:tc>
      </w:tr>
      <w:tr>
        <w:tc>
          <w:tcPr/>
          <w:p>
            <w:pPr>
              <w:pStyle w:val="Compact"/>
            </w:pPr>
            <w:r>
              <w:t xml:space="preserve">0012</w:t>
            </w:r>
          </w:p>
        </w:tc>
        <w:tc>
          <w:tcPr/>
          <w:p>
            <w:pPr>
              <w:pStyle w:val="Compact"/>
            </w:pPr>
            <w:r>
              <w:t xml:space="preserve">Retirement of UIS multiple imputation</w:t>
            </w:r>
          </w:p>
        </w:tc>
        <w:tc>
          <w:tcPr/>
          <w:p>
            <w:pPr>
              <w:pStyle w:val="Compact"/>
            </w:pPr>
            <w:r>
              <w:t xml:space="preserve">Accepted</w:t>
            </w:r>
          </w:p>
        </w:tc>
        <w:tc>
          <w:tcPr/>
          <w:p>
            <w:pPr>
              <w:pStyle w:val="Compact"/>
            </w:pPr>
            <w:r>
              <w:t xml:space="preserve">MCAR rejection makes MI MAR-untenable; amends ADR-0006</w:t>
            </w:r>
          </w:p>
        </w:tc>
      </w:tr>
    </w:tbl>
    <w:bookmarkEnd w:id="94"/>
    <w:bookmarkStart w:id="95" w:name="X33d64dcd1e2ef15c2710b3e4fd0f23fd7a70fda"/>
    <w:p>
      <w:pPr>
        <w:pStyle w:val="Heading2"/>
      </w:pPr>
      <w:r>
        <w:t xml:space="preserve">A.2 Model 1 cross-sectional OLS — full 6-spec progression</w:t>
      </w:r>
    </w:p>
    <w:p>
      <w:pPr>
        <w:pStyle w:val="TableCaption"/>
      </w:pPr>
      <w:r>
        <w:t xml:space="preserve">Table 2. Model 1 — Cross-sectional OLS, HLO outcome (133 universe, primary window 2010-2020).</w:t>
      </w:r>
    </w:p>
    <w:tbl>
      <w:tblPr>
        <w:tblStyle w:val="Table"/>
        <w:tblW w:type="pct" w:w="4857"/>
        <w:tblLayout w:type="fixed"/>
        <w:tblLook w:firstRow="1" w:lastRow="1" w:firstColumn="0" w:lastColumn="0" w:noHBand="0" w:noVBand="0" w:val="0020"/>
        <w:tblCaption w:val="Table 2. Model 1 — Cross-sectional OLS, HLO outcome (133 universe, primary window 2010-2020)."/>
      </w:tblPr>
      <w:tblGrid>
        <w:gridCol w:w="1674"/>
        <w:gridCol w:w="769"/>
        <w:gridCol w:w="905"/>
        <w:gridCol w:w="588"/>
        <w:gridCol w:w="1221"/>
        <w:gridCol w:w="1131"/>
        <w:gridCol w:w="1402"/>
      </w:tblGrid>
      <w:tr>
        <w:trPr>
          <w:tblHeader w:val="on"/>
        </w:trPr>
        <w:tc>
          <w:tcPr/>
          <w:p>
            <w:pPr>
              <w:pStyle w:val="Compact"/>
            </w:pPr>
          </w:p>
        </w:tc>
        <w:tc>
          <w:tcPr/>
          <w:p>
            <w:pPr>
              <w:pStyle w:val="Compact"/>
            </w:pPr>
            <w:r>
              <w:t xml:space="preserve">1a (bivariate)</w:t>
            </w:r>
          </w:p>
        </w:tc>
        <w:tc>
          <w:tcPr/>
          <w:p>
            <w:pPr>
              <w:pStyle w:val="Compact"/>
            </w:pPr>
            <w:r>
              <w:t xml:space="preserve">1b (+log GDP/cap)</w:t>
            </w:r>
          </w:p>
        </w:tc>
        <w:tc>
          <w:tcPr/>
          <w:p>
            <w:pPr>
              <w:pStyle w:val="Compact"/>
            </w:pPr>
            <w:r>
              <w:t xml:space="preserve">1c (+PTR)</w:t>
            </w:r>
          </w:p>
        </w:tc>
        <w:tc>
          <w:tcPr/>
          <w:p>
            <w:pPr>
              <w:pStyle w:val="Compact"/>
            </w:pPr>
            <w:r>
              <w:t xml:space="preserve">1d (+ed exp; brief spec)</w:t>
            </w:r>
          </w:p>
        </w:tc>
        <w:tc>
          <w:tcPr/>
          <w:p>
            <w:pPr>
              <w:pStyle w:val="Compact"/>
            </w:pPr>
            <w:r>
              <w:t xml:space="preserve">1e (+gov effect; full)</w:t>
            </w:r>
          </w:p>
        </w:tc>
        <w:tc>
          <w:tcPr/>
          <w:p>
            <w:pPr>
              <w:pStyle w:val="Compact"/>
            </w:pPr>
            <w:r>
              <w:t xml:space="preserve">1f (+log GCDF; China-robust)</w:t>
            </w:r>
          </w:p>
        </w:tc>
      </w:tr>
      <w:tr>
        <w:tc>
          <w:tcPr/>
          <w:p>
            <w:pPr>
              <w:pStyle w:val="Compact"/>
            </w:pPr>
            <w:r>
              <w:t xml:space="preserve">log(1 + CRS disbursement, USD M)</w:t>
            </w:r>
          </w:p>
        </w:tc>
        <w:tc>
          <w:tcPr/>
          <w:p>
            <w:pPr>
              <w:pStyle w:val="Compact"/>
            </w:pPr>
            <w:r>
              <w:t xml:space="preserve">-11.537***</w:t>
            </w:r>
          </w:p>
        </w:tc>
        <w:tc>
          <w:tcPr/>
          <w:p>
            <w:pPr>
              <w:pStyle w:val="Compact"/>
            </w:pPr>
            <w:r>
              <w:t xml:space="preserve">-1.204</w:t>
            </w:r>
          </w:p>
        </w:tc>
        <w:tc>
          <w:tcPr/>
          <w:p>
            <w:pPr>
              <w:pStyle w:val="Compact"/>
            </w:pPr>
            <w:r>
              <w:t xml:space="preserve">-1.141</w:t>
            </w:r>
          </w:p>
        </w:tc>
        <w:tc>
          <w:tcPr/>
          <w:p>
            <w:pPr>
              <w:pStyle w:val="Compact"/>
            </w:pPr>
            <w:r>
              <w:t xml:space="preserve">-1.787</w:t>
            </w:r>
          </w:p>
        </w:tc>
        <w:tc>
          <w:tcPr/>
          <w:p>
            <w:pPr>
              <w:pStyle w:val="Compact"/>
            </w:pPr>
            <w:r>
              <w:t xml:space="preserve">-1.361</w:t>
            </w:r>
          </w:p>
        </w:tc>
        <w:tc>
          <w:tcPr/>
          <w:p>
            <w:pPr>
              <w:pStyle w:val="Compact"/>
            </w:pPr>
            <w:r>
              <w:t xml:space="preserve">-1.150</w:t>
            </w:r>
          </w:p>
        </w:tc>
      </w:tr>
      <w:tr>
        <w:tc>
          <w:tcPr/>
          <w:p>
            <w:pPr>
              <w:pStyle w:val="Compact"/>
            </w:pPr>
          </w:p>
        </w:tc>
        <w:tc>
          <w:tcPr/>
          <w:p>
            <w:pPr>
              <w:pStyle w:val="Compact"/>
            </w:pPr>
            <w:r>
              <w:t xml:space="preserve">(2.715)</w:t>
            </w:r>
          </w:p>
        </w:tc>
        <w:tc>
          <w:tcPr/>
          <w:p>
            <w:pPr>
              <w:pStyle w:val="Compact"/>
            </w:pPr>
            <w:r>
              <w:t xml:space="preserve">(2.280)</w:t>
            </w:r>
          </w:p>
        </w:tc>
        <w:tc>
          <w:tcPr/>
          <w:p>
            <w:pPr>
              <w:pStyle w:val="Compact"/>
            </w:pPr>
            <w:r>
              <w:t xml:space="preserve">(2.439)</w:t>
            </w:r>
          </w:p>
        </w:tc>
        <w:tc>
          <w:tcPr/>
          <w:p>
            <w:pPr>
              <w:pStyle w:val="Compact"/>
            </w:pPr>
            <w:r>
              <w:t xml:space="preserve">(2.595)</w:t>
            </w:r>
          </w:p>
        </w:tc>
        <w:tc>
          <w:tcPr/>
          <w:p>
            <w:pPr>
              <w:pStyle w:val="Compact"/>
            </w:pPr>
            <w:r>
              <w:t xml:space="preserve">(2.477)</w:t>
            </w:r>
          </w:p>
        </w:tc>
        <w:tc>
          <w:tcPr/>
          <w:p>
            <w:pPr>
              <w:pStyle w:val="Compact"/>
            </w:pPr>
            <w:r>
              <w:t xml:space="preserve">(2.413)</w:t>
            </w:r>
          </w:p>
        </w:tc>
      </w:tr>
      <w:tr>
        <w:tc>
          <w:tcPr/>
          <w:p>
            <w:pPr>
              <w:pStyle w:val="Compact"/>
            </w:pPr>
            <w:r>
              <w:t xml:space="preserve">log(GDP per capita, USD)</w:t>
            </w:r>
          </w:p>
        </w:tc>
        <w:tc>
          <w:tcPr/>
          <w:p>
            <w:pPr>
              <w:pStyle w:val="Compact"/>
            </w:pPr>
          </w:p>
        </w:tc>
        <w:tc>
          <w:tcPr/>
          <w:p>
            <w:pPr>
              <w:pStyle w:val="Compact"/>
            </w:pPr>
            <w:r>
              <w:t xml:space="preserve">26.251***</w:t>
            </w:r>
          </w:p>
        </w:tc>
        <w:tc>
          <w:tcPr/>
          <w:p>
            <w:pPr>
              <w:pStyle w:val="Compact"/>
            </w:pPr>
            <w:r>
              <w:t xml:space="preserve">23.037***</w:t>
            </w:r>
          </w:p>
        </w:tc>
        <w:tc>
          <w:tcPr/>
          <w:p>
            <w:pPr>
              <w:pStyle w:val="Compact"/>
            </w:pPr>
            <w:r>
              <w:t xml:space="preserve">21.952***</w:t>
            </w:r>
          </w:p>
        </w:tc>
        <w:tc>
          <w:tcPr/>
          <w:p>
            <w:pPr>
              <w:pStyle w:val="Compact"/>
            </w:pPr>
            <w:r>
              <w:t xml:space="preserve">9.301</w:t>
            </w:r>
          </w:p>
        </w:tc>
        <w:tc>
          <w:tcPr/>
          <w:p>
            <w:pPr>
              <w:pStyle w:val="Compact"/>
            </w:pPr>
            <w:r>
              <w:t xml:space="preserve">9.047</w:t>
            </w:r>
          </w:p>
        </w:tc>
      </w:tr>
      <w:tr>
        <w:tc>
          <w:tcPr/>
          <w:p>
            <w:pPr>
              <w:pStyle w:val="Compact"/>
            </w:pPr>
          </w:p>
        </w:tc>
        <w:tc>
          <w:tcPr/>
          <w:p>
            <w:pPr>
              <w:pStyle w:val="Compact"/>
            </w:pPr>
          </w:p>
        </w:tc>
        <w:tc>
          <w:tcPr/>
          <w:p>
            <w:pPr>
              <w:pStyle w:val="Compact"/>
            </w:pPr>
            <w:r>
              <w:t xml:space="preserve">(3.710)</w:t>
            </w:r>
          </w:p>
        </w:tc>
        <w:tc>
          <w:tcPr/>
          <w:p>
            <w:pPr>
              <w:pStyle w:val="Compact"/>
            </w:pPr>
            <w:r>
              <w:t xml:space="preserve">(6.444)</w:t>
            </w:r>
          </w:p>
        </w:tc>
        <w:tc>
          <w:tcPr/>
          <w:p>
            <w:pPr>
              <w:pStyle w:val="Compact"/>
            </w:pPr>
            <w:r>
              <w:t xml:space="preserve">(6.389)</w:t>
            </w:r>
          </w:p>
        </w:tc>
        <w:tc>
          <w:tcPr/>
          <w:p>
            <w:pPr>
              <w:pStyle w:val="Compact"/>
            </w:pPr>
            <w:r>
              <w:t xml:space="preserve">(7.442)</w:t>
            </w:r>
          </w:p>
        </w:tc>
        <w:tc>
          <w:tcPr/>
          <w:p>
            <w:pPr>
              <w:pStyle w:val="Compact"/>
            </w:pPr>
            <w:r>
              <w:t xml:space="preserve">(7.544)</w:t>
            </w:r>
          </w:p>
        </w:tc>
      </w:tr>
      <w:tr>
        <w:tc>
          <w:tcPr/>
          <w:p>
            <w:pPr>
              <w:pStyle w:val="Compact"/>
            </w:pPr>
            <w:r>
              <w:t xml:space="preserve">Pupil-teacher ratio (primary)</w:t>
            </w:r>
          </w:p>
        </w:tc>
        <w:tc>
          <w:tcPr/>
          <w:p>
            <w:pPr>
              <w:pStyle w:val="Compact"/>
            </w:pPr>
          </w:p>
        </w:tc>
        <w:tc>
          <w:tcPr/>
          <w:p>
            <w:pPr>
              <w:pStyle w:val="Compact"/>
            </w:pPr>
          </w:p>
        </w:tc>
        <w:tc>
          <w:tcPr/>
          <w:p>
            <w:pPr>
              <w:pStyle w:val="Compact"/>
            </w:pPr>
            <w:r>
              <w:t xml:space="preserve">-0.367</w:t>
            </w:r>
          </w:p>
        </w:tc>
        <w:tc>
          <w:tcPr/>
          <w:p>
            <w:pPr>
              <w:pStyle w:val="Compact"/>
            </w:pPr>
            <w:r>
              <w:t xml:space="preserve">-0.453</w:t>
            </w:r>
          </w:p>
        </w:tc>
        <w:tc>
          <w:tcPr/>
          <w:p>
            <w:pPr>
              <w:pStyle w:val="Compact"/>
            </w:pPr>
            <w:r>
              <w:t xml:space="preserve">-0.538</w:t>
            </w:r>
          </w:p>
        </w:tc>
        <w:tc>
          <w:tcPr/>
          <w:p>
            <w:pPr>
              <w:pStyle w:val="Compact"/>
            </w:pPr>
            <w:r>
              <w:t xml:space="preserve">-0.497</w:t>
            </w:r>
          </w:p>
        </w:tc>
      </w:tr>
      <w:tr>
        <w:tc>
          <w:tcPr/>
          <w:p>
            <w:pPr>
              <w:pStyle w:val="Compact"/>
            </w:pPr>
          </w:p>
        </w:tc>
        <w:tc>
          <w:tcPr/>
          <w:p>
            <w:pPr>
              <w:pStyle w:val="Compact"/>
            </w:pPr>
          </w:p>
        </w:tc>
        <w:tc>
          <w:tcPr/>
          <w:p>
            <w:pPr>
              <w:pStyle w:val="Compact"/>
            </w:pPr>
          </w:p>
        </w:tc>
        <w:tc>
          <w:tcPr/>
          <w:p>
            <w:pPr>
              <w:pStyle w:val="Compact"/>
            </w:pPr>
            <w:r>
              <w:t xml:space="preserve">(0.429)</w:t>
            </w:r>
          </w:p>
        </w:tc>
        <w:tc>
          <w:tcPr/>
          <w:p>
            <w:pPr>
              <w:pStyle w:val="Compact"/>
            </w:pPr>
            <w:r>
              <w:t xml:space="preserve">(0.418)</w:t>
            </w:r>
          </w:p>
        </w:tc>
        <w:tc>
          <w:tcPr/>
          <w:p>
            <w:pPr>
              <w:pStyle w:val="Compact"/>
            </w:pPr>
            <w:r>
              <w:t xml:space="preserve">(0.413)</w:t>
            </w:r>
          </w:p>
        </w:tc>
        <w:tc>
          <w:tcPr/>
          <w:p>
            <w:pPr>
              <w:pStyle w:val="Compact"/>
            </w:pPr>
            <w:r>
              <w:t xml:space="preserve">(0.441)</w:t>
            </w:r>
          </w:p>
        </w:tc>
      </w:tr>
      <w:tr>
        <w:tc>
          <w:tcPr/>
          <w:p>
            <w:pPr>
              <w:pStyle w:val="Compact"/>
            </w:pPr>
            <w:r>
              <w:t xml:space="preserve">Govt education expenditure (% GDP)</w:t>
            </w:r>
          </w:p>
        </w:tc>
        <w:tc>
          <w:tcPr/>
          <w:p>
            <w:pPr>
              <w:pStyle w:val="Compact"/>
            </w:pPr>
          </w:p>
        </w:tc>
        <w:tc>
          <w:tcPr/>
          <w:p>
            <w:pPr>
              <w:pStyle w:val="Compact"/>
            </w:pPr>
          </w:p>
        </w:tc>
        <w:tc>
          <w:tcPr/>
          <w:p>
            <w:pPr>
              <w:pStyle w:val="Compact"/>
            </w:pPr>
          </w:p>
        </w:tc>
        <w:tc>
          <w:tcPr/>
          <w:p>
            <w:pPr>
              <w:pStyle w:val="Compact"/>
            </w:pPr>
            <w:r>
              <w:t xml:space="preserve">-0.238</w:t>
            </w:r>
          </w:p>
        </w:tc>
        <w:tc>
          <w:tcPr/>
          <w:p>
            <w:pPr>
              <w:pStyle w:val="Compact"/>
            </w:pPr>
            <w:r>
              <w:t xml:space="preserve">-1.015</w:t>
            </w:r>
          </w:p>
        </w:tc>
        <w:tc>
          <w:tcPr/>
          <w:p>
            <w:pPr>
              <w:pStyle w:val="Compact"/>
            </w:pPr>
            <w:r>
              <w:t xml:space="preserve">-1.119</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(1.840)</w:t>
            </w:r>
          </w:p>
        </w:tc>
        <w:tc>
          <w:tcPr/>
          <w:p>
            <w:pPr>
              <w:pStyle w:val="Compact"/>
            </w:pPr>
            <w:r>
              <w:t xml:space="preserve">(1.592)</w:t>
            </w:r>
          </w:p>
        </w:tc>
        <w:tc>
          <w:tcPr/>
          <w:p>
            <w:pPr>
              <w:pStyle w:val="Compact"/>
            </w:pPr>
            <w:r>
              <w:t xml:space="preserve">(1.641)</w:t>
            </w:r>
          </w:p>
        </w:tc>
      </w:tr>
      <w:tr>
        <w:tc>
          <w:tcPr/>
          <w:p>
            <w:pPr>
              <w:pStyle w:val="Compact"/>
            </w:pPr>
            <w:r>
              <w:t xml:space="preserve">Govt effectiveness (WGI)</w:t>
            </w:r>
          </w:p>
        </w:tc>
        <w:tc>
          <w:tcPr/>
          <w:p>
            <w:pPr>
              <w:pStyle w:val="Compact"/>
            </w:pPr>
          </w:p>
        </w:tc>
        <w:tc>
          <w:tcPr/>
          <w:p>
            <w:pPr>
              <w:pStyle w:val="Compact"/>
            </w:pPr>
          </w:p>
        </w:tc>
        <w:tc>
          <w:tcPr/>
          <w:p>
            <w:pPr>
              <w:pStyle w:val="Compact"/>
            </w:pPr>
          </w:p>
        </w:tc>
        <w:tc>
          <w:tcPr/>
          <w:p>
            <w:pPr>
              <w:pStyle w:val="Compact"/>
            </w:pPr>
          </w:p>
        </w:tc>
        <w:tc>
          <w:tcPr/>
          <w:p>
            <w:pPr>
              <w:pStyle w:val="Compact"/>
            </w:pPr>
            <w:r>
              <w:t xml:space="preserve">24.512***</w:t>
            </w:r>
          </w:p>
        </w:tc>
        <w:tc>
          <w:tcPr/>
          <w:p>
            <w:pPr>
              <w:pStyle w:val="Compact"/>
            </w:pPr>
            <w:r>
              <w:t xml:space="preserve">24.552***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(8.756)</w:t>
            </w:r>
          </w:p>
        </w:tc>
        <w:tc>
          <w:tcPr/>
          <w:p>
            <w:pPr>
              <w:pStyle w:val="Compact"/>
            </w:pPr>
            <w:r>
              <w:t xml:space="preserve">(8.830)</w:t>
            </w:r>
          </w:p>
        </w:tc>
      </w:tr>
      <w:tr>
        <w:tc>
          <w:tcPr/>
          <w:p>
            <w:pPr>
              <w:pStyle w:val="Compact"/>
            </w:pPr>
            <w:r>
              <w:t xml:space="preserve">log(1 + GCDF Chinese aid, USD)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-0.308</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(0.621)</w:t>
            </w:r>
          </w:p>
        </w:tc>
      </w:tr>
      <w:tr>
        <w:tc>
          <w:tcPr/>
          <w:p>
            <w:pPr>
              <w:pStyle w:val="Compact"/>
            </w:pPr>
            <w:r>
              <w:t xml:space="preserve">(Intercept)</w:t>
            </w:r>
          </w:p>
        </w:tc>
        <w:tc>
          <w:tcPr/>
          <w:p>
            <w:pPr>
              <w:pStyle w:val="Compact"/>
            </w:pPr>
            <w:r>
              <w:t xml:space="preserve">443.455***</w:t>
            </w:r>
          </w:p>
        </w:tc>
        <w:tc>
          <w:tcPr/>
          <w:p>
            <w:pPr>
              <w:pStyle w:val="Compact"/>
            </w:pPr>
            <w:r>
              <w:t xml:space="preserve">191.531***</w:t>
            </w:r>
          </w:p>
        </w:tc>
        <w:tc>
          <w:tcPr/>
          <w:p>
            <w:pPr>
              <w:pStyle w:val="Compact"/>
            </w:pPr>
            <w:r>
              <w:t xml:space="preserve">228.611***</w:t>
            </w:r>
          </w:p>
        </w:tc>
        <w:tc>
          <w:tcPr/>
          <w:p>
            <w:pPr>
              <w:pStyle w:val="Compact"/>
            </w:pPr>
            <w:r>
              <w:t xml:space="preserve">244.238***</w:t>
            </w:r>
          </w:p>
        </w:tc>
        <w:tc>
          <w:tcPr/>
          <w:p>
            <w:pPr>
              <w:pStyle w:val="Compact"/>
            </w:pPr>
            <w:r>
              <w:t xml:space="preserve">359.294***</w:t>
            </w:r>
          </w:p>
        </w:tc>
        <w:tc>
          <w:tcPr/>
          <w:p>
            <w:pPr>
              <w:pStyle w:val="Compact"/>
            </w:pPr>
            <w:r>
              <w:t xml:space="preserve">362.827***</w:t>
            </w:r>
          </w:p>
        </w:tc>
      </w:tr>
      <w:tr>
        <w:tc>
          <w:tcPr/>
          <w:p>
            <w:pPr>
              <w:pStyle w:val="Compact"/>
            </w:pPr>
          </w:p>
        </w:tc>
        <w:tc>
          <w:tcPr/>
          <w:p>
            <w:pPr>
              <w:pStyle w:val="Compact"/>
            </w:pPr>
            <w:r>
              <w:t xml:space="preserve">(11.363)</w:t>
            </w:r>
          </w:p>
        </w:tc>
        <w:tc>
          <w:tcPr/>
          <w:p>
            <w:pPr>
              <w:pStyle w:val="Compact"/>
            </w:pPr>
            <w:r>
              <w:t xml:space="preserve">(34.257)</w:t>
            </w:r>
          </w:p>
        </w:tc>
        <w:tc>
          <w:tcPr/>
          <w:p>
            <w:pPr>
              <w:pStyle w:val="Compact"/>
            </w:pPr>
            <w:r>
              <w:t xml:space="preserve">(65.172)</w:t>
            </w:r>
          </w:p>
        </w:tc>
        <w:tc>
          <w:tcPr/>
          <w:p>
            <w:pPr>
              <w:pStyle w:val="Compact"/>
            </w:pPr>
            <w:r>
              <w:t xml:space="preserve">(64.357)</w:t>
            </w:r>
          </w:p>
        </w:tc>
        <w:tc>
          <w:tcPr/>
          <w:p>
            <w:pPr>
              <w:pStyle w:val="Compact"/>
            </w:pPr>
            <w:r>
              <w:t xml:space="preserve">(74.996)</w:t>
            </w:r>
          </w:p>
        </w:tc>
        <w:tc>
          <w:tcPr/>
          <w:p>
            <w:pPr>
              <w:pStyle w:val="Compact"/>
            </w:pPr>
            <w:r>
              <w:t xml:space="preserve">(76.085)</w:t>
            </w:r>
          </w:p>
        </w:tc>
      </w:tr>
      <w:tr>
        <w:tc>
          <w:tcPr/>
          <w:p>
            <w:pPr>
              <w:pStyle w:val="Compact"/>
            </w:pPr>
            <w:r>
              <w:t xml:space="preserve">N</w:t>
            </w:r>
          </w:p>
        </w:tc>
        <w:tc>
          <w:tcPr/>
          <w:p>
            <w:pPr>
              <w:pStyle w:val="Compact"/>
            </w:pPr>
            <w:r>
              <w:t xml:space="preserve">133</w:t>
            </w:r>
          </w:p>
        </w:tc>
        <w:tc>
          <w:tcPr/>
          <w:p>
            <w:pPr>
              <w:pStyle w:val="Compact"/>
            </w:pPr>
            <w:r>
              <w:t xml:space="preserve">133</w:t>
            </w:r>
          </w:p>
        </w:tc>
        <w:tc>
          <w:tcPr/>
          <w:p>
            <w:pPr>
              <w:pStyle w:val="Compact"/>
            </w:pPr>
            <w:r>
              <w:t xml:space="preserve">125</w:t>
            </w:r>
          </w:p>
        </w:tc>
        <w:tc>
          <w:tcPr/>
          <w:p>
            <w:pPr>
              <w:pStyle w:val="Compact"/>
            </w:pPr>
            <w:r>
              <w:t xml:space="preserve">120</w:t>
            </w:r>
          </w:p>
        </w:tc>
        <w:tc>
          <w:tcPr/>
          <w:p>
            <w:pPr>
              <w:pStyle w:val="Compact"/>
            </w:pPr>
            <w:r>
              <w:t xml:space="preserve">120</w:t>
            </w:r>
          </w:p>
        </w:tc>
        <w:tc>
          <w:tcPr/>
          <w:p>
            <w:pPr>
              <w:pStyle w:val="Compact"/>
            </w:pPr>
            <w:r>
              <w:t xml:space="preserve">120</w:t>
            </w:r>
          </w:p>
        </w:tc>
      </w:tr>
      <w:tr>
        <w:tc>
          <w:tcPr/>
          <w:p>
            <w:pPr>
              <w:pStyle w:val="Compact"/>
            </w:pPr>
            <w:r>
              <w:t xml:space="preserve">R^2</w:t>
            </w:r>
          </w:p>
        </w:tc>
        <w:tc>
          <w:tcPr/>
          <w:p>
            <w:pPr>
              <w:pStyle w:val="Compact"/>
            </w:pPr>
            <w:r>
              <w:t xml:space="preserve">0.154</w:t>
            </w:r>
          </w:p>
        </w:tc>
        <w:tc>
          <w:tcPr/>
          <w:p>
            <w:pPr>
              <w:pStyle w:val="Compact"/>
            </w:pPr>
            <w:r>
              <w:t xml:space="preserve">0.397</w:t>
            </w:r>
          </w:p>
        </w:tc>
        <w:tc>
          <w:tcPr/>
          <w:p>
            <w:pPr>
              <w:pStyle w:val="Compact"/>
            </w:pPr>
            <w:r>
              <w:t xml:space="preserve">0.396</w:t>
            </w:r>
          </w:p>
        </w:tc>
        <w:tc>
          <w:tcPr/>
          <w:p>
            <w:pPr>
              <w:pStyle w:val="Compact"/>
            </w:pPr>
            <w:r>
              <w:t xml:space="preserve">0.402</w:t>
            </w:r>
          </w:p>
        </w:tc>
        <w:tc>
          <w:tcPr/>
          <w:p>
            <w:pPr>
              <w:pStyle w:val="Compact"/>
            </w:pPr>
            <w:r>
              <w:t xml:space="preserve">0.444</w:t>
            </w:r>
          </w:p>
        </w:tc>
        <w:tc>
          <w:tcPr/>
          <w:p>
            <w:pPr>
              <w:pStyle w:val="Compact"/>
            </w:pPr>
            <w:r>
              <w:t xml:space="preserve">0.445</w:t>
            </w:r>
          </w:p>
        </w:tc>
      </w:tr>
      <w:tr>
        <w:tc>
          <w:tcPr/>
          <w:p>
            <w:pPr>
              <w:pStyle w:val="Compact"/>
            </w:pPr>
            <w:r>
              <w:t xml:space="preserve">Adj R^2</w:t>
            </w:r>
          </w:p>
        </w:tc>
        <w:tc>
          <w:tcPr/>
          <w:p>
            <w:pPr>
              <w:pStyle w:val="Compact"/>
            </w:pPr>
            <w:r>
              <w:t xml:space="preserve">0.148</w:t>
            </w:r>
          </w:p>
        </w:tc>
        <w:tc>
          <w:tcPr/>
          <w:p>
            <w:pPr>
              <w:pStyle w:val="Compact"/>
            </w:pPr>
            <w:r>
              <w:t xml:space="preserve">0.388</w:t>
            </w:r>
          </w:p>
        </w:tc>
        <w:tc>
          <w:tcPr/>
          <w:p>
            <w:pPr>
              <w:pStyle w:val="Compact"/>
            </w:pPr>
            <w:r>
              <w:t xml:space="preserve">0.381</w:t>
            </w:r>
          </w:p>
        </w:tc>
        <w:tc>
          <w:tcPr/>
          <w:p>
            <w:pPr>
              <w:pStyle w:val="Compact"/>
            </w:pPr>
            <w:r>
              <w:t xml:space="preserve">0.381</w:t>
            </w:r>
          </w:p>
        </w:tc>
        <w:tc>
          <w:tcPr/>
          <w:p>
            <w:pPr>
              <w:pStyle w:val="Compact"/>
            </w:pPr>
            <w:r>
              <w:t xml:space="preserve">0.419</w:t>
            </w:r>
          </w:p>
        </w:tc>
        <w:tc>
          <w:tcPr/>
          <w:p>
            <w:pPr>
              <w:pStyle w:val="Compact"/>
            </w:pPr>
            <w:r>
              <w:t xml:space="preserve">0.416</w:t>
            </w:r>
          </w:p>
        </w:tc>
      </w:tr>
      <w:tr>
        <w:tc>
          <w:tcPr>
            <w:gridSpan w:val="7"/>
          </w:tcPr>
          <w:p>
            <w:pPr>
              <w:pStyle w:val="Compact"/>
              <w:numPr>
                <w:ilvl w:val="0"/>
                <w:numId w:val="1001"/>
              </w:numPr>
            </w:pPr>
            <w:r>
              <w:t xml:space="preserve">p &lt; 0.1, ** p &lt; 0.05, *** p &lt; 0.01</w:t>
            </w:r>
          </w:p>
        </w:tc>
      </w:tr>
      <w:tr>
        <w:tc>
          <w:tcPr>
            <w:gridSpan w:val="7"/>
          </w:tcPr>
          <w:p>
            <w:pPr>
              <w:pStyle w:val="Compact"/>
            </w:pPr>
            <w:r>
              <w:t xml:space="preserve">HC-robust SE in parentheses.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Sample: 133-country ADR-0002 universe, primary window 2010-2020 (ADR-0003); country-level means</w:t>
            </w:r>
            <w:r>
              <w:t xml:space="preserve"> </w:t>
            </w:r>
            <w:r>
              <w:t xml:space="preserve">across primary window. N varies by listwise completeness. Max VIF across specs 1b-1f: 5.27. VIF &gt; 5 on log(GDP/cap) × Gov effectiveness (Pearson r = 0.79; Session</w:t>
            </w:r>
            <w:r>
              <w:t xml:space="preserve"> </w:t>
            </w:r>
            <w:r>
              <w:t xml:space="preserve">12); ADR-0009 will lock WGI operationalization in Phase 5.</w:t>
            </w:r>
          </w:p>
        </w:tc>
      </w:tr>
    </w:tbl>
    <w:bookmarkEnd w:id="95"/>
    <w:bookmarkStart w:id="96" w:name="Xaf644f749b40b3b755da8551639db19edc8e17a"/>
    <w:p>
      <w:pPr>
        <w:pStyle w:val="Heading2"/>
      </w:pPr>
      <w:r>
        <w:t xml:space="preserve">A.3 Model 2 within-country FE — full 7-spec progression</w:t>
      </w:r>
    </w:p>
    <w:p>
      <w:pPr>
        <w:pStyle w:val="TableCaption"/>
      </w:pPr>
      <w:r>
        <w:t xml:space="preserve">Table 3 (v2). Model 2 — Within-country FE panel, HLO outcome, LOCKED ENCODING.</w:t>
      </w:r>
    </w:p>
    <w:tbl>
      <w:tblPr>
        <w:tblStyle w:val="Table"/>
        <w:tblW w:type="pct" w:w="4855"/>
        <w:tblLayout w:type="fixed"/>
        <w:tblLook w:firstRow="1" w:lastRow="1" w:firstColumn="0" w:lastColumn="0" w:noHBand="0" w:noVBand="0" w:val="0020"/>
        <w:tblCaption w:val="Table 3 (v2). Model 2 — Within-country FE panel, HLO outcome, LOCKED ENCODING."/>
      </w:tblPr>
      <w:tblGrid>
        <w:gridCol w:w="1530"/>
        <w:gridCol w:w="650"/>
        <w:gridCol w:w="765"/>
        <w:gridCol w:w="459"/>
        <w:gridCol w:w="1033"/>
        <w:gridCol w:w="841"/>
        <w:gridCol w:w="1453"/>
        <w:gridCol w:w="956"/>
      </w:tblGrid>
      <w:tr>
        <w:trPr>
          <w:tblHeader w:val="on"/>
        </w:trPr>
        <w:tc>
          <w:tcPr/>
          <w:p>
            <w:pPr>
              <w:pStyle w:val="Compact"/>
            </w:pPr>
          </w:p>
        </w:tc>
        <w:tc>
          <w:tcPr/>
          <w:p>
            <w:pPr>
              <w:pStyle w:val="Compact"/>
            </w:pPr>
            <w:r>
              <w:t xml:space="preserve">2a (bivariate)</w:t>
            </w:r>
          </w:p>
        </w:tc>
        <w:tc>
          <w:tcPr/>
          <w:p>
            <w:pPr>
              <w:pStyle w:val="Compact"/>
            </w:pPr>
            <w:r>
              <w:t xml:space="preserve">2b (+log GDP/cap)</w:t>
            </w:r>
          </w:p>
        </w:tc>
        <w:tc>
          <w:tcPr/>
          <w:p>
            <w:pPr>
              <w:pStyle w:val="Compact"/>
            </w:pPr>
            <w:r>
              <w:t xml:space="preserve">2c (+PTR)</w:t>
            </w:r>
          </w:p>
        </w:tc>
        <w:tc>
          <w:tcPr/>
          <w:p>
            <w:pPr>
              <w:pStyle w:val="Compact"/>
            </w:pPr>
            <w:r>
              <w:t xml:space="preserve">2d (+ed exp; brief spec)</w:t>
            </w:r>
          </w:p>
        </w:tc>
        <w:tc>
          <w:tcPr/>
          <w:p>
            <w:pPr>
              <w:pStyle w:val="Compact"/>
            </w:pPr>
            <w:r>
              <w:t xml:space="preserve">2e (+WGI PC1; full)</w:t>
            </w:r>
          </w:p>
        </w:tc>
        <w:tc>
          <w:tcPr/>
          <w:p>
            <w:pPr>
              <w:pStyle w:val="Compact"/>
            </w:pPr>
            <w:r>
              <w:t xml:space="preserve">2f (+log GCDF strict; China-robust)</w:t>
            </w:r>
          </w:p>
        </w:tc>
        <w:tc>
          <w:tcPr/>
          <w:p>
            <w:pPr>
              <w:pStyle w:val="Compact"/>
            </w:pPr>
            <w:r>
              <w:t xml:space="preserve">2g (+conflict + COVID)</w:t>
            </w:r>
          </w:p>
        </w:tc>
      </w:tr>
      <w:tr>
        <w:tc>
          <w:tcPr/>
          <w:p>
            <w:pPr>
              <w:pStyle w:val="Compact"/>
            </w:pPr>
            <w:r>
              <w:t xml:space="preserve">log(1 + CRS disburse strict-past MA3)</w:t>
            </w:r>
          </w:p>
        </w:tc>
        <w:tc>
          <w:tcPr/>
          <w:p>
            <w:pPr>
              <w:pStyle w:val="Compact"/>
            </w:pPr>
            <w:r>
              <w:t xml:space="preserve">1.142</w:t>
            </w:r>
          </w:p>
        </w:tc>
        <w:tc>
          <w:tcPr/>
          <w:p>
            <w:pPr>
              <w:pStyle w:val="Compact"/>
            </w:pPr>
            <w:r>
              <w:t xml:space="preserve">0.768</w:t>
            </w:r>
          </w:p>
        </w:tc>
        <w:tc>
          <w:tcPr/>
          <w:p>
            <w:pPr>
              <w:pStyle w:val="Compact"/>
            </w:pPr>
            <w:r>
              <w:t xml:space="preserve">9.723*</w:t>
            </w:r>
          </w:p>
        </w:tc>
        <w:tc>
          <w:tcPr/>
          <w:p>
            <w:pPr>
              <w:pStyle w:val="Compact"/>
            </w:pPr>
            <w:r>
              <w:t xml:space="preserve">8.754</w:t>
            </w:r>
          </w:p>
        </w:tc>
        <w:tc>
          <w:tcPr/>
          <w:p>
            <w:pPr>
              <w:pStyle w:val="Compact"/>
            </w:pPr>
            <w:r>
              <w:t xml:space="preserve">11.136**</w:t>
            </w:r>
          </w:p>
        </w:tc>
        <w:tc>
          <w:tcPr/>
          <w:p>
            <w:pPr>
              <w:pStyle w:val="Compact"/>
            </w:pPr>
            <w:r>
              <w:t xml:space="preserve">11.256**</w:t>
            </w:r>
          </w:p>
        </w:tc>
        <w:tc>
          <w:tcPr/>
          <w:p>
            <w:pPr>
              <w:pStyle w:val="Compact"/>
            </w:pPr>
            <w:r>
              <w:t xml:space="preserve">9.613*</w:t>
            </w:r>
          </w:p>
        </w:tc>
      </w:tr>
      <w:tr>
        <w:tc>
          <w:tcPr/>
          <w:p>
            <w:pPr>
              <w:pStyle w:val="Compact"/>
            </w:pPr>
          </w:p>
        </w:tc>
        <w:tc>
          <w:tcPr/>
          <w:p>
            <w:pPr>
              <w:pStyle w:val="Compact"/>
            </w:pPr>
            <w:r>
              <w:t xml:space="preserve">(1.629)</w:t>
            </w:r>
          </w:p>
        </w:tc>
        <w:tc>
          <w:tcPr/>
          <w:p>
            <w:pPr>
              <w:pStyle w:val="Compact"/>
            </w:pPr>
            <w:r>
              <w:t xml:space="preserve">(1.748)</w:t>
            </w:r>
          </w:p>
        </w:tc>
        <w:tc>
          <w:tcPr/>
          <w:p>
            <w:pPr>
              <w:pStyle w:val="Compact"/>
            </w:pPr>
            <w:r>
              <w:t xml:space="preserve">(4.978)</w:t>
            </w:r>
          </w:p>
        </w:tc>
        <w:tc>
          <w:tcPr/>
          <w:p>
            <w:pPr>
              <w:pStyle w:val="Compact"/>
            </w:pPr>
            <w:r>
              <w:t xml:space="preserve">(5.322)</w:t>
            </w:r>
          </w:p>
        </w:tc>
        <w:tc>
          <w:tcPr/>
          <w:p>
            <w:pPr>
              <w:pStyle w:val="Compact"/>
            </w:pPr>
            <w:r>
              <w:t xml:space="preserve">(5.518)</w:t>
            </w:r>
          </w:p>
        </w:tc>
        <w:tc>
          <w:tcPr/>
          <w:p>
            <w:pPr>
              <w:pStyle w:val="Compact"/>
            </w:pPr>
            <w:r>
              <w:t xml:space="preserve">(5.529)</w:t>
            </w:r>
          </w:p>
        </w:tc>
        <w:tc>
          <w:tcPr/>
          <w:p>
            <w:pPr>
              <w:pStyle w:val="Compact"/>
            </w:pPr>
            <w:r>
              <w:t xml:space="preserve">(5.438)</w:t>
            </w:r>
          </w:p>
        </w:tc>
      </w:tr>
      <w:tr>
        <w:tc>
          <w:tcPr/>
          <w:p>
            <w:pPr>
              <w:pStyle w:val="Compact"/>
            </w:pPr>
            <w:r>
              <w:t xml:space="preserve">log(GDP per capita)</w:t>
            </w:r>
          </w:p>
        </w:tc>
        <w:tc>
          <w:tcPr/>
          <w:p>
            <w:pPr>
              <w:pStyle w:val="Compact"/>
            </w:pPr>
          </w:p>
        </w:tc>
        <w:tc>
          <w:tcPr/>
          <w:p>
            <w:pPr>
              <w:pStyle w:val="Compact"/>
            </w:pPr>
            <w:r>
              <w:t xml:space="preserve">5.831</w:t>
            </w:r>
          </w:p>
        </w:tc>
        <w:tc>
          <w:tcPr/>
          <w:p>
            <w:pPr>
              <w:pStyle w:val="Compact"/>
            </w:pPr>
            <w:r>
              <w:t xml:space="preserve">-4.101</w:t>
            </w:r>
          </w:p>
        </w:tc>
        <w:tc>
          <w:tcPr/>
          <w:p>
            <w:pPr>
              <w:pStyle w:val="Compact"/>
            </w:pPr>
            <w:r>
              <w:t xml:space="preserve">-24.539</w:t>
            </w:r>
          </w:p>
        </w:tc>
        <w:tc>
          <w:tcPr/>
          <w:p>
            <w:pPr>
              <w:pStyle w:val="Compact"/>
            </w:pPr>
            <w:r>
              <w:t xml:space="preserve">-32.680</w:t>
            </w:r>
          </w:p>
        </w:tc>
        <w:tc>
          <w:tcPr/>
          <w:p>
            <w:pPr>
              <w:pStyle w:val="Compact"/>
            </w:pPr>
            <w:r>
              <w:t xml:space="preserve">-34.467</w:t>
            </w:r>
          </w:p>
        </w:tc>
        <w:tc>
          <w:tcPr/>
          <w:p>
            <w:pPr>
              <w:pStyle w:val="Compact"/>
            </w:pPr>
            <w:r>
              <w:t xml:space="preserve">-36.123</w:t>
            </w:r>
          </w:p>
        </w:tc>
      </w:tr>
      <w:tr>
        <w:tc>
          <w:tcPr/>
          <w:p>
            <w:pPr>
              <w:pStyle w:val="Compact"/>
            </w:pPr>
          </w:p>
        </w:tc>
        <w:tc>
          <w:tcPr/>
          <w:p>
            <w:pPr>
              <w:pStyle w:val="Compact"/>
            </w:pPr>
          </w:p>
        </w:tc>
        <w:tc>
          <w:tcPr/>
          <w:p>
            <w:pPr>
              <w:pStyle w:val="Compact"/>
            </w:pPr>
            <w:r>
              <w:t xml:space="preserve">(7.572)</w:t>
            </w:r>
          </w:p>
        </w:tc>
        <w:tc>
          <w:tcPr/>
          <w:p>
            <w:pPr>
              <w:pStyle w:val="Compact"/>
            </w:pPr>
            <w:r>
              <w:t xml:space="preserve">(16.889)</w:t>
            </w:r>
          </w:p>
        </w:tc>
        <w:tc>
          <w:tcPr/>
          <w:p>
            <w:pPr>
              <w:pStyle w:val="Compact"/>
            </w:pPr>
            <w:r>
              <w:t xml:space="preserve">(23.780)</w:t>
            </w:r>
          </w:p>
        </w:tc>
        <w:tc>
          <w:tcPr/>
          <w:p>
            <w:pPr>
              <w:pStyle w:val="Compact"/>
            </w:pPr>
            <w:r>
              <w:t xml:space="preserve">(22.936)</w:t>
            </w:r>
          </w:p>
        </w:tc>
        <w:tc>
          <w:tcPr/>
          <w:p>
            <w:pPr>
              <w:pStyle w:val="Compact"/>
            </w:pPr>
            <w:r>
              <w:t xml:space="preserve">(26.436)</w:t>
            </w:r>
          </w:p>
        </w:tc>
        <w:tc>
          <w:tcPr/>
          <w:p>
            <w:pPr>
              <w:pStyle w:val="Compact"/>
            </w:pPr>
            <w:r>
              <w:t xml:space="preserve">(27.231)</w:t>
            </w:r>
          </w:p>
        </w:tc>
      </w:tr>
      <w:tr>
        <w:tc>
          <w:tcPr/>
          <w:p>
            <w:pPr>
              <w:pStyle w:val="Compact"/>
            </w:pPr>
            <w:r>
              <w:t xml:space="preserve">PTR (primary)</w:t>
            </w:r>
          </w:p>
        </w:tc>
        <w:tc>
          <w:tcPr/>
          <w:p>
            <w:pPr>
              <w:pStyle w:val="Compact"/>
            </w:pPr>
          </w:p>
        </w:tc>
        <w:tc>
          <w:tcPr/>
          <w:p>
            <w:pPr>
              <w:pStyle w:val="Compact"/>
            </w:pPr>
          </w:p>
        </w:tc>
        <w:tc>
          <w:tcPr/>
          <w:p>
            <w:pPr>
              <w:pStyle w:val="Compact"/>
            </w:pPr>
            <w:r>
              <w:t xml:space="preserve">0.509</w:t>
            </w:r>
          </w:p>
        </w:tc>
        <w:tc>
          <w:tcPr/>
          <w:p>
            <w:pPr>
              <w:pStyle w:val="Compact"/>
            </w:pPr>
            <w:r>
              <w:t xml:space="preserve">0.524</w:t>
            </w:r>
          </w:p>
        </w:tc>
        <w:tc>
          <w:tcPr/>
          <w:p>
            <w:pPr>
              <w:pStyle w:val="Compact"/>
            </w:pPr>
            <w:r>
              <w:t xml:space="preserve">-0.234</w:t>
            </w:r>
          </w:p>
        </w:tc>
        <w:tc>
          <w:tcPr/>
          <w:p>
            <w:pPr>
              <w:pStyle w:val="Compact"/>
            </w:pPr>
            <w:r>
              <w:t xml:space="preserve">-0.283</w:t>
            </w:r>
          </w:p>
        </w:tc>
        <w:tc>
          <w:tcPr/>
          <w:p>
            <w:pPr>
              <w:pStyle w:val="Compact"/>
            </w:pPr>
            <w:r>
              <w:t xml:space="preserve">-0.145</w:t>
            </w:r>
          </w:p>
        </w:tc>
      </w:tr>
      <w:tr>
        <w:tc>
          <w:tcPr/>
          <w:p>
            <w:pPr>
              <w:pStyle w:val="Compact"/>
            </w:pPr>
          </w:p>
        </w:tc>
        <w:tc>
          <w:tcPr/>
          <w:p>
            <w:pPr>
              <w:pStyle w:val="Compact"/>
            </w:pPr>
          </w:p>
        </w:tc>
        <w:tc>
          <w:tcPr/>
          <w:p>
            <w:pPr>
              <w:pStyle w:val="Compact"/>
            </w:pPr>
          </w:p>
        </w:tc>
        <w:tc>
          <w:tcPr/>
          <w:p>
            <w:pPr>
              <w:pStyle w:val="Compact"/>
            </w:pPr>
            <w:r>
              <w:t xml:space="preserve">(0.898)</w:t>
            </w:r>
          </w:p>
        </w:tc>
        <w:tc>
          <w:tcPr/>
          <w:p>
            <w:pPr>
              <w:pStyle w:val="Compact"/>
            </w:pPr>
            <w:r>
              <w:t xml:space="preserve">(1.062)</w:t>
            </w:r>
          </w:p>
        </w:tc>
        <w:tc>
          <w:tcPr/>
          <w:p>
            <w:pPr>
              <w:pStyle w:val="Compact"/>
            </w:pPr>
            <w:r>
              <w:t xml:space="preserve">(0.942)</w:t>
            </w:r>
          </w:p>
        </w:tc>
        <w:tc>
          <w:tcPr/>
          <w:p>
            <w:pPr>
              <w:pStyle w:val="Compact"/>
            </w:pPr>
            <w:r>
              <w:t xml:space="preserve">(0.863)</w:t>
            </w:r>
          </w:p>
        </w:tc>
        <w:tc>
          <w:tcPr/>
          <w:p>
            <w:pPr>
              <w:pStyle w:val="Compact"/>
            </w:pPr>
            <w:r>
              <w:t xml:space="preserve">(0.823)</w:t>
            </w:r>
          </w:p>
        </w:tc>
      </w:tr>
      <w:tr>
        <w:tc>
          <w:tcPr/>
          <w:p>
            <w:pPr>
              <w:pStyle w:val="Compact"/>
            </w:pPr>
            <w:r>
              <w:t xml:space="preserve">Ed expenditure (% GDP)</w:t>
            </w:r>
          </w:p>
        </w:tc>
        <w:tc>
          <w:tcPr/>
          <w:p>
            <w:pPr>
              <w:pStyle w:val="Compact"/>
            </w:pPr>
          </w:p>
        </w:tc>
        <w:tc>
          <w:tcPr/>
          <w:p>
            <w:pPr>
              <w:pStyle w:val="Compact"/>
            </w:pPr>
          </w:p>
        </w:tc>
        <w:tc>
          <w:tcPr/>
          <w:p>
            <w:pPr>
              <w:pStyle w:val="Compact"/>
            </w:pPr>
          </w:p>
        </w:tc>
        <w:tc>
          <w:tcPr/>
          <w:p>
            <w:pPr>
              <w:pStyle w:val="Compact"/>
            </w:pPr>
            <w:r>
              <w:t xml:space="preserve">-1.561</w:t>
            </w:r>
          </w:p>
        </w:tc>
        <w:tc>
          <w:tcPr/>
          <w:p>
            <w:pPr>
              <w:pStyle w:val="Compact"/>
            </w:pPr>
            <w:r>
              <w:t xml:space="preserve">-1.928</w:t>
            </w:r>
          </w:p>
        </w:tc>
        <w:tc>
          <w:tcPr/>
          <w:p>
            <w:pPr>
              <w:pStyle w:val="Compact"/>
            </w:pPr>
            <w:r>
              <w:t xml:space="preserve">-1.783</w:t>
            </w:r>
          </w:p>
        </w:tc>
        <w:tc>
          <w:tcPr/>
          <w:p>
            <w:pPr>
              <w:pStyle w:val="Compact"/>
            </w:pPr>
            <w:r>
              <w:t xml:space="preserve">-1.802</w:t>
            </w:r>
          </w:p>
        </w:tc>
      </w:tr>
      <w:tr>
        <w:tc>
          <w:tcPr/>
          <w:p>
            <w:pPr>
              <w:pStyle w:val="Compact"/>
            </w:pPr>
          </w:p>
        </w:tc>
        <w:tc>
          <w:tcPr/>
          <w:p>
            <w:pPr>
              <w:pStyle w:val="Compact"/>
            </w:pPr>
          </w:p>
        </w:tc>
        <w:tc>
          <w:tcPr/>
          <w:p>
            <w:pPr>
              <w:pStyle w:val="Compact"/>
            </w:pPr>
          </w:p>
        </w:tc>
        <w:tc>
          <w:tcPr/>
          <w:p>
            <w:pPr>
              <w:pStyle w:val="Compact"/>
            </w:pPr>
          </w:p>
        </w:tc>
        <w:tc>
          <w:tcPr/>
          <w:p>
            <w:pPr>
              <w:pStyle w:val="Compact"/>
            </w:pPr>
            <w:r>
              <w:t xml:space="preserve">(2.318)</w:t>
            </w:r>
          </w:p>
        </w:tc>
        <w:tc>
          <w:tcPr/>
          <w:p>
            <w:pPr>
              <w:pStyle w:val="Compact"/>
            </w:pPr>
            <w:r>
              <w:t xml:space="preserve">(2.990)</w:t>
            </w:r>
          </w:p>
        </w:tc>
        <w:tc>
          <w:tcPr/>
          <w:p>
            <w:pPr>
              <w:pStyle w:val="Compact"/>
            </w:pPr>
            <w:r>
              <w:t xml:space="preserve">(2.999)</w:t>
            </w:r>
          </w:p>
        </w:tc>
        <w:tc>
          <w:tcPr/>
          <w:p>
            <w:pPr>
              <w:pStyle w:val="Compact"/>
            </w:pPr>
            <w:r>
              <w:t xml:space="preserve">(3.023)</w:t>
            </w:r>
          </w:p>
        </w:tc>
      </w:tr>
      <w:tr>
        <w:tc>
          <w:tcPr/>
          <w:p>
            <w:pPr>
              <w:pStyle w:val="Compact"/>
            </w:pPr>
            <w:r>
              <w:t xml:space="preserve">WGI PC1 (governance composite)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20.121**</w:t>
            </w:r>
          </w:p>
        </w:tc>
        <w:tc>
          <w:tcPr/>
          <w:p>
            <w:pPr>
              <w:pStyle w:val="Compact"/>
            </w:pPr>
            <w:r>
              <w:t xml:space="preserve">21.537*</w:t>
            </w:r>
          </w:p>
        </w:tc>
        <w:tc>
          <w:tcPr/>
          <w:p>
            <w:pPr>
              <w:pStyle w:val="Compact"/>
            </w:pPr>
            <w:r>
              <w:t xml:space="preserve">19.766*</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(9.397)</w:t>
            </w:r>
          </w:p>
        </w:tc>
        <w:tc>
          <w:tcPr/>
          <w:p>
            <w:pPr>
              <w:pStyle w:val="Compact"/>
            </w:pPr>
            <w:r>
              <w:t xml:space="preserve">(12.091)</w:t>
            </w:r>
          </w:p>
        </w:tc>
        <w:tc>
          <w:tcPr/>
          <w:p>
            <w:pPr>
              <w:pStyle w:val="Compact"/>
            </w:pPr>
            <w:r>
              <w:t xml:space="preserve">(11.574)</w:t>
            </w:r>
          </w:p>
        </w:tc>
      </w:tr>
      <w:tr>
        <w:tc>
          <w:tcPr/>
          <w:p>
            <w:pPr>
              <w:pStyle w:val="Compact"/>
            </w:pPr>
            <w:r>
              <w:t xml:space="preserve">log(1 + GCDF strict-past MA3)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-0.205</w:t>
            </w:r>
          </w:p>
        </w:tc>
        <w:tc>
          <w:tcPr/>
          <w:p>
            <w:pPr>
              <w:pStyle w:val="Compact"/>
            </w:pPr>
            <w:r>
              <w:t xml:space="preserve">-0.132</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(0.787)</w:t>
            </w:r>
          </w:p>
        </w:tc>
        <w:tc>
          <w:tcPr/>
          <w:p>
            <w:pPr>
              <w:pStyle w:val="Compact"/>
            </w:pPr>
            <w:r>
              <w:t xml:space="preserve">(0.779)</w:t>
            </w:r>
          </w:p>
        </w:tc>
      </w:tr>
      <w:tr>
        <w:tc>
          <w:tcPr/>
          <w:p>
            <w:pPr>
              <w:pStyle w:val="Compact"/>
            </w:pPr>
            <w:r>
              <w:t xml:space="preserve">In active conflict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-10.060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(9.577)</w:t>
            </w:r>
          </w:p>
        </w:tc>
      </w:tr>
      <w:tr>
        <w:tc>
          <w:tcPr/>
          <w:p>
            <w:pPr>
              <w:pStyle w:val="Compact"/>
            </w:pPr>
            <w:r>
              <w:t xml:space="preserve">N</w:t>
            </w:r>
          </w:p>
        </w:tc>
        <w:tc>
          <w:tcPr/>
          <w:p>
            <w:pPr>
              <w:pStyle w:val="Compact"/>
            </w:pPr>
            <w:r>
              <w:t xml:space="preserve">441</w:t>
            </w:r>
          </w:p>
        </w:tc>
        <w:tc>
          <w:tcPr/>
          <w:p>
            <w:pPr>
              <w:pStyle w:val="Compact"/>
            </w:pPr>
            <w:r>
              <w:t xml:space="preserve">437</w:t>
            </w:r>
          </w:p>
        </w:tc>
        <w:tc>
          <w:tcPr/>
          <w:p>
            <w:pPr>
              <w:pStyle w:val="Compact"/>
            </w:pPr>
            <w:r>
              <w:t xml:space="preserve">184</w:t>
            </w:r>
          </w:p>
        </w:tc>
        <w:tc>
          <w:tcPr/>
          <w:p>
            <w:pPr>
              <w:pStyle w:val="Compact"/>
            </w:pPr>
            <w:r>
              <w:t xml:space="preserve">143</w:t>
            </w:r>
          </w:p>
        </w:tc>
        <w:tc>
          <w:tcPr/>
          <w:p>
            <w:pPr>
              <w:pStyle w:val="Compact"/>
            </w:pPr>
            <w:r>
              <w:t xml:space="preserve">143</w:t>
            </w:r>
          </w:p>
        </w:tc>
        <w:tc>
          <w:tcPr/>
          <w:p>
            <w:pPr>
              <w:pStyle w:val="Compact"/>
            </w:pPr>
            <w:r>
              <w:t xml:space="preserve">143</w:t>
            </w:r>
          </w:p>
        </w:tc>
        <w:tc>
          <w:tcPr/>
          <w:p>
            <w:pPr>
              <w:pStyle w:val="Compact"/>
            </w:pPr>
            <w:r>
              <w:t xml:space="preserve">143</w:t>
            </w:r>
          </w:p>
        </w:tc>
      </w:tr>
      <w:tr>
        <w:tc>
          <w:tcPr/>
          <w:p>
            <w:pPr>
              <w:pStyle w:val="Compact"/>
            </w:pPr>
            <w:r>
              <w:t xml:space="preserve">R^2</w:t>
            </w:r>
          </w:p>
        </w:tc>
        <w:tc>
          <w:tcPr/>
          <w:p>
            <w:pPr>
              <w:pStyle w:val="Compact"/>
            </w:pPr>
            <w:r>
              <w:t xml:space="preserve">0.941</w:t>
            </w:r>
          </w:p>
        </w:tc>
        <w:tc>
          <w:tcPr/>
          <w:p>
            <w:pPr>
              <w:pStyle w:val="Compact"/>
            </w:pPr>
            <w:r>
              <w:t xml:space="preserve">0.940</w:t>
            </w:r>
          </w:p>
        </w:tc>
        <w:tc>
          <w:tcPr/>
          <w:p>
            <w:pPr>
              <w:pStyle w:val="Compact"/>
            </w:pPr>
            <w:r>
              <w:t xml:space="preserve">0.928</w:t>
            </w:r>
          </w:p>
        </w:tc>
        <w:tc>
          <w:tcPr/>
          <w:p>
            <w:pPr>
              <w:pStyle w:val="Compact"/>
            </w:pPr>
            <w:r>
              <w:t xml:space="preserve">0.928</w:t>
            </w:r>
          </w:p>
        </w:tc>
        <w:tc>
          <w:tcPr/>
          <w:p>
            <w:pPr>
              <w:pStyle w:val="Compact"/>
            </w:pPr>
            <w:r>
              <w:t xml:space="preserve">0.933</w:t>
            </w:r>
          </w:p>
        </w:tc>
        <w:tc>
          <w:tcPr/>
          <w:p>
            <w:pPr>
              <w:pStyle w:val="Compact"/>
            </w:pPr>
            <w:r>
              <w:t xml:space="preserve">0.933</w:t>
            </w:r>
          </w:p>
        </w:tc>
        <w:tc>
          <w:tcPr/>
          <w:p>
            <w:pPr>
              <w:pStyle w:val="Compact"/>
            </w:pPr>
            <w:r>
              <w:t xml:space="preserve">0.935</w:t>
            </w:r>
          </w:p>
        </w:tc>
      </w:tr>
      <w:tr>
        <w:tc>
          <w:tcPr/>
          <w:p>
            <w:pPr>
              <w:pStyle w:val="Compact"/>
            </w:pPr>
            <w:r>
              <w:t xml:space="preserve">Adj R^2</w:t>
            </w:r>
          </w:p>
        </w:tc>
        <w:tc>
          <w:tcPr/>
          <w:p>
            <w:pPr>
              <w:pStyle w:val="Compact"/>
            </w:pPr>
            <w:r>
              <w:t xml:space="preserve">0.916</w:t>
            </w:r>
          </w:p>
        </w:tc>
        <w:tc>
          <w:tcPr/>
          <w:p>
            <w:pPr>
              <w:pStyle w:val="Compact"/>
            </w:pPr>
            <w:r>
              <w:t xml:space="preserve">0.914</w:t>
            </w:r>
          </w:p>
        </w:tc>
        <w:tc>
          <w:tcPr/>
          <w:p>
            <w:pPr>
              <w:pStyle w:val="Compact"/>
            </w:pPr>
            <w:r>
              <w:t xml:space="preserve">0.870</w:t>
            </w:r>
          </w:p>
        </w:tc>
        <w:tc>
          <w:tcPr/>
          <w:p>
            <w:pPr>
              <w:pStyle w:val="Compact"/>
            </w:pPr>
            <w:r>
              <w:t xml:space="preserve">0.865</w:t>
            </w:r>
          </w:p>
        </w:tc>
        <w:tc>
          <w:tcPr/>
          <w:p>
            <w:pPr>
              <w:pStyle w:val="Compact"/>
            </w:pPr>
            <w:r>
              <w:t xml:space="preserve">0.873</w:t>
            </w:r>
          </w:p>
        </w:tc>
        <w:tc>
          <w:tcPr/>
          <w:p>
            <w:pPr>
              <w:pStyle w:val="Compact"/>
            </w:pPr>
            <w:r>
              <w:t xml:space="preserve">0.872</w:t>
            </w:r>
          </w:p>
        </w:tc>
        <w:tc>
          <w:tcPr/>
          <w:p>
            <w:pPr>
              <w:pStyle w:val="Compact"/>
            </w:pPr>
            <w:r>
              <w:t xml:space="preserve">0.873</w:t>
            </w:r>
          </w:p>
        </w:tc>
      </w:tr>
      <w:tr>
        <w:tc>
          <w:tcPr>
            <w:gridSpan w:val="8"/>
          </w:tcPr>
          <w:p>
            <w:pPr>
              <w:pStyle w:val="Compact"/>
              <w:numPr>
                <w:ilvl w:val="0"/>
                <w:numId w:val="1002"/>
              </w:numPr>
            </w:pPr>
            <w:r>
              <w:t xml:space="preserve">p &lt; 0.1, ** p &lt; 0.05, *** p &lt; 0.01</w:t>
            </w:r>
          </w:p>
        </w:tc>
      </w:tr>
      <w:tr>
        <w:tc>
          <w:tcPr>
            <w:gridSpan w:val="8"/>
          </w:tcPr>
          <w:p>
            <w:pPr>
              <w:pStyle w:val="Compact"/>
            </w:pPr>
            <w:r>
              <w:t xml:space="preserve">Two-way (country + year) FE; country-clustered SE. Treatment: log(1 + CRS_disburse_defl_ma3_lag1) — Session-03 lock (ADR-0005). WGI: PC1 of six aggregates (76.4% variance) — Session-05 lock</w:t>
            </w:r>
            <w:r>
              <w:t xml:space="preserve"> </w:t>
            </w:r>
            <w:r>
              <w:t xml:space="preserve">(ADR-0009). GCDF in 2f: strictly-past MA3 — methodological consistency with ADR-0005. Wooldridge AR(1) F=0.4 (p=0.51). Breusch-Pagan χ²=137.2 (p=0.0045). Max VIF (demeaned) = 1.62.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 Singleton-FE countries auto-dropped by feols. COVID days recoded NA→0 for pre-2020 years.</w:t>
            </w:r>
          </w:p>
        </w:tc>
      </w:tr>
    </w:tbl>
    <w:bookmarkEnd w:id="96"/>
    <w:bookmarkStart w:id="100" w:name="X66101c8d94f54e6325cd560f82db6e1b06345ca"/>
    <w:p>
      <w:pPr>
        <w:pStyle w:val="Heading2"/>
      </w:pPr>
      <w:r>
        <w:t xml:space="preserve">A.4 Model 3 random effects — spec progression</w:t>
      </w:r>
    </w:p>
    <w:bookmarkStart w:id="99" w:name="X56088b1aad27f1faef805114c094fa1849cbe01"/>
    <w:p>
      <w:pPr>
        <w:pStyle w:val="Heading4"/>
      </w:pPr>
      <w:r>
        <w:t xml:space="preserve">Model 3 — 2-level country RE + year FE (locked encoding)</w:t>
      </w:r>
    </w:p>
    <w:p>
      <w:pPr>
        <w:pStyle w:val="FirstParagraph"/>
      </w:pPr>
      <w:r>
        <w:t xml:space="preserve">Random intercept by country; year FE; locked treatment (</w:t>
      </w:r>
      <w:r>
        <w:rPr>
          <w:rStyle w:val="VerbatimChar"/>
        </w:rPr>
        <w:t xml:space="preserve">crs_disburse_usd_defl_ma3_lag1</w:t>
      </w:r>
      <w:r>
        <w:t xml:space="preserve">) + WGI PC1. Estimator:</w:t>
      </w:r>
      <w:r>
        <w:t xml:space="preserve"> </w:t>
      </w:r>
      <w:r>
        <w:rPr>
          <w:rStyle w:val="VerbatimChar"/>
        </w:rPr>
        <w:t xml:space="preserve">lme4::lmer</w:t>
      </w:r>
      <w:r>
        <w:t xml:space="preserve"> </w:t>
      </w:r>
      <w:r>
        <w:t xml:space="preserve">with REML=FALSE (ML, for Hausman comparability).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97" w:name="hlo-outcome"/>
    <w:p>
      <w:pPr>
        <w:pStyle w:val="Heading5"/>
      </w:pPr>
      <w:r>
        <w:t xml:space="preserve">HLO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447</w:t>
            </w:r>
          </w:p>
        </w:tc>
        <w:tc>
          <w:tcPr/>
          <w:p>
            <w:pPr>
              <w:pStyle w:val="Compact"/>
              <w:jc w:val="right"/>
            </w:pPr>
            <w:r>
              <w:t xml:space="preserve">-5.1885</w:t>
            </w:r>
          </w:p>
        </w:tc>
        <w:tc>
          <w:tcPr/>
          <w:p>
            <w:pPr>
              <w:pStyle w:val="Compact"/>
              <w:jc w:val="right"/>
            </w:pPr>
            <w:r>
              <w:t xml:space="preserve">1.659</w:t>
            </w:r>
          </w:p>
        </w:tc>
        <w:tc>
          <w:tcPr/>
          <w:p>
            <w:pPr>
              <w:pStyle w:val="Compact"/>
              <w:jc w:val="right"/>
            </w:pPr>
            <w:r>
              <w:t xml:space="preserve">0.0019</w:t>
            </w:r>
          </w:p>
        </w:tc>
        <w:tc>
          <w:tcPr/>
          <w:p>
            <w:pPr>
              <w:pStyle w:val="Compact"/>
              <w:jc w:val="left"/>
            </w:pPr>
            <w:r>
              <w:t xml:space="preserve">***</w:t>
            </w:r>
          </w:p>
        </w:tc>
        <w:tc>
          <w:tcPr/>
          <w:p>
            <w:pPr>
              <w:pStyle w:val="Compact"/>
              <w:jc w:val="right"/>
            </w:pPr>
            <w:r>
              <w:t xml:space="preserve">47.53</w:t>
            </w:r>
          </w:p>
        </w:tc>
        <w:tc>
          <w:tcPr/>
          <w:p>
            <w:pPr>
              <w:pStyle w:val="Compact"/>
              <w:jc w:val="right"/>
            </w:pPr>
            <w:r>
              <w:t xml:space="preserve">15.59</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443</w:t>
            </w:r>
          </w:p>
        </w:tc>
        <w:tc>
          <w:tcPr/>
          <w:p>
            <w:pPr>
              <w:pStyle w:val="Compact"/>
              <w:jc w:val="right"/>
            </w:pPr>
            <w:r>
              <w:t xml:space="preserve">-1.8000</w:t>
            </w:r>
          </w:p>
        </w:tc>
        <w:tc>
          <w:tcPr/>
          <w:p>
            <w:pPr>
              <w:pStyle w:val="Compact"/>
              <w:jc w:val="right"/>
            </w:pPr>
            <w:r>
              <w:t xml:space="preserve">1.601</w:t>
            </w:r>
          </w:p>
        </w:tc>
        <w:tc>
          <w:tcPr/>
          <w:p>
            <w:pPr>
              <w:pStyle w:val="Compact"/>
              <w:jc w:val="right"/>
            </w:pPr>
            <w:r>
              <w:t xml:space="preserve">0.2615</w:t>
            </w:r>
          </w:p>
        </w:tc>
        <w:tc>
          <w:tcPr/>
          <w:p>
            <w:pPr>
              <w:pStyle w:val="Compact"/>
            </w:pPr>
          </w:p>
        </w:tc>
        <w:tc>
          <w:tcPr/>
          <w:p>
            <w:pPr>
              <w:pStyle w:val="Compact"/>
              <w:jc w:val="right"/>
            </w:pPr>
            <w:r>
              <w:t xml:space="preserve">38.44</w:t>
            </w:r>
          </w:p>
        </w:tc>
        <w:tc>
          <w:tcPr/>
          <w:p>
            <w:pPr>
              <w:pStyle w:val="Compact"/>
              <w:jc w:val="right"/>
            </w:pPr>
            <w:r>
              <w:t xml:space="preserve">15.64</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206</w:t>
            </w:r>
          </w:p>
        </w:tc>
        <w:tc>
          <w:tcPr/>
          <w:p>
            <w:pPr>
              <w:pStyle w:val="Compact"/>
              <w:jc w:val="right"/>
            </w:pPr>
            <w:r>
              <w:t xml:space="preserve">-0.5847</w:t>
            </w:r>
          </w:p>
        </w:tc>
        <w:tc>
          <w:tcPr/>
          <w:p>
            <w:pPr>
              <w:pStyle w:val="Compact"/>
              <w:jc w:val="right"/>
            </w:pPr>
            <w:r>
              <w:t xml:space="preserve">2.371</w:t>
            </w:r>
          </w:p>
        </w:tc>
        <w:tc>
          <w:tcPr/>
          <w:p>
            <w:pPr>
              <w:pStyle w:val="Compact"/>
              <w:jc w:val="right"/>
            </w:pPr>
            <w:r>
              <w:t xml:space="preserve">0.8056</w:t>
            </w:r>
          </w:p>
        </w:tc>
        <w:tc>
          <w:tcPr/>
          <w:p>
            <w:pPr>
              <w:pStyle w:val="Compact"/>
            </w:pPr>
          </w:p>
        </w:tc>
        <w:tc>
          <w:tcPr/>
          <w:p>
            <w:pPr>
              <w:pStyle w:val="Compact"/>
              <w:jc w:val="right"/>
            </w:pPr>
            <w:r>
              <w:t xml:space="preserve">37.28</w:t>
            </w:r>
          </w:p>
        </w:tc>
        <w:tc>
          <w:tcPr/>
          <w:p>
            <w:pPr>
              <w:pStyle w:val="Compact"/>
              <w:jc w:val="right"/>
            </w:pPr>
            <w:r>
              <w:t xml:space="preserve">18.63</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173</w:t>
            </w:r>
          </w:p>
        </w:tc>
        <w:tc>
          <w:tcPr/>
          <w:p>
            <w:pPr>
              <w:pStyle w:val="Compact"/>
              <w:jc w:val="right"/>
            </w:pPr>
            <w:r>
              <w:t xml:space="preserve">-2.7624</w:t>
            </w:r>
          </w:p>
        </w:tc>
        <w:tc>
          <w:tcPr/>
          <w:p>
            <w:pPr>
              <w:pStyle w:val="Compact"/>
              <w:jc w:val="right"/>
            </w:pPr>
            <w:r>
              <w:t xml:space="preserve">2.605</w:t>
            </w:r>
          </w:p>
        </w:tc>
        <w:tc>
          <w:tcPr/>
          <w:p>
            <w:pPr>
              <w:pStyle w:val="Compact"/>
              <w:jc w:val="right"/>
            </w:pPr>
            <w:r>
              <w:t xml:space="preserve">0.2909</w:t>
            </w:r>
          </w:p>
        </w:tc>
        <w:tc>
          <w:tcPr/>
          <w:p>
            <w:pPr>
              <w:pStyle w:val="Compact"/>
            </w:pPr>
          </w:p>
        </w:tc>
        <w:tc>
          <w:tcPr/>
          <w:p>
            <w:pPr>
              <w:pStyle w:val="Compact"/>
              <w:jc w:val="right"/>
            </w:pPr>
            <w:r>
              <w:t xml:space="preserve">36.77</w:t>
            </w:r>
          </w:p>
        </w:tc>
        <w:tc>
          <w:tcPr/>
          <w:p>
            <w:pPr>
              <w:pStyle w:val="Compact"/>
              <w:jc w:val="right"/>
            </w:pPr>
            <w:r>
              <w:t xml:space="preserve">19.47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173</w:t>
            </w:r>
          </w:p>
        </w:tc>
        <w:tc>
          <w:tcPr/>
          <w:p>
            <w:pPr>
              <w:pStyle w:val="Compact"/>
              <w:jc w:val="right"/>
            </w:pPr>
            <w:r>
              <w:t xml:space="preserve">-1.3224</w:t>
            </w:r>
          </w:p>
        </w:tc>
        <w:tc>
          <w:tcPr/>
          <w:p>
            <w:pPr>
              <w:pStyle w:val="Compact"/>
              <w:jc w:val="right"/>
            </w:pPr>
            <w:r>
              <w:t xml:space="preserve">2.679</w:t>
            </w:r>
          </w:p>
        </w:tc>
        <w:tc>
          <w:tcPr/>
          <w:p>
            <w:pPr>
              <w:pStyle w:val="Compact"/>
              <w:jc w:val="right"/>
            </w:pPr>
            <w:r>
              <w:t xml:space="preserve">0.6225</w:t>
            </w:r>
          </w:p>
        </w:tc>
        <w:tc>
          <w:tcPr/>
          <w:p>
            <w:pPr>
              <w:pStyle w:val="Compact"/>
            </w:pPr>
          </w:p>
        </w:tc>
        <w:tc>
          <w:tcPr/>
          <w:p>
            <w:pPr>
              <w:pStyle w:val="Compact"/>
              <w:jc w:val="right"/>
            </w:pPr>
            <w:r>
              <w:t xml:space="preserve">37.05</w:t>
            </w:r>
          </w:p>
        </w:tc>
        <w:tc>
          <w:tcPr/>
          <w:p>
            <w:pPr>
              <w:pStyle w:val="Compact"/>
              <w:jc w:val="right"/>
            </w:pPr>
            <w:r>
              <w:t xml:space="preserve">18.95</w:t>
            </w:r>
          </w:p>
        </w:tc>
        <w:tc>
          <w:tcPr/>
          <w:p>
            <w:pPr>
              <w:pStyle w:val="Compact"/>
              <w:jc w:val="left"/>
            </w:pPr>
            <w:r>
              <w:t xml:space="preserve">FALSE</w:t>
            </w:r>
          </w:p>
        </w:tc>
      </w:tr>
    </w:tbl>
    <w:bookmarkEnd w:id="97"/>
    <w:bookmarkStart w:id="98" w:name="lays-outcome"/>
    <w:p>
      <w:pPr>
        <w:pStyle w:val="Heading5"/>
      </w:pPr>
      <w:r>
        <w:t xml:space="preserve">LAYS outcome</w:t>
      </w:r>
    </w:p>
    <w:tbl>
      <w:tblPr>
        <w:tblStyle w:val="Table"/>
        <w:tblW w:type="pct" w:w="5000"/>
        <w:tblLayout w:type="fixed"/>
        <w:tblLook w:firstRow="1" w:lastRow="0" w:firstColumn="0" w:lastColumn="0" w:noHBand="0" w:noVBand="0" w:val="0020"/>
      </w:tblPr>
      <w:tblGrid>
        <w:gridCol w:w="514"/>
        <w:gridCol w:w="411"/>
        <w:gridCol w:w="925"/>
        <w:gridCol w:w="719"/>
        <w:gridCol w:w="719"/>
        <w:gridCol w:w="719"/>
        <w:gridCol w:w="1439"/>
        <w:gridCol w:w="1234"/>
        <w:gridCol w:w="1234"/>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sigma_country</w:t>
            </w:r>
          </w:p>
        </w:tc>
        <w:tc>
          <w:tcPr/>
          <w:p>
            <w:pPr>
              <w:pStyle w:val="Compact"/>
              <w:jc w:val="right"/>
            </w:pPr>
            <w:r>
              <w:t xml:space="preserve">sigma_resid</w:t>
            </w:r>
          </w:p>
        </w:tc>
        <w:tc>
          <w:tcPr/>
          <w:p>
            <w:pPr>
              <w:pStyle w:val="Compact"/>
              <w:jc w:val="left"/>
            </w:pPr>
            <w:r>
              <w:t xml:space="preserve">is_singular</w:t>
            </w:r>
          </w:p>
        </w:tc>
      </w:tr>
      <w:tr>
        <w:tc>
          <w:tcPr/>
          <w:p>
            <w:pPr>
              <w:pStyle w:val="Compact"/>
              <w:jc w:val="left"/>
            </w:pPr>
            <w:r>
              <w:t xml:space="preserve">3a</w:t>
            </w:r>
          </w:p>
        </w:tc>
        <w:tc>
          <w:tcPr/>
          <w:p>
            <w:pPr>
              <w:pStyle w:val="Compact"/>
              <w:jc w:val="right"/>
            </w:pPr>
            <w:r>
              <w:t xml:space="preserve">443</w:t>
            </w:r>
          </w:p>
        </w:tc>
        <w:tc>
          <w:tcPr/>
          <w:p>
            <w:pPr>
              <w:pStyle w:val="Compact"/>
              <w:jc w:val="right"/>
            </w:pPr>
            <w:r>
              <w:t xml:space="preserve">-0.0892</w:t>
            </w:r>
          </w:p>
        </w:tc>
        <w:tc>
          <w:tcPr/>
          <w:p>
            <w:pPr>
              <w:pStyle w:val="Compact"/>
              <w:jc w:val="right"/>
            </w:pPr>
            <w:r>
              <w:t xml:space="preserve">0.0466</w:t>
            </w:r>
          </w:p>
        </w:tc>
        <w:tc>
          <w:tcPr/>
          <w:p>
            <w:pPr>
              <w:pStyle w:val="Compact"/>
              <w:jc w:val="right"/>
            </w:pPr>
            <w:r>
              <w:t xml:space="preserve">0.0566</w:t>
            </w:r>
          </w:p>
        </w:tc>
        <w:tc>
          <w:tcPr/>
          <w:p>
            <w:pPr>
              <w:pStyle w:val="Compact"/>
              <w:jc w:val="left"/>
            </w:pPr>
            <w:r>
              <w:t xml:space="preserve">*</w:t>
            </w:r>
          </w:p>
        </w:tc>
        <w:tc>
          <w:tcPr/>
          <w:p>
            <w:pPr>
              <w:pStyle w:val="Compact"/>
              <w:jc w:val="right"/>
            </w:pPr>
            <w:r>
              <w:t xml:space="preserve">2.106</w:t>
            </w:r>
          </w:p>
        </w:tc>
        <w:tc>
          <w:tcPr/>
          <w:p>
            <w:pPr>
              <w:pStyle w:val="Compact"/>
              <w:jc w:val="right"/>
            </w:pPr>
            <w:r>
              <w:t xml:space="preserve">0.3494</w:t>
            </w:r>
          </w:p>
        </w:tc>
        <w:tc>
          <w:tcPr/>
          <w:p>
            <w:pPr>
              <w:pStyle w:val="Compact"/>
              <w:jc w:val="left"/>
            </w:pPr>
            <w:r>
              <w:t xml:space="preserve">FALSE</w:t>
            </w:r>
          </w:p>
        </w:tc>
      </w:tr>
      <w:tr>
        <w:tc>
          <w:tcPr/>
          <w:p>
            <w:pPr>
              <w:pStyle w:val="Compact"/>
              <w:jc w:val="left"/>
            </w:pPr>
            <w:r>
              <w:t xml:space="preserve">3b</w:t>
            </w:r>
          </w:p>
        </w:tc>
        <w:tc>
          <w:tcPr/>
          <w:p>
            <w:pPr>
              <w:pStyle w:val="Compact"/>
              <w:jc w:val="right"/>
            </w:pPr>
            <w:r>
              <w:t xml:space="preserve">439</w:t>
            </w:r>
          </w:p>
        </w:tc>
        <w:tc>
          <w:tcPr/>
          <w:p>
            <w:pPr>
              <w:pStyle w:val="Compact"/>
              <w:jc w:val="right"/>
            </w:pPr>
            <w:r>
              <w:t xml:space="preserve">-0.0735</w:t>
            </w:r>
          </w:p>
        </w:tc>
        <w:tc>
          <w:tcPr/>
          <w:p>
            <w:pPr>
              <w:pStyle w:val="Compact"/>
              <w:jc w:val="right"/>
            </w:pPr>
            <w:r>
              <w:t xml:space="preserve">0.0444</w:t>
            </w:r>
          </w:p>
        </w:tc>
        <w:tc>
          <w:tcPr/>
          <w:p>
            <w:pPr>
              <w:pStyle w:val="Compact"/>
              <w:jc w:val="right"/>
            </w:pPr>
            <w:r>
              <w:t xml:space="preserve">0.0985</w:t>
            </w:r>
          </w:p>
        </w:tc>
        <w:tc>
          <w:tcPr/>
          <w:p>
            <w:pPr>
              <w:pStyle w:val="Compact"/>
              <w:jc w:val="left"/>
            </w:pPr>
            <w:r>
              <w:t xml:space="preserve">*</w:t>
            </w:r>
          </w:p>
        </w:tc>
        <w:tc>
          <w:tcPr/>
          <w:p>
            <w:pPr>
              <w:pStyle w:val="Compact"/>
              <w:jc w:val="right"/>
            </w:pPr>
            <w:r>
              <w:t xml:space="preserve">1.388</w:t>
            </w:r>
          </w:p>
        </w:tc>
        <w:tc>
          <w:tcPr/>
          <w:p>
            <w:pPr>
              <w:pStyle w:val="Compact"/>
              <w:jc w:val="right"/>
            </w:pPr>
            <w:r>
              <w:t xml:space="preserve">0.3701</w:t>
            </w:r>
          </w:p>
        </w:tc>
        <w:tc>
          <w:tcPr/>
          <w:p>
            <w:pPr>
              <w:pStyle w:val="Compact"/>
              <w:jc w:val="left"/>
            </w:pPr>
            <w:r>
              <w:t xml:space="preserve">FALSE</w:t>
            </w:r>
          </w:p>
        </w:tc>
      </w:tr>
      <w:tr>
        <w:tc>
          <w:tcPr/>
          <w:p>
            <w:pPr>
              <w:pStyle w:val="Compact"/>
              <w:jc w:val="left"/>
            </w:pPr>
            <w:r>
              <w:t xml:space="preserve">3c</w:t>
            </w:r>
          </w:p>
        </w:tc>
        <w:tc>
          <w:tcPr/>
          <w:p>
            <w:pPr>
              <w:pStyle w:val="Compact"/>
              <w:jc w:val="right"/>
            </w:pPr>
            <w:r>
              <w:t xml:space="preserve">204</w:t>
            </w:r>
          </w:p>
        </w:tc>
        <w:tc>
          <w:tcPr/>
          <w:p>
            <w:pPr>
              <w:pStyle w:val="Compact"/>
              <w:jc w:val="right"/>
            </w:pPr>
            <w:r>
              <w:t xml:space="preserve">0.0318</w:t>
            </w:r>
          </w:p>
        </w:tc>
        <w:tc>
          <w:tcPr/>
          <w:p>
            <w:pPr>
              <w:pStyle w:val="Compact"/>
              <w:jc w:val="right"/>
            </w:pPr>
            <w:r>
              <w:t xml:space="preserve">0.0672</w:t>
            </w:r>
          </w:p>
        </w:tc>
        <w:tc>
          <w:tcPr/>
          <w:p>
            <w:pPr>
              <w:pStyle w:val="Compact"/>
              <w:jc w:val="right"/>
            </w:pPr>
            <w:r>
              <w:t xml:space="preserve">0.6367</w:t>
            </w:r>
          </w:p>
        </w:tc>
        <w:tc>
          <w:tcPr/>
          <w:p>
            <w:pPr>
              <w:pStyle w:val="Compact"/>
            </w:pPr>
          </w:p>
        </w:tc>
        <w:tc>
          <w:tcPr/>
          <w:p>
            <w:pPr>
              <w:pStyle w:val="Compact"/>
              <w:jc w:val="right"/>
            </w:pPr>
            <w:r>
              <w:t xml:space="preserve">1.214</w:t>
            </w:r>
          </w:p>
        </w:tc>
        <w:tc>
          <w:tcPr/>
          <w:p>
            <w:pPr>
              <w:pStyle w:val="Compact"/>
              <w:jc w:val="right"/>
            </w:pPr>
            <w:r>
              <w:t xml:space="preserve">0.4129</w:t>
            </w:r>
          </w:p>
        </w:tc>
        <w:tc>
          <w:tcPr/>
          <w:p>
            <w:pPr>
              <w:pStyle w:val="Compact"/>
              <w:jc w:val="left"/>
            </w:pPr>
            <w:r>
              <w:t xml:space="preserve">FALSE</w:t>
            </w:r>
          </w:p>
        </w:tc>
      </w:tr>
      <w:tr>
        <w:tc>
          <w:tcPr/>
          <w:p>
            <w:pPr>
              <w:pStyle w:val="Compact"/>
              <w:jc w:val="left"/>
            </w:pPr>
            <w:r>
              <w:t xml:space="preserve">3d</w:t>
            </w:r>
          </w:p>
        </w:tc>
        <w:tc>
          <w:tcPr/>
          <w:p>
            <w:pPr>
              <w:pStyle w:val="Compact"/>
              <w:jc w:val="right"/>
            </w:pPr>
            <w:r>
              <w:t xml:space="preserve">171</w:t>
            </w:r>
          </w:p>
        </w:tc>
        <w:tc>
          <w:tcPr/>
          <w:p>
            <w:pPr>
              <w:pStyle w:val="Compact"/>
              <w:jc w:val="right"/>
            </w:pPr>
            <w:r>
              <w:t xml:space="preserve">0.0003</w:t>
            </w:r>
          </w:p>
        </w:tc>
        <w:tc>
          <w:tcPr/>
          <w:p>
            <w:pPr>
              <w:pStyle w:val="Compact"/>
              <w:jc w:val="right"/>
            </w:pPr>
            <w:r>
              <w:t xml:space="preserve">0.0734</w:t>
            </w:r>
          </w:p>
        </w:tc>
        <w:tc>
          <w:tcPr/>
          <w:p>
            <w:pPr>
              <w:pStyle w:val="Compact"/>
              <w:jc w:val="right"/>
            </w:pPr>
            <w:r>
              <w:t xml:space="preserve">0.9965</w:t>
            </w:r>
          </w:p>
        </w:tc>
        <w:tc>
          <w:tcPr/>
          <w:p>
            <w:pPr>
              <w:pStyle w:val="Compact"/>
            </w:pPr>
          </w:p>
        </w:tc>
        <w:tc>
          <w:tcPr/>
          <w:p>
            <w:pPr>
              <w:pStyle w:val="Compact"/>
              <w:jc w:val="right"/>
            </w:pPr>
            <w:r>
              <w:t xml:space="preserve">1.197</w:t>
            </w:r>
          </w:p>
        </w:tc>
        <w:tc>
          <w:tcPr/>
          <w:p>
            <w:pPr>
              <w:pStyle w:val="Compact"/>
              <w:jc w:val="right"/>
            </w:pPr>
            <w:r>
              <w:t xml:space="preserve">0.4107</w:t>
            </w:r>
          </w:p>
        </w:tc>
        <w:tc>
          <w:tcPr/>
          <w:p>
            <w:pPr>
              <w:pStyle w:val="Compact"/>
              <w:jc w:val="left"/>
            </w:pPr>
            <w:r>
              <w:t xml:space="preserve">FALSE</w:t>
            </w:r>
          </w:p>
        </w:tc>
      </w:tr>
      <w:tr>
        <w:tc>
          <w:tcPr/>
          <w:p>
            <w:pPr>
              <w:pStyle w:val="Compact"/>
              <w:jc w:val="left"/>
            </w:pPr>
            <w:r>
              <w:t xml:space="preserve">3e</w:t>
            </w:r>
          </w:p>
        </w:tc>
        <w:tc>
          <w:tcPr/>
          <w:p>
            <w:pPr>
              <w:pStyle w:val="Compact"/>
              <w:jc w:val="right"/>
            </w:pPr>
            <w:r>
              <w:t xml:space="preserve">171</w:t>
            </w:r>
          </w:p>
        </w:tc>
        <w:tc>
          <w:tcPr/>
          <w:p>
            <w:pPr>
              <w:pStyle w:val="Compact"/>
              <w:jc w:val="right"/>
            </w:pPr>
            <w:r>
              <w:t xml:space="preserve">0.0641</w:t>
            </w:r>
          </w:p>
        </w:tc>
        <w:tc>
          <w:tcPr/>
          <w:p>
            <w:pPr>
              <w:pStyle w:val="Compact"/>
              <w:jc w:val="right"/>
            </w:pPr>
            <w:r>
              <w:t xml:space="preserve">0.0739</w:t>
            </w:r>
          </w:p>
        </w:tc>
        <w:tc>
          <w:tcPr/>
          <w:p>
            <w:pPr>
              <w:pStyle w:val="Compact"/>
              <w:jc w:val="right"/>
            </w:pPr>
            <w:r>
              <w:t xml:space="preserve">0.3874</w:t>
            </w:r>
          </w:p>
        </w:tc>
        <w:tc>
          <w:tcPr/>
          <w:p>
            <w:pPr>
              <w:pStyle w:val="Compact"/>
            </w:pPr>
          </w:p>
        </w:tc>
        <w:tc>
          <w:tcPr/>
          <w:p>
            <w:pPr>
              <w:pStyle w:val="Compact"/>
              <w:jc w:val="right"/>
            </w:pPr>
            <w:r>
              <w:t xml:space="preserve">1.214</w:t>
            </w:r>
          </w:p>
        </w:tc>
        <w:tc>
          <w:tcPr/>
          <w:p>
            <w:pPr>
              <w:pStyle w:val="Compact"/>
              <w:jc w:val="right"/>
            </w:pPr>
            <w:r>
              <w:t xml:space="preserve">0.3790</w:t>
            </w:r>
          </w:p>
        </w:tc>
        <w:tc>
          <w:tcPr/>
          <w:p>
            <w:pPr>
              <w:pStyle w:val="Compact"/>
              <w:jc w:val="left"/>
            </w:pPr>
            <w:r>
              <w:t xml:space="preserve">FALSE</w:t>
            </w:r>
          </w:p>
        </w:tc>
      </w:tr>
    </w:tbl>
    <w:bookmarkEnd w:id="98"/>
    <w:bookmarkEnd w:id="99"/>
    <w:bookmarkEnd w:id="100"/>
    <w:bookmarkStart w:id="104" w:name="Xdb1073f622566259b028499f80dd4b0337b8c8b"/>
    <w:p>
      <w:pPr>
        <w:pStyle w:val="Heading2"/>
      </w:pPr>
      <w:r>
        <w:t xml:space="preserve">A.5 Model 5 counterfactual — full 9-scenario grid with LAYS p10/p50/p90 fan</w:t>
      </w:r>
    </w:p>
    <w:bookmarkStart w:id="103" w:name="X17f76f61b8a53bc77436b1276f69a71e3bf5903"/>
    <w:p>
      <w:pPr>
        <w:pStyle w:val="Heading4"/>
      </w:pPr>
      <w:r>
        <w:t xml:space="preserve">Model 5 — Counterfactual (within-support headline scenarios)</w:t>
      </w:r>
    </w:p>
    <w:p>
      <w:pPr>
        <w:pStyle w:val="FirstParagraph"/>
      </w:pPr>
      <w:r>
        <w:rPr>
          <w:b/>
          <w:bCs/>
        </w:rPr>
        <w:t xml:space="preserve">Source:</w:t>
      </w:r>
      <w:r>
        <w:t xml:space="preserve"> </w:t>
      </w:r>
      <w:r>
        <w:t xml:space="preserve">locked Model 2 spec 2e (HLO outcome, two-way FE country + year, country-clustered SE). β =</w:t>
      </w:r>
      <w:r>
        <w:t xml:space="preserve"> </w:t>
      </w:r>
      <w:r>
        <w:t xml:space="preserve">11.1360 (SE 5.5180, N = 143). 95% CI = [0.3207, 21.9513].</w:t>
      </w:r>
    </w:p>
    <w:p>
      <w:pPr>
        <w:pStyle w:val="BodyText"/>
      </w:pPr>
      <w:r>
        <w:rPr>
          <w:b/>
          <w:bCs/>
        </w:rPr>
        <w:t xml:space="preserve">Baseline:</w:t>
      </w:r>
      <w:r>
        <w:t xml:space="preserve"> </w:t>
      </w:r>
      <w:r>
        <w:t xml:space="preserve">median annual CRS disbursement (MA3-lag1, constant USD millions) across the Model 2 estimation sample =</w:t>
      </w:r>
      <w:r>
        <w:t xml:space="preserve"> </w:t>
      </w:r>
      <w:r>
        <w:rPr>
          <w:b/>
          <w:bCs/>
        </w:rPr>
        <w:t xml:space="preserve">$59.7M</w:t>
      </w:r>
      <w:r>
        <w:t xml:space="preserve">. Q1 = $23.7M; Q3 = $123.7M.</w:t>
      </w:r>
    </w:p>
    <w:p>
      <w:pPr>
        <w:pStyle w:val="BodyText"/>
      </w:pPr>
      <w:r>
        <w:rPr>
          <w:b/>
          <w:bCs/>
        </w:rPr>
        <w:t xml:space="preserve">Shocks:</w:t>
      </w:r>
      <w:r>
        <w:t xml:space="preserve"> </w:t>
      </w:r>
      <w:r>
        <w:t xml:space="preserve">within-support percentage increases applied to the median country’s annual disbursement. These stay near the support of the within-country log-CRS variation Model 2 was estimated on; a literal $1B injection to a single country (~20-50× baseline) would be a wild extrapolation beyond that support — see ADR-0011 and the brief-bridge note below.</w:t>
      </w:r>
    </w:p>
    <w:p>
      <w:pPr>
        <w:pStyle w:val="BodyText"/>
      </w:pPr>
      <w:r>
        <w:rPr>
          <w:b/>
          <w:bCs/>
        </w:rPr>
        <w:t xml:space="preserve">LAYS translation</w:t>
      </w:r>
      <w:r>
        <w:t xml:space="preserve"> </w:t>
      </w:r>
      <w:r>
        <w:t xml:space="preserve">via the WB identity ΔLAYS = EYS × ΔHLO / 625, holding EYS constant. Implied-EYS percentiles on the estimation sample:</w:t>
      </w:r>
      <w:r>
        <w:t xml:space="preserve"> </w:t>
      </w:r>
      <w:r>
        <w:t xml:space="preserve">p10 = 7.25 yr; p50 = 11.57 yr; p90 = 13.18 yr.</w:t>
      </w:r>
    </w:p>
    <w:tbl>
      <w:tblPr>
        <w:tblStyle w:val="Table"/>
        <w:tblW w:type="pct" w:w="5000"/>
        <w:tblLayout w:type="fixed"/>
        <w:tblLook w:firstRow="1" w:lastRow="0" w:firstColumn="0" w:lastColumn="0" w:noHBand="0" w:noVBand="0" w:val="0020"/>
      </w:tblPr>
      <w:tblGrid>
        <w:gridCol w:w="923"/>
        <w:gridCol w:w="1603"/>
        <w:gridCol w:w="728"/>
        <w:gridCol w:w="583"/>
        <w:gridCol w:w="680"/>
        <w:gridCol w:w="534"/>
        <w:gridCol w:w="680"/>
        <w:gridCol w:w="728"/>
        <w:gridCol w:w="728"/>
        <w:gridCol w:w="728"/>
      </w:tblGrid>
      <w:tr>
        <w:trPr>
          <w:tblHeader w:val="on"/>
        </w:trPr>
        <w:tc>
          <w:tcPr/>
          <w:p>
            <w:pPr>
              <w:pStyle w:val="Compact"/>
              <w:jc w:val="left"/>
            </w:pPr>
            <w:r>
              <w:t xml:space="preserve">shock</w:t>
            </w:r>
          </w:p>
        </w:tc>
        <w:tc>
          <w:tcPr/>
          <w:p>
            <w:pPr>
              <w:pStyle w:val="Compact"/>
              <w:jc w:val="left"/>
            </w:pPr>
            <w:r>
              <w:t xml:space="preserve">scenario</w:t>
            </w:r>
          </w:p>
        </w:tc>
        <w:tc>
          <w:tcPr/>
          <w:p>
            <w:pPr>
              <w:pStyle w:val="Compact"/>
              <w:jc w:val="right"/>
            </w:pPr>
            <w:r>
              <w:t xml:space="preserve">baseline_usd_M</w:t>
            </w:r>
          </w:p>
        </w:tc>
        <w:tc>
          <w:tcPr/>
          <w:p>
            <w:pPr>
              <w:pStyle w:val="Compact"/>
              <w:jc w:val="right"/>
            </w:pPr>
            <w:r>
              <w:t xml:space="preserve">shock_usd_M</w:t>
            </w:r>
          </w:p>
        </w:tc>
        <w:tc>
          <w:tcPr/>
          <w:p>
            <w:pPr>
              <w:pStyle w:val="Compact"/>
              <w:jc w:val="right"/>
            </w:pPr>
            <w:r>
              <w:t xml:space="preserve">delta_log_crs</w:t>
            </w:r>
          </w:p>
        </w:tc>
        <w:tc>
          <w:tcPr/>
          <w:p>
            <w:pPr>
              <w:pStyle w:val="Compact"/>
              <w:jc w:val="right"/>
            </w:pPr>
            <w:r>
              <w:t xml:space="preserve">beta_value</w:t>
            </w:r>
          </w:p>
        </w:tc>
        <w:tc>
          <w:tcPr/>
          <w:p>
            <w:pPr>
              <w:pStyle w:val="Compact"/>
              <w:jc w:val="right"/>
            </w:pPr>
            <w:r>
              <w:t xml:space="preserve">delta_hlo_pts</w:t>
            </w:r>
          </w:p>
        </w:tc>
        <w:tc>
          <w:tcPr/>
          <w:p>
            <w:pPr>
              <w:pStyle w:val="Compact"/>
              <w:jc w:val="right"/>
            </w:pPr>
            <w:r>
              <w:t xml:space="preserve">delta_lays_p10</w:t>
            </w:r>
          </w:p>
        </w:tc>
        <w:tc>
          <w:tcPr/>
          <w:p>
            <w:pPr>
              <w:pStyle w:val="Compact"/>
              <w:jc w:val="right"/>
            </w:pPr>
            <w:r>
              <w:t xml:space="preserve">delta_lays_p50</w:t>
            </w:r>
          </w:p>
        </w:tc>
        <w:tc>
          <w:tcPr/>
          <w:p>
            <w:pPr>
              <w:pStyle w:val="Compact"/>
              <w:jc w:val="right"/>
            </w:pPr>
            <w:r>
              <w:t xml:space="preserve">delta_lays_p90</w:t>
            </w:r>
          </w:p>
        </w:tc>
      </w:tr>
      <w:tr>
        <w:tc>
          <w:tcPr/>
          <w:p>
            <w:pPr>
              <w:pStyle w:val="Compact"/>
              <w:jc w:val="left"/>
            </w:pPr>
            <w:r>
              <w:t xml:space="preserve">+10% (low-shock)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0.3207</w:t>
            </w:r>
          </w:p>
        </w:tc>
        <w:tc>
          <w:tcPr/>
          <w:p>
            <w:pPr>
              <w:pStyle w:val="Compact"/>
              <w:jc w:val="right"/>
            </w:pPr>
            <w:r>
              <w:t xml:space="preserve">0.030</w:t>
            </w:r>
          </w:p>
        </w:tc>
        <w:tc>
          <w:tcPr/>
          <w:p>
            <w:pPr>
              <w:pStyle w:val="Compact"/>
              <w:jc w:val="right"/>
            </w:pPr>
            <w:r>
              <w:t xml:space="preserve">0.0003</w:t>
            </w:r>
          </w:p>
        </w:tc>
        <w:tc>
          <w:tcPr/>
          <w:p>
            <w:pPr>
              <w:pStyle w:val="Compact"/>
              <w:jc w:val="right"/>
            </w:pPr>
            <w:r>
              <w:t xml:space="preserve">0.0006</w:t>
            </w:r>
          </w:p>
        </w:tc>
        <w:tc>
          <w:tcPr/>
          <w:p>
            <w:pPr>
              <w:pStyle w:val="Compact"/>
              <w:jc w:val="right"/>
            </w:pPr>
            <w:r>
              <w:t xml:space="preserve">0.0006</w:t>
            </w:r>
          </w:p>
        </w:tc>
      </w:tr>
      <w:tr>
        <w:tc>
          <w:tcPr/>
          <w:p>
            <w:pPr>
              <w:pStyle w:val="Compact"/>
              <w:jc w:val="left"/>
            </w:pPr>
            <w:r>
              <w:t xml:space="preserve">+10% (low-shock)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11.1360</w:t>
            </w:r>
          </w:p>
        </w:tc>
        <w:tc>
          <w:tcPr/>
          <w:p>
            <w:pPr>
              <w:pStyle w:val="Compact"/>
              <w:jc w:val="right"/>
            </w:pPr>
            <w:r>
              <w:t xml:space="preserve">1.045</w:t>
            </w:r>
          </w:p>
        </w:tc>
        <w:tc>
          <w:tcPr/>
          <w:p>
            <w:pPr>
              <w:pStyle w:val="Compact"/>
              <w:jc w:val="right"/>
            </w:pPr>
            <w:r>
              <w:t xml:space="preserve">0.0121</w:t>
            </w:r>
          </w:p>
        </w:tc>
        <w:tc>
          <w:tcPr/>
          <w:p>
            <w:pPr>
              <w:pStyle w:val="Compact"/>
              <w:jc w:val="right"/>
            </w:pPr>
            <w:r>
              <w:t xml:space="preserve">0.0193</w:t>
            </w:r>
          </w:p>
        </w:tc>
        <w:tc>
          <w:tcPr/>
          <w:p>
            <w:pPr>
              <w:pStyle w:val="Compact"/>
              <w:jc w:val="right"/>
            </w:pPr>
            <w:r>
              <w:t xml:space="preserve">0.0220</w:t>
            </w:r>
          </w:p>
        </w:tc>
      </w:tr>
      <w:tr>
        <w:tc>
          <w:tcPr/>
          <w:p>
            <w:pPr>
              <w:pStyle w:val="Compact"/>
              <w:jc w:val="left"/>
            </w:pPr>
            <w:r>
              <w:t xml:space="preserve">+10% (low-shock)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5.97</w:t>
            </w:r>
          </w:p>
        </w:tc>
        <w:tc>
          <w:tcPr/>
          <w:p>
            <w:pPr>
              <w:pStyle w:val="Compact"/>
              <w:jc w:val="right"/>
            </w:pPr>
            <w:r>
              <w:t xml:space="preserve">0.0938</w:t>
            </w:r>
          </w:p>
        </w:tc>
        <w:tc>
          <w:tcPr/>
          <w:p>
            <w:pPr>
              <w:pStyle w:val="Compact"/>
              <w:jc w:val="right"/>
            </w:pPr>
            <w:r>
              <w:t xml:space="preserve">21.9513</w:t>
            </w:r>
          </w:p>
        </w:tc>
        <w:tc>
          <w:tcPr/>
          <w:p>
            <w:pPr>
              <w:pStyle w:val="Compact"/>
              <w:jc w:val="right"/>
            </w:pPr>
            <w:r>
              <w:t xml:space="preserve">2.059</w:t>
            </w:r>
          </w:p>
        </w:tc>
        <w:tc>
          <w:tcPr/>
          <w:p>
            <w:pPr>
              <w:pStyle w:val="Compact"/>
              <w:jc w:val="right"/>
            </w:pPr>
            <w:r>
              <w:t xml:space="preserve">0.0239</w:t>
            </w:r>
          </w:p>
        </w:tc>
        <w:tc>
          <w:tcPr/>
          <w:p>
            <w:pPr>
              <w:pStyle w:val="Compact"/>
              <w:jc w:val="right"/>
            </w:pPr>
            <w:r>
              <w:t xml:space="preserve">0.0381</w:t>
            </w:r>
          </w:p>
        </w:tc>
        <w:tc>
          <w:tcPr/>
          <w:p>
            <w:pPr>
              <w:pStyle w:val="Compact"/>
              <w:jc w:val="right"/>
            </w:pPr>
            <w:r>
              <w:t xml:space="preserve">0.0434</w:t>
            </w:r>
          </w:p>
        </w:tc>
      </w:tr>
      <w:tr>
        <w:tc>
          <w:tcPr/>
          <w:p>
            <w:pPr>
              <w:pStyle w:val="Compact"/>
              <w:jc w:val="left"/>
            </w:pPr>
            <w:r>
              <w:t xml:space="preserve">+100% (high-shock)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0.3207</w:t>
            </w:r>
          </w:p>
        </w:tc>
        <w:tc>
          <w:tcPr/>
          <w:p>
            <w:pPr>
              <w:pStyle w:val="Compact"/>
              <w:jc w:val="right"/>
            </w:pPr>
            <w:r>
              <w:t xml:space="preserve">0.220</w:t>
            </w:r>
          </w:p>
        </w:tc>
        <w:tc>
          <w:tcPr/>
          <w:p>
            <w:pPr>
              <w:pStyle w:val="Compact"/>
              <w:jc w:val="right"/>
            </w:pPr>
            <w:r>
              <w:t xml:space="preserve">0.0025</w:t>
            </w:r>
          </w:p>
        </w:tc>
        <w:tc>
          <w:tcPr/>
          <w:p>
            <w:pPr>
              <w:pStyle w:val="Compact"/>
              <w:jc w:val="right"/>
            </w:pPr>
            <w:r>
              <w:t xml:space="preserve">0.0041</w:t>
            </w:r>
          </w:p>
        </w:tc>
        <w:tc>
          <w:tcPr/>
          <w:p>
            <w:pPr>
              <w:pStyle w:val="Compact"/>
              <w:jc w:val="right"/>
            </w:pPr>
            <w:r>
              <w:t xml:space="preserve">0.0046</w:t>
            </w:r>
          </w:p>
        </w:tc>
      </w:tr>
      <w:tr>
        <w:tc>
          <w:tcPr/>
          <w:p>
            <w:pPr>
              <w:pStyle w:val="Compact"/>
              <w:jc w:val="left"/>
            </w:pPr>
            <w:r>
              <w:t xml:space="preserve">+100% (high-shock)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11.1360</w:t>
            </w:r>
          </w:p>
        </w:tc>
        <w:tc>
          <w:tcPr/>
          <w:p>
            <w:pPr>
              <w:pStyle w:val="Compact"/>
              <w:jc w:val="right"/>
            </w:pPr>
            <w:r>
              <w:t xml:space="preserve">7.627</w:t>
            </w:r>
          </w:p>
        </w:tc>
        <w:tc>
          <w:tcPr/>
          <w:p>
            <w:pPr>
              <w:pStyle w:val="Compact"/>
              <w:jc w:val="right"/>
            </w:pPr>
            <w:r>
              <w:t xml:space="preserve">0.0885</w:t>
            </w:r>
          </w:p>
        </w:tc>
        <w:tc>
          <w:tcPr/>
          <w:p>
            <w:pPr>
              <w:pStyle w:val="Compact"/>
              <w:jc w:val="right"/>
            </w:pPr>
            <w:r>
              <w:t xml:space="preserve">0.1412</w:t>
            </w:r>
          </w:p>
        </w:tc>
        <w:tc>
          <w:tcPr/>
          <w:p>
            <w:pPr>
              <w:pStyle w:val="Compact"/>
              <w:jc w:val="right"/>
            </w:pPr>
            <w:r>
              <w:t xml:space="preserve">0.1609</w:t>
            </w:r>
          </w:p>
        </w:tc>
      </w:tr>
      <w:tr>
        <w:tc>
          <w:tcPr/>
          <w:p>
            <w:pPr>
              <w:pStyle w:val="Compact"/>
              <w:jc w:val="left"/>
            </w:pPr>
            <w:r>
              <w:t xml:space="preserve">+100% (high-shock)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59.69</w:t>
            </w:r>
          </w:p>
        </w:tc>
        <w:tc>
          <w:tcPr/>
          <w:p>
            <w:pPr>
              <w:pStyle w:val="Compact"/>
              <w:jc w:val="right"/>
            </w:pPr>
            <w:r>
              <w:t xml:space="preserve">0.6849</w:t>
            </w:r>
          </w:p>
        </w:tc>
        <w:tc>
          <w:tcPr/>
          <w:p>
            <w:pPr>
              <w:pStyle w:val="Compact"/>
              <w:jc w:val="right"/>
            </w:pPr>
            <w:r>
              <w:t xml:space="preserve">21.9513</w:t>
            </w:r>
          </w:p>
        </w:tc>
        <w:tc>
          <w:tcPr/>
          <w:p>
            <w:pPr>
              <w:pStyle w:val="Compact"/>
              <w:jc w:val="right"/>
            </w:pPr>
            <w:r>
              <w:t xml:space="preserve">15.034</w:t>
            </w:r>
          </w:p>
        </w:tc>
        <w:tc>
          <w:tcPr/>
          <w:p>
            <w:pPr>
              <w:pStyle w:val="Compact"/>
              <w:jc w:val="right"/>
            </w:pPr>
            <w:r>
              <w:t xml:space="preserve">0.1744</w:t>
            </w:r>
          </w:p>
        </w:tc>
        <w:tc>
          <w:tcPr/>
          <w:p>
            <w:pPr>
              <w:pStyle w:val="Compact"/>
              <w:jc w:val="right"/>
            </w:pPr>
            <w:r>
              <w:t xml:space="preserve">0.2783</w:t>
            </w:r>
          </w:p>
        </w:tc>
        <w:tc>
          <w:tcPr/>
          <w:p>
            <w:pPr>
              <w:pStyle w:val="Compact"/>
              <w:jc w:val="right"/>
            </w:pPr>
            <w:r>
              <w:t xml:space="preserve">0.3171</w:t>
            </w:r>
          </w:p>
        </w:tc>
      </w:tr>
      <w:tr>
        <w:tc>
          <w:tcPr/>
          <w:p>
            <w:pPr>
              <w:pStyle w:val="Compact"/>
              <w:jc w:val="left"/>
            </w:pPr>
            <w:r>
              <w:t xml:space="preserve">+50% (mid-shock)</w:t>
            </w:r>
          </w:p>
        </w:tc>
        <w:tc>
          <w:tcPr/>
          <w:p>
            <w:pPr>
              <w:pStyle w:val="Compact"/>
              <w:jc w:val="left"/>
            </w:pPr>
            <w:r>
              <w:t xml:space="preserve">Worst case (β lower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0.3207</w:t>
            </w:r>
          </w:p>
        </w:tc>
        <w:tc>
          <w:tcPr/>
          <w:p>
            <w:pPr>
              <w:pStyle w:val="Compact"/>
              <w:jc w:val="right"/>
            </w:pPr>
            <w:r>
              <w:t xml:space="preserve">0.128</w:t>
            </w:r>
          </w:p>
        </w:tc>
        <w:tc>
          <w:tcPr/>
          <w:p>
            <w:pPr>
              <w:pStyle w:val="Compact"/>
              <w:jc w:val="right"/>
            </w:pPr>
            <w:r>
              <w:t xml:space="preserve">0.0015</w:t>
            </w:r>
          </w:p>
        </w:tc>
        <w:tc>
          <w:tcPr/>
          <w:p>
            <w:pPr>
              <w:pStyle w:val="Compact"/>
              <w:jc w:val="right"/>
            </w:pPr>
            <w:r>
              <w:t xml:space="preserve">0.0024</w:t>
            </w:r>
          </w:p>
        </w:tc>
        <w:tc>
          <w:tcPr/>
          <w:p>
            <w:pPr>
              <w:pStyle w:val="Compact"/>
              <w:jc w:val="right"/>
            </w:pPr>
            <w:r>
              <w:t xml:space="preserve">0.0027</w:t>
            </w:r>
          </w:p>
        </w:tc>
      </w:tr>
      <w:tr>
        <w:tc>
          <w:tcPr/>
          <w:p>
            <w:pPr>
              <w:pStyle w:val="Compact"/>
              <w:jc w:val="left"/>
            </w:pPr>
            <w:r>
              <w:t xml:space="preserve">+50% (mid-shock)</w:t>
            </w:r>
          </w:p>
        </w:tc>
        <w:tc>
          <w:tcPr/>
          <w:p>
            <w:pPr>
              <w:pStyle w:val="Compact"/>
              <w:jc w:val="left"/>
            </w:pPr>
            <w:r>
              <w:t xml:space="preserve">Expected case (β point estimate)</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11.1360</w:t>
            </w:r>
          </w:p>
        </w:tc>
        <w:tc>
          <w:tcPr/>
          <w:p>
            <w:pPr>
              <w:pStyle w:val="Compact"/>
              <w:jc w:val="right"/>
            </w:pPr>
            <w:r>
              <w:t xml:space="preserve">4.454</w:t>
            </w:r>
          </w:p>
        </w:tc>
        <w:tc>
          <w:tcPr/>
          <w:p>
            <w:pPr>
              <w:pStyle w:val="Compact"/>
              <w:jc w:val="right"/>
            </w:pPr>
            <w:r>
              <w:t xml:space="preserve">0.0517</w:t>
            </w:r>
          </w:p>
        </w:tc>
        <w:tc>
          <w:tcPr/>
          <w:p>
            <w:pPr>
              <w:pStyle w:val="Compact"/>
              <w:jc w:val="right"/>
            </w:pPr>
            <w:r>
              <w:t xml:space="preserve">0.0824</w:t>
            </w:r>
          </w:p>
        </w:tc>
        <w:tc>
          <w:tcPr/>
          <w:p>
            <w:pPr>
              <w:pStyle w:val="Compact"/>
              <w:jc w:val="right"/>
            </w:pPr>
            <w:r>
              <w:t xml:space="preserve">0.0940</w:t>
            </w:r>
          </w:p>
        </w:tc>
      </w:tr>
      <w:tr>
        <w:tc>
          <w:tcPr/>
          <w:p>
            <w:pPr>
              <w:pStyle w:val="Compact"/>
              <w:jc w:val="left"/>
            </w:pPr>
            <w:r>
              <w:t xml:space="preserve">+50% (mid-shock)</w:t>
            </w:r>
          </w:p>
        </w:tc>
        <w:tc>
          <w:tcPr/>
          <w:p>
            <w:pPr>
              <w:pStyle w:val="Compact"/>
              <w:jc w:val="left"/>
            </w:pPr>
            <w:r>
              <w:t xml:space="preserve">Best case (β upper 95% CI)</w:t>
            </w:r>
          </w:p>
        </w:tc>
        <w:tc>
          <w:tcPr/>
          <w:p>
            <w:pPr>
              <w:pStyle w:val="Compact"/>
              <w:jc w:val="right"/>
            </w:pPr>
            <w:r>
              <w:t xml:space="preserve">59.69</w:t>
            </w:r>
          </w:p>
        </w:tc>
        <w:tc>
          <w:tcPr/>
          <w:p>
            <w:pPr>
              <w:pStyle w:val="Compact"/>
              <w:jc w:val="right"/>
            </w:pPr>
            <w:r>
              <w:t xml:space="preserve">29.84</w:t>
            </w:r>
          </w:p>
        </w:tc>
        <w:tc>
          <w:tcPr/>
          <w:p>
            <w:pPr>
              <w:pStyle w:val="Compact"/>
              <w:jc w:val="right"/>
            </w:pPr>
            <w:r>
              <w:t xml:space="preserve">0.4000</w:t>
            </w:r>
          </w:p>
        </w:tc>
        <w:tc>
          <w:tcPr/>
          <w:p>
            <w:pPr>
              <w:pStyle w:val="Compact"/>
              <w:jc w:val="right"/>
            </w:pPr>
            <w:r>
              <w:t xml:space="preserve">21.9513</w:t>
            </w:r>
          </w:p>
        </w:tc>
        <w:tc>
          <w:tcPr/>
          <w:p>
            <w:pPr>
              <w:pStyle w:val="Compact"/>
              <w:jc w:val="right"/>
            </w:pPr>
            <w:r>
              <w:t xml:space="preserve">8.780</w:t>
            </w:r>
          </w:p>
        </w:tc>
        <w:tc>
          <w:tcPr/>
          <w:p>
            <w:pPr>
              <w:pStyle w:val="Compact"/>
              <w:jc w:val="right"/>
            </w:pPr>
            <w:r>
              <w:t xml:space="preserve">0.1019</w:t>
            </w:r>
          </w:p>
        </w:tc>
        <w:tc>
          <w:tcPr/>
          <w:p>
            <w:pPr>
              <w:pStyle w:val="Compact"/>
              <w:jc w:val="right"/>
            </w:pPr>
            <w:r>
              <w:t xml:space="preserve">0.1625</w:t>
            </w:r>
          </w:p>
        </w:tc>
        <w:tc>
          <w:tcPr/>
          <w:p>
            <w:pPr>
              <w:pStyle w:val="Compact"/>
              <w:jc w:val="right"/>
            </w:pPr>
            <w:r>
              <w:t xml:space="preserve">0.1852</w:t>
            </w:r>
          </w:p>
        </w:tc>
      </w:tr>
    </w:tbl>
    <w:bookmarkStart w:id="101" w:name="Xbe81d4d67411359f3c8e90e449809e789f90369"/>
    <w:p>
      <w:pPr>
        <w:pStyle w:val="Heading5"/>
      </w:pPr>
      <w:r>
        <w:t xml:space="preserve">Brief-bridge context: where does the brief’s $1B redirect land?</w:t>
      </w:r>
    </w:p>
    <w:p>
      <w:pPr>
        <w:pStyle w:val="FirstParagraph"/>
      </w:pPr>
      <w:r>
        <w:t xml:space="preserve">A $1B annual increase distributed across the 173-country Model 2 estimation sample =</w:t>
      </w:r>
      <w:r>
        <w:t xml:space="preserve"> </w:t>
      </w:r>
      <w:r>
        <w:rPr>
          <w:b/>
          <w:bCs/>
        </w:rPr>
        <w:t xml:space="preserve">$5.78M per country on average</w:t>
      </w:r>
      <w:r>
        <w:t xml:space="preserve">, which is</w:t>
      </w:r>
      <w:r>
        <w:t xml:space="preserve"> </w:t>
      </w:r>
      <w:r>
        <w:rPr>
          <w:b/>
          <w:bCs/>
        </w:rPr>
        <w:t xml:space="preserve">9.7%</w:t>
      </w:r>
      <w:r>
        <w:t xml:space="preserve"> </w:t>
      </w:r>
      <w:r>
        <w:t xml:space="preserve">of the median baseline ($59.7M) and</w:t>
      </w:r>
      <w:r>
        <w:t xml:space="preserve"> </w:t>
      </w:r>
      <w:r>
        <w:rPr>
          <w:b/>
          <w:bCs/>
        </w:rPr>
        <w:t xml:space="preserve">5.49%</w:t>
      </w:r>
      <w:r>
        <w:t xml:space="preserve"> </w:t>
      </w:r>
      <w:r>
        <w:t xml:space="preserve">of the sample’s total annual education aid ($18.2B). This lands in the low-shock band of the headline table; the brief’s $1B is</w:t>
      </w:r>
      <w:r>
        <w:t xml:space="preserve"> </w:t>
      </w:r>
      <w:r>
        <w:rPr>
          <w:i/>
          <w:iCs/>
        </w:rPr>
        <w:t xml:space="preserve">not</w:t>
      </w:r>
      <w:r>
        <w:t xml:space="preserve"> </w:t>
      </w:r>
      <w:r>
        <w:t xml:space="preserve">well-described by the highest-shock scenarios above. Applying the entire $1B to a single country would push that country 18× above its baseline — outside the data support Model 2 was identified on, and we do not project there.</w:t>
      </w:r>
    </w:p>
    <w:bookmarkEnd w:id="101"/>
    <w:bookmarkStart w:id="102" w:name="limits-acknowledged-per-adr-0011"/>
    <w:p>
      <w:pPr>
        <w:pStyle w:val="Heading5"/>
      </w:pPr>
      <w:r>
        <w:t xml:space="preserve">Limits acknowledged (per ADR-0011)</w:t>
      </w:r>
    </w:p>
    <w:p>
      <w:pPr>
        <w:pStyle w:val="Compact"/>
        <w:numPr>
          <w:ilvl w:val="0"/>
          <w:numId w:val="1003"/>
        </w:numPr>
      </w:pPr>
      <w:r>
        <w:rPr>
          <w:b/>
          <w:bCs/>
        </w:rPr>
        <w:t xml:space="preserve">Identification:</w:t>
      </w:r>
      <w:r>
        <w:t xml:space="preserve"> </w:t>
      </w:r>
      <w:r>
        <w:t xml:space="preserve">Model 2 is static FE on small-T (T_eff ≤ 4 HCI cycles per country); GMM unavailable (ADR-0010). β is identified within-country over time but does not preclude unmeasured time-varying confounding.</w:t>
      </w:r>
    </w:p>
    <w:p>
      <w:pPr>
        <w:pStyle w:val="Compact"/>
        <w:numPr>
          <w:ilvl w:val="0"/>
          <w:numId w:val="1003"/>
        </w:numPr>
      </w:pPr>
      <w:r>
        <w:rPr>
          <w:b/>
          <w:bCs/>
        </w:rPr>
        <w:t xml:space="preserve">Composition:</w:t>
      </w:r>
      <w:r>
        <w:t xml:space="preserve"> </w:t>
      </w:r>
      <w:r>
        <w:t xml:space="preserve">counterfactual is on aggregate CRS disbursement only. The brief’s input-vs-outcome typology question is unanswered (ADR-0007 Rejected; findings.md §5.5).</w:t>
      </w:r>
    </w:p>
    <w:p>
      <w:pPr>
        <w:pStyle w:val="Compact"/>
        <w:numPr>
          <w:ilvl w:val="0"/>
          <w:numId w:val="1003"/>
        </w:numPr>
      </w:pPr>
      <w:r>
        <w:rPr>
          <w:b/>
          <w:bCs/>
        </w:rPr>
        <w:t xml:space="preserve">Single-cycle marginal projection</w:t>
      </w:r>
      <w:r>
        <w:t xml:space="preserve"> </w:t>
      </w:r>
      <w:r>
        <w:t xml:space="preserve">(one HCI cycle ≈ 5 yr); no inter-temporal discounting; not a steady-state forecast.</w:t>
      </w:r>
    </w:p>
    <w:p>
      <w:pPr>
        <w:pStyle w:val="Compact"/>
        <w:numPr>
          <w:ilvl w:val="0"/>
          <w:numId w:val="1003"/>
        </w:numPr>
      </w:pPr>
      <w:r>
        <w:rPr>
          <w:b/>
          <w:bCs/>
        </w:rPr>
        <w:t xml:space="preserve">Plug-in CI propagation</w:t>
      </w:r>
      <w:r>
        <w:t xml:space="preserve"> </w:t>
      </w:r>
      <w:r>
        <w:t xml:space="preserve">on β only (does not propagate joint regressor covariance) — chosen as the honest match for the static-FE inference base; a full Monte Carlo would overreach.</w:t>
      </w:r>
    </w:p>
    <w:p>
      <w:pPr>
        <w:pStyle w:val="Compact"/>
        <w:numPr>
          <w:ilvl w:val="0"/>
          <w:numId w:val="1003"/>
        </w:numPr>
      </w:pPr>
      <w:r>
        <w:rPr>
          <w:b/>
          <w:bCs/>
        </w:rPr>
        <w:t xml:space="preserve">LAYS identity holds EYS constant</w:t>
      </w:r>
      <w:r>
        <w:t xml:space="preserve">, isolating the learning-quality channel; sensitivity to EYS across p10/p50/p90 is reported in-table.</w:t>
      </w:r>
    </w:p>
    <w:p>
      <w:pPr>
        <w:pStyle w:val="Compact"/>
        <w:numPr>
          <w:ilvl w:val="0"/>
          <w:numId w:val="1003"/>
        </w:numPr>
      </w:pPr>
      <w:r>
        <w:rPr>
          <w:b/>
          <w:bCs/>
        </w:rPr>
        <w:t xml:space="preserve">Implementation quality / political economy / absorptive capacity</w:t>
      </w:r>
      <w:r>
        <w:t xml:space="preserve"> </w:t>
      </w:r>
      <w:r>
        <w:t xml:space="preserve">caveats per brief §2.</w:t>
      </w:r>
    </w:p>
    <w:bookmarkEnd w:id="102"/>
    <w:bookmarkEnd w:id="103"/>
    <w:bookmarkEnd w:id="104"/>
    <w:bookmarkStart w:id="113" w:name="X305d8176d5d68cf37bd71c50e155cd9e2024ce1"/>
    <w:p>
      <w:pPr>
        <w:pStyle w:val="Heading2"/>
      </w:pPr>
      <w:r>
        <w:t xml:space="preserve">A.6 Compounding AI penalty — quadrant + robustness</w:t>
      </w:r>
    </w:p>
    <w:bookmarkStart w:id="110" w:name="X88c969b6a152c3ce198d70a24030b17d464e6f2"/>
    <w:p>
      <w:pPr>
        <w:pStyle w:val="Heading4"/>
      </w:pPr>
      <w:r>
        <w:t xml:space="preserve">Compounding AI penalty — quadrant counts (sample-median split)</w:t>
      </w:r>
    </w:p>
    <w:p>
      <w:pPr>
        <w:pStyle w:val="FirstParagraph"/>
      </w:pPr>
      <w:r>
        <w:rPr>
          <w:b/>
          <w:bCs/>
        </w:rPr>
        <w:t xml:space="preserve">Joined sample N = 132</w:t>
      </w:r>
      <w:r>
        <w:t xml:space="preserve"> </w:t>
      </w:r>
      <w:r>
        <w:t xml:space="preserve">(intersection of GARI 2025 195 countries × panel HCI-non-missing iso3 set).</w:t>
      </w:r>
      <w:r>
        <w:t xml:space="preserve"> </w:t>
      </w:r>
      <w:r>
        <w:rPr>
          <w:b/>
          <w:bCs/>
        </w:rPr>
        <w:t xml:space="preserve">Sample medians:</w:t>
      </w:r>
      <w:r>
        <w:t xml:space="preserve"> </w:t>
      </w:r>
      <w:r>
        <w:t xml:space="preserve">HCI = 0.5064; GARI_norm (GARI/100) = 0.3817.</w:t>
      </w:r>
      <w:r>
        <w:t xml:space="preserve"> </w:t>
      </w:r>
      <w:r>
        <w:rPr>
          <w:b/>
          <w:bCs/>
        </w:rPr>
        <w:t xml:space="preserve">HCI cycle distribution:</w:t>
      </w:r>
      <w:r>
        <w:t xml:space="preserve"> </w:t>
      </w:r>
      <w:r>
        <w:t xml:space="preserve">2020: 133 (latest non-missing per country).</w:t>
      </w:r>
    </w:p>
    <w:tbl>
      <w:tblPr>
        <w:tblStyle w:val="Table"/>
        <w:tblW w:type="pct" w:w="5000"/>
        <w:tblLayout w:type="fixed"/>
        <w:tblLook w:firstRow="1" w:lastRow="0" w:firstColumn="0" w:lastColumn="0" w:noHBand="0" w:noVBand="0" w:val="0020"/>
      </w:tblPr>
      <w:tblGrid>
        <w:gridCol w:w="2149"/>
        <w:gridCol w:w="1357"/>
        <w:gridCol w:w="1018"/>
        <w:gridCol w:w="1131"/>
        <w:gridCol w:w="1584"/>
        <w:gridCol w:w="678"/>
      </w:tblGrid>
      <w:tr>
        <w:trPr>
          <w:tblHeader w:val="on"/>
        </w:trPr>
        <w:tc>
          <w:tcPr/>
          <w:p>
            <w:pPr>
              <w:pStyle w:val="Compact"/>
              <w:jc w:val="left"/>
            </w:pPr>
            <w:r>
              <w:t xml:space="preserve">quadrant</w:t>
            </w:r>
          </w:p>
        </w:tc>
        <w:tc>
          <w:tcPr/>
          <w:p>
            <w:pPr>
              <w:pStyle w:val="Compact"/>
              <w:jc w:val="right"/>
            </w:pPr>
            <w:r>
              <w:t xml:space="preserve">n_countries</w:t>
            </w:r>
          </w:p>
        </w:tc>
        <w:tc>
          <w:tcPr/>
          <w:p>
            <w:pPr>
              <w:pStyle w:val="Compact"/>
              <w:jc w:val="right"/>
            </w:pPr>
            <w:r>
              <w:t xml:space="preserve">mean_hci</w:t>
            </w:r>
          </w:p>
        </w:tc>
        <w:tc>
          <w:tcPr/>
          <w:p>
            <w:pPr>
              <w:pStyle w:val="Compact"/>
              <w:jc w:val="right"/>
            </w:pPr>
            <w:r>
              <w:t xml:space="preserve">mean_gari</w:t>
            </w:r>
          </w:p>
        </w:tc>
        <w:tc>
          <w:tcPr/>
          <w:p>
            <w:pPr>
              <w:pStyle w:val="Compact"/>
              <w:jc w:val="right"/>
            </w:pPr>
            <w:r>
              <w:t xml:space="preserve">mean_compound</w:t>
            </w:r>
          </w:p>
        </w:tc>
        <w:tc>
          <w:tcPr/>
          <w:p>
            <w:pPr>
              <w:pStyle w:val="Compact"/>
              <w:jc w:val="right"/>
            </w:pPr>
            <w:r>
              <w:t xml:space="preserve">n_ssa</w:t>
            </w:r>
          </w:p>
        </w:tc>
      </w:tr>
      <w:tr>
        <w:tc>
          <w:tcPr/>
          <w:p>
            <w:pPr>
              <w:pStyle w:val="Compact"/>
              <w:jc w:val="left"/>
            </w:pPr>
            <w:r>
              <w:t xml:space="preserve">high_hci_high_gari</w:t>
            </w:r>
          </w:p>
        </w:tc>
        <w:tc>
          <w:tcPr/>
          <w:p>
            <w:pPr>
              <w:pStyle w:val="Compact"/>
              <w:jc w:val="right"/>
            </w:pPr>
            <w:r>
              <w:t xml:space="preserve">47</w:t>
            </w:r>
          </w:p>
        </w:tc>
        <w:tc>
          <w:tcPr/>
          <w:p>
            <w:pPr>
              <w:pStyle w:val="Compact"/>
              <w:jc w:val="right"/>
            </w:pPr>
            <w:r>
              <w:t xml:space="preserve">0.6196</w:t>
            </w:r>
          </w:p>
        </w:tc>
        <w:tc>
          <w:tcPr/>
          <w:p>
            <w:pPr>
              <w:pStyle w:val="Compact"/>
              <w:jc w:val="right"/>
            </w:pPr>
            <w:r>
              <w:t xml:space="preserve">0.5686</w:t>
            </w:r>
          </w:p>
        </w:tc>
        <w:tc>
          <w:tcPr/>
          <w:p>
            <w:pPr>
              <w:pStyle w:val="Compact"/>
              <w:jc w:val="right"/>
            </w:pPr>
            <w:r>
              <w:t xml:space="preserve">0.3566</w:t>
            </w:r>
          </w:p>
        </w:tc>
        <w:tc>
          <w:tcPr/>
          <w:p>
            <w:pPr>
              <w:pStyle w:val="Compact"/>
              <w:jc w:val="right"/>
            </w:pPr>
            <w:r>
              <w:t xml:space="preserve">2</w:t>
            </w:r>
          </w:p>
        </w:tc>
      </w:tr>
      <w:tr>
        <w:tc>
          <w:tcPr/>
          <w:p>
            <w:pPr>
              <w:pStyle w:val="Compact"/>
              <w:jc w:val="left"/>
            </w:pPr>
            <w:r>
              <w:t xml:space="preserve">low_hci_high_gari</w:t>
            </w:r>
          </w:p>
        </w:tc>
        <w:tc>
          <w:tcPr/>
          <w:p>
            <w:pPr>
              <w:pStyle w:val="Compact"/>
              <w:jc w:val="right"/>
            </w:pPr>
            <w:r>
              <w:t xml:space="preserve">19</w:t>
            </w:r>
          </w:p>
        </w:tc>
        <w:tc>
          <w:tcPr/>
          <w:p>
            <w:pPr>
              <w:pStyle w:val="Compact"/>
              <w:jc w:val="right"/>
            </w:pPr>
            <w:r>
              <w:t xml:space="preserve">0.4385</w:t>
            </w:r>
          </w:p>
        </w:tc>
        <w:tc>
          <w:tcPr/>
          <w:p>
            <w:pPr>
              <w:pStyle w:val="Compact"/>
              <w:jc w:val="right"/>
            </w:pPr>
            <w:r>
              <w:t xml:space="preserve">0.4842</w:t>
            </w:r>
          </w:p>
        </w:tc>
        <w:tc>
          <w:tcPr/>
          <w:p>
            <w:pPr>
              <w:pStyle w:val="Compact"/>
              <w:jc w:val="right"/>
            </w:pPr>
            <w:r>
              <w:t xml:space="preserve">0.2126</w:t>
            </w:r>
          </w:p>
        </w:tc>
        <w:tc>
          <w:tcPr/>
          <w:p>
            <w:pPr>
              <w:pStyle w:val="Compact"/>
              <w:jc w:val="right"/>
            </w:pPr>
            <w:r>
              <w:t xml:space="preserve">10</w:t>
            </w:r>
          </w:p>
        </w:tc>
      </w:tr>
      <w:tr>
        <w:tc>
          <w:tcPr/>
          <w:p>
            <w:pPr>
              <w:pStyle w:val="Compact"/>
              <w:jc w:val="left"/>
            </w:pPr>
            <w:r>
              <w:t xml:space="preserve">high_hci_low_gari</w:t>
            </w:r>
          </w:p>
        </w:tc>
        <w:tc>
          <w:tcPr/>
          <w:p>
            <w:pPr>
              <w:pStyle w:val="Compact"/>
              <w:jc w:val="right"/>
            </w:pPr>
            <w:r>
              <w:t xml:space="preserve">19</w:t>
            </w:r>
          </w:p>
        </w:tc>
        <w:tc>
          <w:tcPr/>
          <w:p>
            <w:pPr>
              <w:pStyle w:val="Compact"/>
              <w:jc w:val="right"/>
            </w:pPr>
            <w:r>
              <w:t xml:space="preserve">0.5709</w:t>
            </w:r>
          </w:p>
        </w:tc>
        <w:tc>
          <w:tcPr/>
          <w:p>
            <w:pPr>
              <w:pStyle w:val="Compact"/>
              <w:jc w:val="right"/>
            </w:pPr>
            <w:r>
              <w:t xml:space="preserve">0.2703</w:t>
            </w:r>
          </w:p>
        </w:tc>
        <w:tc>
          <w:tcPr/>
          <w:p>
            <w:pPr>
              <w:pStyle w:val="Compact"/>
              <w:jc w:val="right"/>
            </w:pPr>
            <w:r>
              <w:t xml:space="preserve">0.1545</w:t>
            </w:r>
          </w:p>
        </w:tc>
        <w:tc>
          <w:tcPr/>
          <w:p>
            <w:pPr>
              <w:pStyle w:val="Compact"/>
              <w:jc w:val="right"/>
            </w:pPr>
            <w:r>
              <w:t xml:space="preserve">1</w:t>
            </w:r>
          </w:p>
        </w:tc>
      </w:tr>
      <w:tr>
        <w:tc>
          <w:tcPr/>
          <w:p>
            <w:pPr>
              <w:pStyle w:val="Compact"/>
              <w:jc w:val="left"/>
            </w:pPr>
            <w:r>
              <w:t xml:space="preserve">low_hci_low_gari</w:t>
            </w:r>
          </w:p>
        </w:tc>
        <w:tc>
          <w:tcPr/>
          <w:p>
            <w:pPr>
              <w:pStyle w:val="Compact"/>
              <w:jc w:val="right"/>
            </w:pPr>
            <w:r>
              <w:t xml:space="preserve">47</w:t>
            </w:r>
          </w:p>
        </w:tc>
        <w:tc>
          <w:tcPr/>
          <w:p>
            <w:pPr>
              <w:pStyle w:val="Compact"/>
              <w:jc w:val="right"/>
            </w:pPr>
            <w:r>
              <w:t xml:space="preserve">0.4073</w:t>
            </w:r>
          </w:p>
        </w:tc>
        <w:tc>
          <w:tcPr/>
          <w:p>
            <w:pPr>
              <w:pStyle w:val="Compact"/>
              <w:jc w:val="right"/>
            </w:pPr>
            <w:r>
              <w:t xml:space="preserve">0.2383</w:t>
            </w:r>
          </w:p>
        </w:tc>
        <w:tc>
          <w:tcPr/>
          <w:p>
            <w:pPr>
              <w:pStyle w:val="Compact"/>
              <w:jc w:val="right"/>
            </w:pPr>
            <w:r>
              <w:t xml:space="preserve">0.0986</w:t>
            </w:r>
          </w:p>
        </w:tc>
        <w:tc>
          <w:tcPr/>
          <w:p>
            <w:pPr>
              <w:pStyle w:val="Compact"/>
              <w:jc w:val="right"/>
            </w:pPr>
            <w:r>
              <w:t xml:space="preserve">29</w:t>
            </w:r>
          </w:p>
        </w:tc>
      </w:tr>
    </w:tbl>
    <w:bookmarkStart w:id="109" w:name="country-lists-per-quadrant"/>
    <w:p>
      <w:pPr>
        <w:pStyle w:val="Heading5"/>
      </w:pPr>
      <w:r>
        <w:t xml:space="preserve">Country lists per quadrant</w:t>
      </w:r>
    </w:p>
    <w:bookmarkStart w:id="105" w:name="high_hci_high_gari-n-47-2-ssa"/>
    <w:p>
      <w:pPr>
        <w:pStyle w:val="Heading6"/>
      </w:pPr>
      <w:r>
        <w:t xml:space="preserve">high_hci_high_gari (N = 47, 2 SSA)</w:t>
      </w:r>
    </w:p>
    <w:p>
      <w:pPr>
        <w:pStyle w:val="FirstParagraph"/>
      </w:pPr>
      <w:r>
        <w:rPr>
          <w:rStyle w:val="VerbatimChar"/>
        </w:rPr>
        <w:t xml:space="preserve">ALB; ARG; ARM; AZE; BHR; BRA; BRN; CHL; CHN; COL; CRI; CYP; DZA; ECU; GEO; HRV; IDN; IRN; ISR; JAM; JOR; KAZ; KEN; KOR; KWT; LKA; MDA; MEX; MKD; MLT; MNE; MNG; MUS; MYS; OMN; PER; PHL; SAU; SGP; SLV; SRB; SVN; THA; TUN; UKR; URY; UZB</w:t>
      </w:r>
    </w:p>
    <w:bookmarkEnd w:id="105"/>
    <w:bookmarkStart w:id="106" w:name="low_hci_high_gari-n-19-10-ssa"/>
    <w:p>
      <w:pPr>
        <w:pStyle w:val="Heading6"/>
      </w:pPr>
      <w:r>
        <w:t xml:space="preserve">low_hci_high_gari (N = 19, 10 SSA)</w:t>
      </w:r>
    </w:p>
    <w:p>
      <w:pPr>
        <w:pStyle w:val="FirstParagraph"/>
      </w:pPr>
      <w:r>
        <w:rPr>
          <w:rStyle w:val="VerbatimChar"/>
        </w:rPr>
        <w:t xml:space="preserve">BEN; BGD; BTN; CIV; DOM; EGY; ETH; GHA; IND; MAR; NGA; NPL; PAK; PAN; RWA; SEN; TZA; ZAF; ZMB</w:t>
      </w:r>
    </w:p>
    <w:bookmarkEnd w:id="106"/>
    <w:bookmarkStart w:id="107" w:name="high_hci_low_gari-n-19-1-ssa"/>
    <w:p>
      <w:pPr>
        <w:pStyle w:val="Heading6"/>
      </w:pPr>
      <w:r>
        <w:t xml:space="preserve">high_hci_low_gari (N = 19, 1 SSA)</w:t>
      </w:r>
    </w:p>
    <w:p>
      <w:pPr>
        <w:pStyle w:val="FirstParagraph"/>
      </w:pPr>
      <w:r>
        <w:rPr>
          <w:rStyle w:val="VerbatimChar"/>
        </w:rPr>
        <w:t xml:space="preserve">ATG; BIH; BLR; DMA; FJI; GRD; KGZ; KNA; LBN; LCA; NIC; PLW; PRY; PSE; SYC; TON; TTO; VCT; WSM</w:t>
      </w:r>
    </w:p>
    <w:bookmarkEnd w:id="107"/>
    <w:bookmarkStart w:id="108" w:name="low_hci_low_gari-n-47-29-ssa"/>
    <w:p>
      <w:pPr>
        <w:pStyle w:val="Heading6"/>
      </w:pPr>
      <w:r>
        <w:t xml:space="preserve">low_hci_low_gari (N = 47, 29 SSA)</w:t>
      </w:r>
    </w:p>
    <w:p>
      <w:pPr>
        <w:pStyle w:val="FirstParagraph"/>
      </w:pPr>
      <w:r>
        <w:rPr>
          <w:rStyle w:val="VerbatimChar"/>
        </w:rPr>
        <w:t xml:space="preserve">AFG; AGO; BDI; BFA; BWA; CAF; CMR; COD; COG; COM; GAB; GIN; GMB; GTM; GUY; HND; HTI; IRQ; KHM; KIR; LAO; LBR; LSO; MDG; MHL; MLI; MMR; MOZ; MRT; MWI; NAM; NER; PNG; SDN; SLB; SLE; SSD; SWZ; TCD; TGO; TJK; TLS; TUV; UGA; VUT; YEM; ZWE</w:t>
      </w:r>
    </w:p>
    <w:bookmarkEnd w:id="108"/>
    <w:bookmarkEnd w:id="109"/>
    <w:bookmarkEnd w:id="110"/>
    <w:bookmarkStart w:id="112" w:name="compounding-ai-penalty-robustness-panel"/>
    <w:p>
      <w:pPr>
        <w:pStyle w:val="Heading4"/>
      </w:pPr>
      <w:r>
        <w:t xml:space="preserve">Compounding AI penalty — robustness panel</w:t>
      </w:r>
    </w:p>
    <w:p>
      <w:pPr>
        <w:pStyle w:val="FirstParagraph"/>
      </w:pPr>
      <w:r>
        <w:t xml:space="preserve">Three alternative specifications for the</w:t>
      </w:r>
      <w:r>
        <w:t xml:space="preserve"> </w:t>
      </w:r>
      <w:r>
        <w:t xml:space="preserve">‘double-excluded’</w:t>
      </w:r>
      <w:r>
        <w:t xml:space="preserve"> </w:t>
      </w:r>
      <w:r>
        <w:t xml:space="preserve">country set.</w:t>
      </w:r>
      <w:r>
        <w:t xml:space="preserve"> </w:t>
      </w:r>
      <w:r>
        <w:rPr>
          <w:rStyle w:val="VerbatimChar"/>
        </w:rPr>
        <w:t xml:space="preserve">jaccard_vs_headline</w:t>
      </w:r>
      <w:r>
        <w:t xml:space="preserve"> </w:t>
      </w:r>
      <w:r>
        <w:t xml:space="preserve">is the intersection-over-union of each set with the headline median-split set — closer to 1 means more stable.</w:t>
      </w:r>
    </w:p>
    <w:tbl>
      <w:tblPr>
        <w:tblStyle w:val="Table"/>
        <w:tblW w:type="pct" w:w="5000"/>
        <w:tblLayout w:type="fixed"/>
        <w:tblLook w:firstRow="1" w:lastRow="0" w:firstColumn="0" w:lastColumn="0" w:noHBand="0" w:noVBand="0" w:val="0020"/>
      </w:tblPr>
      <w:tblGrid>
        <w:gridCol w:w="4752"/>
        <w:gridCol w:w="1500"/>
        <w:gridCol w:w="1667"/>
      </w:tblGrid>
      <w:tr>
        <w:trPr>
          <w:tblHeader w:val="on"/>
        </w:trPr>
        <w:tc>
          <w:tcPr/>
          <w:p>
            <w:pPr>
              <w:pStyle w:val="Compact"/>
              <w:jc w:val="left"/>
            </w:pPr>
            <w:r>
              <w:t xml:space="preserve">specification</w:t>
            </w:r>
          </w:p>
        </w:tc>
        <w:tc>
          <w:tcPr/>
          <w:p>
            <w:pPr>
              <w:pStyle w:val="Compact"/>
              <w:jc w:val="right"/>
            </w:pPr>
            <w:r>
              <w:t xml:space="preserve">n_double_excluded</w:t>
            </w:r>
          </w:p>
        </w:tc>
        <w:tc>
          <w:tcPr/>
          <w:p>
            <w:pPr>
              <w:pStyle w:val="Compact"/>
              <w:jc w:val="right"/>
            </w:pPr>
            <w:r>
              <w:t xml:space="preserve">jaccard_vs_headline</w:t>
            </w:r>
          </w:p>
        </w:tc>
      </w:tr>
      <w:tr>
        <w:tc>
          <w:tcPr/>
          <w:p>
            <w:pPr>
              <w:pStyle w:val="Compact"/>
              <w:jc w:val="left"/>
            </w:pPr>
            <w:r>
              <w:t xml:space="preserve">Median-split (HEADLINE, N=132)</w:t>
            </w:r>
          </w:p>
        </w:tc>
        <w:tc>
          <w:tcPr/>
          <w:p>
            <w:pPr>
              <w:pStyle w:val="Compact"/>
              <w:jc w:val="right"/>
            </w:pPr>
            <w:r>
              <w:t xml:space="preserve">47</w:t>
            </w:r>
          </w:p>
        </w:tc>
        <w:tc>
          <w:tcPr/>
          <w:p>
            <w:pPr>
              <w:pStyle w:val="Compact"/>
              <w:jc w:val="right"/>
            </w:pPr>
            <w:r>
              <w:t xml:space="preserve">1.000</w:t>
            </w:r>
          </w:p>
        </w:tc>
      </w:tr>
      <w:tr>
        <w:tc>
          <w:tcPr/>
          <w:p>
            <w:pPr>
              <w:pStyle w:val="Compact"/>
              <w:jc w:val="left"/>
            </w:pPr>
            <w:r>
              <w:t xml:space="preserve">Tercile-split (N=132; double-excluded = low/low tercile)</w:t>
            </w:r>
          </w:p>
        </w:tc>
        <w:tc>
          <w:tcPr/>
          <w:p>
            <w:pPr>
              <w:pStyle w:val="Compact"/>
              <w:jc w:val="right"/>
            </w:pPr>
            <w:r>
              <w:t xml:space="preserve">25</w:t>
            </w:r>
          </w:p>
        </w:tc>
        <w:tc>
          <w:tcPr/>
          <w:p>
            <w:pPr>
              <w:pStyle w:val="Compact"/>
              <w:jc w:val="right"/>
            </w:pPr>
            <w:r>
              <w:t xml:space="preserve">0.532</w:t>
            </w:r>
          </w:p>
        </w:tc>
      </w:tr>
      <w:tr>
        <w:tc>
          <w:tcPr/>
          <w:p>
            <w:pPr>
              <w:pStyle w:val="Compact"/>
              <w:jc w:val="left"/>
            </w:pPr>
            <w:r>
              <w:t xml:space="preserve">HCI-2018-only median-split (N=126)</w:t>
            </w:r>
          </w:p>
        </w:tc>
        <w:tc>
          <w:tcPr/>
          <w:p>
            <w:pPr>
              <w:pStyle w:val="Compact"/>
              <w:jc w:val="right"/>
            </w:pPr>
            <w:r>
              <w:t xml:space="preserve">46</w:t>
            </w:r>
          </w:p>
        </w:tc>
        <w:tc>
          <w:tcPr/>
          <w:p>
            <w:pPr>
              <w:pStyle w:val="Compact"/>
              <w:jc w:val="right"/>
            </w:pPr>
            <w:r>
              <w:t xml:space="preserve">0.938</w:t>
            </w:r>
          </w:p>
        </w:tc>
      </w:tr>
    </w:tbl>
    <w:bookmarkStart w:id="111" w:name="country-sets-per-specification"/>
    <w:p>
      <w:pPr>
        <w:pStyle w:val="Heading5"/>
      </w:pPr>
      <w:r>
        <w:t xml:space="preserve">Country sets per specification</w:t>
      </w:r>
    </w:p>
    <w:p>
      <w:pPr>
        <w:pStyle w:val="FirstParagraph"/>
      </w:pPr>
      <w:r>
        <w:rPr>
          <w:b/>
          <w:bCs/>
        </w:rPr>
        <w:t xml:space="preserve">Median-split (headline):</w:t>
      </w:r>
      <w:r>
        <w:t xml:space="preserve"> </w:t>
      </w:r>
      <w:r>
        <w:rPr>
          <w:rStyle w:val="VerbatimChar"/>
        </w:rPr>
        <w:t xml:space="preserve">AFG; AGO; BDI; BFA; BWA; CAF; CMR; COD; COG; COM; GAB; GIN; GMB; GTM; GUY; HND; HTI; IRQ; KHM; KIR; LAO; LBR; LSO; MDG; MHL; MLI; MMR; MOZ; MRT; MWI; NAM; NER; PNG; SDN; SLB; SLE; SSD; SWZ; TCD; TGO; TJK; TLS; TUV; UGA; VUT; YEM; ZWE</w:t>
      </w:r>
    </w:p>
    <w:p>
      <w:pPr>
        <w:pStyle w:val="BodyText"/>
      </w:pPr>
      <w:r>
        <w:rPr>
          <w:b/>
          <w:bCs/>
        </w:rPr>
        <w:t xml:space="preserve">Tercile-split (low/low):</w:t>
      </w:r>
      <w:r>
        <w:t xml:space="preserve"> </w:t>
      </w:r>
      <w:r>
        <w:rPr>
          <w:rStyle w:val="VerbatimChar"/>
        </w:rPr>
        <w:t xml:space="preserve">AFG; AGO; BDI; CAF; COD; COG; COM; GIN; GMB; HTI; LBR; MDG; MHL; MLI; MOZ; MWI; NER; PNG; SDN; SLB; SLE; SSD; SWZ; TCD; YEM</w:t>
      </w:r>
    </w:p>
    <w:p>
      <w:pPr>
        <w:pStyle w:val="BodyText"/>
      </w:pPr>
      <w:r>
        <w:rPr>
          <w:b/>
          <w:bCs/>
        </w:rPr>
        <w:t xml:space="preserve">HCI-2018-only median-split:</w:t>
      </w:r>
      <w:r>
        <w:t xml:space="preserve"> </w:t>
      </w:r>
      <w:r>
        <w:rPr>
          <w:rStyle w:val="VerbatimChar"/>
        </w:rPr>
        <w:t xml:space="preserve">AFG; AGO; BDI; BFA; BWA; CMR; COD; COG; COM; GAB; GIN; GMB; GTM; GUY; HND; HTI; IRQ; KHM; KIR; LAO; LBR; LSO; MDG; MHL; MLI; MMR; MOZ; MRT; MWI; NAM; NER; NIC; PNG; SDN; SLB; SLE; SSD; SWZ; TCD; TGO; TLS; TUV; UGA; VUT; YEM; ZWE</w:t>
      </w:r>
    </w:p>
    <w:bookmarkEnd w:id="111"/>
    <w:bookmarkEnd w:id="112"/>
    <w:bookmarkEnd w:id="113"/>
    <w:bookmarkEnd w:id="114"/>
    <w:bookmarkStart w:id="138" w:name="appendix-b-robustness-checks"/>
    <w:p>
      <w:pPr>
        <w:pStyle w:val="Heading1"/>
      </w:pPr>
      <w:r>
        <w:t xml:space="preserve">Appendix B: Robustness checks</w:t>
      </w:r>
    </w:p>
    <w:p>
      <w:pPr>
        <w:pStyle w:val="FirstParagraph"/>
      </w:pPr>
      <w:r>
        <w:t xml:space="preserve">The path-c framework treats the robustness exercises below as first-class methodological findings rather than caveats. The treatment-encoding grid (B.1) and the WGI operationalization variants (B.2) establish that the headline within-country coefficient is sign-stable across the encoding choices the literature has historically left unspecified. The China-aid robustness (B.3) confirms the OECD CRS coefficient is unmoved by adding parallel AidData GCDF flows. The HLO measure-fragility (B.4) and UIS-augmented listwise (B.5) document where the headline does not survive sign-agreement — material findings for what cross-country aid-learning panel evidence can rigorously claim at the current measurement frontier. The MCAR test (B.6) provides the empirical ground on which ADR-0012 retires the multiple-imputation robustness. The Dumitrescu-Hurlin Granger pre-test (B.7) documents the small-T limit that forecloses both the GMM remedy and the Granger pre-commit.</w:t>
      </w:r>
    </w:p>
    <w:bookmarkStart w:id="118" w:name="X5995b4ba02e1caed14466c58ae03c94db90a457"/>
    <w:p>
      <w:pPr>
        <w:pStyle w:val="Heading2"/>
      </w:pPr>
      <w:r>
        <w:t xml:space="preserve">B.1 Treatment-encoding sensitivity (16-cell grid; ADR-0005)</w:t>
      </w:r>
    </w:p>
    <w:bookmarkStart w:id="117" w:name="X582ec27df81f514d46a1fdd21120470b5955847"/>
    <w:p>
      <w:pPr>
        <w:pStyle w:val="Heading4"/>
      </w:pPr>
      <w:r>
        <w:t xml:space="preserve">Model 2 FE — Treatment-encoding sensitivity (ADR-0005 lock)</w:t>
      </w:r>
    </w:p>
    <w:p>
      <w:pPr>
        <w:pStyle w:val="FirstParagraph"/>
      </w:pPr>
      <w:r>
        <w:t xml:space="preserve">Within-country two-way FE (iso3 + year). Country-clustered SE. Controls: log(GDP/cap), PTR primary, ed_exp_%GDP, WGI gov effectiveness. Primary window 2010-2020.</w:t>
      </w:r>
    </w:p>
    <w:p>
      <w:pPr>
        <w:pStyle w:val="BodyText"/>
      </w:pPr>
      <w:r>
        <w:t xml:space="preserve">Treatment enters as</w:t>
      </w:r>
      <w:r>
        <w:t xml:space="preserve"> </w:t>
      </w:r>
      <w:r>
        <w:rPr>
          <w:rStyle w:val="VerbatimChar"/>
        </w:rPr>
        <w:t xml:space="preserve">log(1 + x)</w:t>
      </w:r>
      <w:r>
        <w:t xml:space="preserve">. 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15" w:name="hlo-outcome-1"/>
    <w:p>
      <w:pPr>
        <w:pStyle w:val="Heading5"/>
      </w:pPr>
      <w:r>
        <w:t xml:space="preserve">HLO outcome</w:t>
      </w:r>
    </w:p>
    <w:tbl>
      <w:tblPr>
        <w:tblStyle w:val="Table"/>
        <w:tblW w:type="pct" w:w="5000"/>
        <w:tblLayout w:type="fixed"/>
        <w:tblLook w:firstRow="1" w:lastRow="0" w:firstColumn="0" w:lastColumn="0" w:noHBand="0" w:noVBand="0" w:val="0020"/>
      </w:tblPr>
      <w:tblGrid>
        <w:gridCol w:w="1003"/>
        <w:gridCol w:w="1115"/>
        <w:gridCol w:w="1115"/>
        <w:gridCol w:w="446"/>
        <w:gridCol w:w="780"/>
        <w:gridCol w:w="669"/>
        <w:gridCol w:w="892"/>
        <w:gridCol w:w="780"/>
        <w:gridCol w:w="1115"/>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-0.358</w:t>
            </w:r>
          </w:p>
        </w:tc>
        <w:tc>
          <w:tcPr/>
          <w:p>
            <w:pPr>
              <w:pStyle w:val="Compact"/>
              <w:jc w:val="right"/>
            </w:pPr>
            <w:r>
              <w:t xml:space="preserve">2.953</w:t>
            </w:r>
          </w:p>
        </w:tc>
        <w:tc>
          <w:tcPr/>
          <w:p>
            <w:pPr>
              <w:pStyle w:val="Compact"/>
              <w:jc w:val="right"/>
            </w:pPr>
            <w:r>
              <w:t xml:space="preserve">0.9038</w:t>
            </w:r>
          </w:p>
        </w:tc>
        <w:tc>
          <w:tcPr/>
          <w:p>
            <w:pPr>
              <w:pStyle w:val="Compact"/>
            </w:pPr>
          </w:p>
        </w:tc>
        <w:tc>
          <w:tcPr/>
          <w:p>
            <w:pPr>
              <w:pStyle w:val="Compact"/>
              <w:jc w:val="right"/>
            </w:pPr>
            <w:r>
              <w:t xml:space="preserve">0.1165</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-0.184</w:t>
            </w:r>
          </w:p>
        </w:tc>
        <w:tc>
          <w:tcPr/>
          <w:p>
            <w:pPr>
              <w:pStyle w:val="Compact"/>
              <w:jc w:val="right"/>
            </w:pPr>
            <w:r>
              <w:t xml:space="preserve">2.932</w:t>
            </w:r>
          </w:p>
        </w:tc>
        <w:tc>
          <w:tcPr/>
          <w:p>
            <w:pPr>
              <w:pStyle w:val="Compact"/>
              <w:jc w:val="right"/>
            </w:pPr>
            <w:r>
              <w:t xml:space="preserve">0.9503</w:t>
            </w:r>
          </w:p>
        </w:tc>
        <w:tc>
          <w:tcPr/>
          <w:p>
            <w:pPr>
              <w:pStyle w:val="Compact"/>
            </w:pPr>
          </w:p>
        </w:tc>
        <w:tc>
          <w:tcPr/>
          <w:p>
            <w:pPr>
              <w:pStyle w:val="Compact"/>
              <w:jc w:val="right"/>
            </w:pPr>
            <w:r>
              <w:t xml:space="preserve">0.1164</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3.230</w:t>
            </w:r>
          </w:p>
        </w:tc>
        <w:tc>
          <w:tcPr/>
          <w:p>
            <w:pPr>
              <w:pStyle w:val="Compact"/>
              <w:jc w:val="right"/>
            </w:pPr>
            <w:r>
              <w:t xml:space="preserve">1.939</w:t>
            </w:r>
          </w:p>
        </w:tc>
        <w:tc>
          <w:tcPr/>
          <w:p>
            <w:pPr>
              <w:pStyle w:val="Compact"/>
              <w:jc w:val="right"/>
            </w:pPr>
            <w:r>
              <w:t xml:space="preserve">0.1009</w:t>
            </w:r>
          </w:p>
        </w:tc>
        <w:tc>
          <w:tcPr/>
          <w:p>
            <w:pPr>
              <w:pStyle w:val="Compact"/>
            </w:pPr>
          </w:p>
        </w:tc>
        <w:tc>
          <w:tcPr/>
          <w:p>
            <w:pPr>
              <w:pStyle w:val="Compact"/>
              <w:jc w:val="right"/>
            </w:pPr>
            <w:r>
              <w:t xml:space="preserve">0.1301</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2.990</w:t>
            </w:r>
          </w:p>
        </w:tc>
        <w:tc>
          <w:tcPr/>
          <w:p>
            <w:pPr>
              <w:pStyle w:val="Compact"/>
              <w:jc w:val="right"/>
            </w:pPr>
            <w:r>
              <w:t xml:space="preserve">1.885</w:t>
            </w:r>
          </w:p>
        </w:tc>
        <w:tc>
          <w:tcPr/>
          <w:p>
            <w:pPr>
              <w:pStyle w:val="Compact"/>
              <w:jc w:val="right"/>
            </w:pPr>
            <w:r>
              <w:t xml:space="preserve">0.1178</w:t>
            </w:r>
          </w:p>
        </w:tc>
        <w:tc>
          <w:tcPr/>
          <w:p>
            <w:pPr>
              <w:pStyle w:val="Compact"/>
            </w:pPr>
          </w:p>
        </w:tc>
        <w:tc>
          <w:tcPr/>
          <w:p>
            <w:pPr>
              <w:pStyle w:val="Compact"/>
              <w:jc w:val="right"/>
            </w:pPr>
            <w:r>
              <w:t xml:space="preserve">0.1286</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9.881</w:t>
            </w:r>
          </w:p>
        </w:tc>
        <w:tc>
          <w:tcPr/>
          <w:p>
            <w:pPr>
              <w:pStyle w:val="Compact"/>
              <w:jc w:val="right"/>
            </w:pPr>
            <w:r>
              <w:t xml:space="preserve">4.213</w:t>
            </w:r>
          </w:p>
        </w:tc>
        <w:tc>
          <w:tcPr/>
          <w:p>
            <w:pPr>
              <w:pStyle w:val="Compact"/>
              <w:jc w:val="right"/>
            </w:pPr>
            <w:r>
              <w:t xml:space="preserve">0.0223</w:t>
            </w:r>
          </w:p>
        </w:tc>
        <w:tc>
          <w:tcPr/>
          <w:p>
            <w:pPr>
              <w:pStyle w:val="Compact"/>
              <w:jc w:val="left"/>
            </w:pPr>
            <w:r>
              <w:t xml:space="preserve">**</w:t>
            </w:r>
          </w:p>
        </w:tc>
        <w:tc>
          <w:tcPr/>
          <w:p>
            <w:pPr>
              <w:pStyle w:val="Compact"/>
              <w:jc w:val="right"/>
            </w:pPr>
            <w:r>
              <w:t xml:space="preserve">0.1574</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9.278</w:t>
            </w:r>
          </w:p>
        </w:tc>
        <w:tc>
          <w:tcPr/>
          <w:p>
            <w:pPr>
              <w:pStyle w:val="Compact"/>
              <w:jc w:val="right"/>
            </w:pPr>
            <w:r>
              <w:t xml:space="preserve">4.274</w:t>
            </w:r>
          </w:p>
        </w:tc>
        <w:tc>
          <w:tcPr/>
          <w:p>
            <w:pPr>
              <w:pStyle w:val="Compact"/>
              <w:jc w:val="right"/>
            </w:pPr>
            <w:r>
              <w:t xml:space="preserve">0.0339</w:t>
            </w:r>
          </w:p>
        </w:tc>
        <w:tc>
          <w:tcPr/>
          <w:p>
            <w:pPr>
              <w:pStyle w:val="Compact"/>
              <w:jc w:val="left"/>
            </w:pPr>
            <w:r>
              <w:t xml:space="preserve">**</w:t>
            </w:r>
          </w:p>
        </w:tc>
        <w:tc>
          <w:tcPr/>
          <w:p>
            <w:pPr>
              <w:pStyle w:val="Compact"/>
              <w:jc w:val="right"/>
            </w:pPr>
            <w:r>
              <w:t xml:space="preserve">0.1535</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12.750</w:t>
            </w:r>
          </w:p>
        </w:tc>
        <w:tc>
          <w:tcPr/>
          <w:p>
            <w:pPr>
              <w:pStyle w:val="Compact"/>
              <w:jc w:val="right"/>
            </w:pPr>
            <w:r>
              <w:t xml:space="preserve">4.643</w:t>
            </w:r>
          </w:p>
        </w:tc>
        <w:tc>
          <w:tcPr/>
          <w:p>
            <w:pPr>
              <w:pStyle w:val="Compact"/>
              <w:jc w:val="right"/>
            </w:pPr>
            <w:r>
              <w:t xml:space="preserve">0.0079</w:t>
            </w:r>
          </w:p>
        </w:tc>
        <w:tc>
          <w:tcPr/>
          <w:p>
            <w:pPr>
              <w:pStyle w:val="Compact"/>
              <w:jc w:val="left"/>
            </w:pPr>
            <w:r>
              <w:t xml:space="preserve">***</w:t>
            </w:r>
          </w:p>
        </w:tc>
        <w:tc>
          <w:tcPr/>
          <w:p>
            <w:pPr>
              <w:pStyle w:val="Compact"/>
              <w:jc w:val="right"/>
            </w:pPr>
            <w:r>
              <w:t xml:space="preserve">0.1816</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11.867</w:t>
            </w:r>
          </w:p>
        </w:tc>
        <w:tc>
          <w:tcPr/>
          <w:p>
            <w:pPr>
              <w:pStyle w:val="Compact"/>
              <w:jc w:val="right"/>
            </w:pPr>
            <w:r>
              <w:t xml:space="preserve">4.526</w:t>
            </w:r>
          </w:p>
        </w:tc>
        <w:tc>
          <w:tcPr/>
          <w:p>
            <w:pPr>
              <w:pStyle w:val="Compact"/>
              <w:jc w:val="right"/>
            </w:pPr>
            <w:r>
              <w:t xml:space="preserve">0.0111</w:t>
            </w:r>
          </w:p>
        </w:tc>
        <w:tc>
          <w:tcPr/>
          <w:p>
            <w:pPr>
              <w:pStyle w:val="Compact"/>
              <w:jc w:val="left"/>
            </w:pPr>
            <w:r>
              <w:t xml:space="preserve">**</w:t>
            </w:r>
          </w:p>
        </w:tc>
        <w:tc>
          <w:tcPr/>
          <w:p>
            <w:pPr>
              <w:pStyle w:val="Compact"/>
              <w:jc w:val="right"/>
            </w:pPr>
            <w:r>
              <w:t xml:space="preserve">0.1750</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8.273</w:t>
            </w:r>
          </w:p>
        </w:tc>
        <w:tc>
          <w:tcPr/>
          <w:p>
            <w:pPr>
              <w:pStyle w:val="Compact"/>
              <w:jc w:val="right"/>
            </w:pPr>
            <w:r>
              <w:t xml:space="preserve">2.851</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0.1465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143</w:t>
            </w:r>
          </w:p>
        </w:tc>
        <w:tc>
          <w:tcPr/>
          <w:p>
            <w:pPr>
              <w:pStyle w:val="Compact"/>
              <w:jc w:val="right"/>
            </w:pPr>
            <w:r>
              <w:t xml:space="preserve">8.202</w:t>
            </w:r>
          </w:p>
        </w:tc>
        <w:tc>
          <w:tcPr/>
          <w:p>
            <w:pPr>
              <w:pStyle w:val="Compact"/>
              <w:jc w:val="right"/>
            </w:pPr>
            <w:r>
              <w:t xml:space="preserve">2.696</w:t>
            </w:r>
          </w:p>
        </w:tc>
        <w:tc>
          <w:tcPr/>
          <w:p>
            <w:pPr>
              <w:pStyle w:val="Compact"/>
              <w:jc w:val="right"/>
            </w:pPr>
            <w:r>
              <w:t xml:space="preserve">0.0035</w:t>
            </w:r>
          </w:p>
        </w:tc>
        <w:tc>
          <w:tcPr/>
          <w:p>
            <w:pPr>
              <w:pStyle w:val="Compact"/>
              <w:jc w:val="left"/>
            </w:pPr>
            <w:r>
              <w:t xml:space="preserve">***</w:t>
            </w:r>
          </w:p>
        </w:tc>
        <w:tc>
          <w:tcPr/>
          <w:p>
            <w:pPr>
              <w:pStyle w:val="Compact"/>
              <w:jc w:val="right"/>
            </w:pPr>
            <w:r>
              <w:t xml:space="preserve">0.1472</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2.644</w:t>
            </w:r>
          </w:p>
        </w:tc>
        <w:tc>
          <w:tcPr/>
          <w:p>
            <w:pPr>
              <w:pStyle w:val="Compact"/>
              <w:jc w:val="right"/>
            </w:pPr>
            <w:r>
              <w:t xml:space="preserve">2.471</w:t>
            </w:r>
          </w:p>
        </w:tc>
        <w:tc>
          <w:tcPr/>
          <w:p>
            <w:pPr>
              <w:pStyle w:val="Compact"/>
              <w:jc w:val="right"/>
            </w:pPr>
            <w:r>
              <w:t xml:space="preserve">0.2888</w:t>
            </w:r>
          </w:p>
        </w:tc>
        <w:tc>
          <w:tcPr/>
          <w:p>
            <w:pPr>
              <w:pStyle w:val="Compact"/>
            </w:pPr>
          </w:p>
        </w:tc>
        <w:tc>
          <w:tcPr/>
          <w:p>
            <w:pPr>
              <w:pStyle w:val="Compact"/>
              <w:jc w:val="right"/>
            </w:pPr>
            <w:r>
              <w:t xml:space="preserve">0.1210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143</w:t>
            </w:r>
          </w:p>
        </w:tc>
        <w:tc>
          <w:tcPr/>
          <w:p>
            <w:pPr>
              <w:pStyle w:val="Compact"/>
              <w:jc w:val="right"/>
            </w:pPr>
            <w:r>
              <w:t xml:space="preserve">2.471</w:t>
            </w:r>
          </w:p>
        </w:tc>
        <w:tc>
          <w:tcPr/>
          <w:p>
            <w:pPr>
              <w:pStyle w:val="Compact"/>
              <w:jc w:val="right"/>
            </w:pPr>
            <w:r>
              <w:t xml:space="preserve">2.428</w:t>
            </w:r>
          </w:p>
        </w:tc>
        <w:tc>
          <w:tcPr/>
          <w:p>
            <w:pPr>
              <w:pStyle w:val="Compact"/>
              <w:jc w:val="right"/>
            </w:pPr>
            <w:r>
              <w:t xml:space="preserve">0.3128</w:t>
            </w:r>
          </w:p>
        </w:tc>
        <w:tc>
          <w:tcPr/>
          <w:p>
            <w:pPr>
              <w:pStyle w:val="Compact"/>
            </w:pPr>
          </w:p>
        </w:tc>
        <w:tc>
          <w:tcPr/>
          <w:p>
            <w:pPr>
              <w:pStyle w:val="Compact"/>
              <w:jc w:val="right"/>
            </w:pPr>
            <w:r>
              <w:t xml:space="preserve">0.1205</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11.442</w:t>
            </w:r>
          </w:p>
        </w:tc>
        <w:tc>
          <w:tcPr/>
          <w:p>
            <w:pPr>
              <w:pStyle w:val="Compact"/>
              <w:jc w:val="right"/>
            </w:pPr>
            <w:r>
              <w:t xml:space="preserve">3.943</w:t>
            </w:r>
          </w:p>
        </w:tc>
        <w:tc>
          <w:tcPr/>
          <w:p>
            <w:pPr>
              <w:pStyle w:val="Compact"/>
              <w:jc w:val="right"/>
            </w:pPr>
            <w:r>
              <w:t xml:space="preserve">0.0052</w:t>
            </w:r>
          </w:p>
        </w:tc>
        <w:tc>
          <w:tcPr/>
          <w:p>
            <w:pPr>
              <w:pStyle w:val="Compact"/>
              <w:jc w:val="left"/>
            </w:pPr>
            <w:r>
              <w:t xml:space="preserve">***</w:t>
            </w:r>
          </w:p>
        </w:tc>
        <w:tc>
          <w:tcPr/>
          <w:p>
            <w:pPr>
              <w:pStyle w:val="Compact"/>
              <w:jc w:val="right"/>
            </w:pPr>
            <w:r>
              <w:t xml:space="preserve">0.1560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143</w:t>
            </w:r>
          </w:p>
        </w:tc>
        <w:tc>
          <w:tcPr/>
          <w:p>
            <w:pPr>
              <w:pStyle w:val="Compact"/>
              <w:jc w:val="right"/>
            </w:pPr>
            <w:r>
              <w:t xml:space="preserve">10.947</w:t>
            </w:r>
          </w:p>
        </w:tc>
        <w:tc>
          <w:tcPr/>
          <w:p>
            <w:pPr>
              <w:pStyle w:val="Compact"/>
              <w:jc w:val="right"/>
            </w:pPr>
            <w:r>
              <w:t xml:space="preserve">3.595</w:t>
            </w:r>
          </w:p>
        </w:tc>
        <w:tc>
          <w:tcPr/>
          <w:p>
            <w:pPr>
              <w:pStyle w:val="Compact"/>
              <w:jc w:val="right"/>
            </w:pPr>
            <w:r>
              <w:t xml:space="preserve">0.0034</w:t>
            </w:r>
          </w:p>
        </w:tc>
        <w:tc>
          <w:tcPr/>
          <w:p>
            <w:pPr>
              <w:pStyle w:val="Compact"/>
              <w:jc w:val="left"/>
            </w:pPr>
            <w:r>
              <w:t xml:space="preserve">***</w:t>
            </w:r>
          </w:p>
        </w:tc>
        <w:tc>
          <w:tcPr/>
          <w:p>
            <w:pPr>
              <w:pStyle w:val="Compact"/>
              <w:jc w:val="right"/>
            </w:pPr>
            <w:r>
              <w:t xml:space="preserve">0.1541</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8.537</w:t>
            </w:r>
          </w:p>
        </w:tc>
        <w:tc>
          <w:tcPr/>
          <w:p>
            <w:pPr>
              <w:pStyle w:val="Compact"/>
              <w:jc w:val="right"/>
            </w:pPr>
            <w:r>
              <w:t xml:space="preserve">5.209</w:t>
            </w:r>
          </w:p>
        </w:tc>
        <w:tc>
          <w:tcPr/>
          <w:p>
            <w:pPr>
              <w:pStyle w:val="Compact"/>
              <w:jc w:val="right"/>
            </w:pPr>
            <w:r>
              <w:t xml:space="preserve">0.1065</w:t>
            </w:r>
          </w:p>
        </w:tc>
        <w:tc>
          <w:tcPr/>
          <w:p>
            <w:pPr>
              <w:pStyle w:val="Compact"/>
            </w:pPr>
          </w:p>
        </w:tc>
        <w:tc>
          <w:tcPr/>
          <w:p>
            <w:pPr>
              <w:pStyle w:val="Compact"/>
              <w:jc w:val="right"/>
            </w:pPr>
            <w:r>
              <w:t xml:space="preserve">0.1407</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bl>
    <w:bookmarkEnd w:id="115"/>
    <w:bookmarkStart w:id="116" w:name="lays-outcome-1"/>
    <w:p>
      <w:pPr>
        <w:pStyle w:val="Heading5"/>
      </w:pPr>
      <w:r>
        <w:t xml:space="preserve">LAYS outcome</w:t>
      </w:r>
    </w:p>
    <w:tbl>
      <w:tblPr>
        <w:tblStyle w:val="Table"/>
        <w:tblW w:type="pct" w:w="5000"/>
        <w:tblLayout w:type="fixed"/>
        <w:tblLook w:firstRow="1" w:lastRow="0" w:firstColumn="0" w:lastColumn="0" w:noHBand="0" w:noVBand="0" w:val="0020"/>
      </w:tblPr>
      <w:tblGrid>
        <w:gridCol w:w="1018"/>
        <w:gridCol w:w="1131"/>
        <w:gridCol w:w="1131"/>
        <w:gridCol w:w="452"/>
        <w:gridCol w:w="678"/>
        <w:gridCol w:w="678"/>
        <w:gridCol w:w="905"/>
        <w:gridCol w:w="792"/>
        <w:gridCol w:w="1131"/>
      </w:tblGrid>
      <w:tr>
        <w:trPr>
          <w:tblHeader w:val="on"/>
        </w:trPr>
        <w:tc>
          <w:tcPr/>
          <w:p>
            <w:pPr>
              <w:pStyle w:val="Compact"/>
              <w:jc w:val="left"/>
            </w:pPr>
            <w:r>
              <w:t xml:space="preserve">family</w:t>
            </w:r>
          </w:p>
        </w:tc>
        <w:tc>
          <w:tcPr/>
          <w:p>
            <w:pPr>
              <w:pStyle w:val="Compact"/>
              <w:jc w:val="left"/>
            </w:pPr>
            <w:r>
              <w:t xml:space="preserve">usd_basis</w:t>
            </w:r>
          </w:p>
        </w:tc>
        <w:tc>
          <w:tcPr/>
          <w:p>
            <w:pPr>
              <w:pStyle w:val="Compact"/>
              <w:jc w:val="left"/>
            </w:pPr>
            <w:r>
              <w:t xml:space="preserve">transform</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0.081</w:t>
            </w:r>
          </w:p>
        </w:tc>
        <w:tc>
          <w:tcPr/>
          <w:p>
            <w:pPr>
              <w:pStyle w:val="Compact"/>
              <w:jc w:val="right"/>
            </w:pPr>
            <w:r>
              <w:t xml:space="preserve">0.059</w:t>
            </w:r>
          </w:p>
        </w:tc>
        <w:tc>
          <w:tcPr/>
          <w:p>
            <w:pPr>
              <w:pStyle w:val="Compact"/>
              <w:jc w:val="right"/>
            </w:pPr>
            <w:r>
              <w:t xml:space="preserve">0.1739</w:t>
            </w:r>
          </w:p>
        </w:tc>
        <w:tc>
          <w:tcPr/>
          <w:p>
            <w:pPr>
              <w:pStyle w:val="Compact"/>
            </w:pPr>
          </w:p>
        </w:tc>
        <w:tc>
          <w:tcPr/>
          <w:p>
            <w:pPr>
              <w:pStyle w:val="Compact"/>
              <w:jc w:val="right"/>
            </w:pPr>
            <w:r>
              <w:t xml:space="preserve">0.2260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0.075</w:t>
            </w:r>
          </w:p>
        </w:tc>
        <w:tc>
          <w:tcPr/>
          <w:p>
            <w:pPr>
              <w:pStyle w:val="Compact"/>
              <w:jc w:val="right"/>
            </w:pPr>
            <w:r>
              <w:t xml:space="preserve">0.058</w:t>
            </w:r>
          </w:p>
        </w:tc>
        <w:tc>
          <w:tcPr/>
          <w:p>
            <w:pPr>
              <w:pStyle w:val="Compact"/>
              <w:jc w:val="right"/>
            </w:pPr>
            <w:r>
              <w:t xml:space="preserve">0.1966</w:t>
            </w:r>
          </w:p>
        </w:tc>
        <w:tc>
          <w:tcPr/>
          <w:p>
            <w:pPr>
              <w:pStyle w:val="Compact"/>
            </w:pPr>
          </w:p>
        </w:tc>
        <w:tc>
          <w:tcPr/>
          <w:p>
            <w:pPr>
              <w:pStyle w:val="Compact"/>
              <w:jc w:val="right"/>
            </w:pPr>
            <w:r>
              <w:t xml:space="preserve">0.2238</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0.029</w:t>
            </w:r>
          </w:p>
        </w:tc>
        <w:tc>
          <w:tcPr/>
          <w:p>
            <w:pPr>
              <w:pStyle w:val="Compact"/>
              <w:jc w:val="right"/>
            </w:pPr>
            <w:r>
              <w:t xml:space="preserve">0.048</w:t>
            </w:r>
          </w:p>
        </w:tc>
        <w:tc>
          <w:tcPr/>
          <w:p>
            <w:pPr>
              <w:pStyle w:val="Compact"/>
              <w:jc w:val="right"/>
            </w:pPr>
            <w:r>
              <w:t xml:space="preserve">0.5459</w:t>
            </w:r>
          </w:p>
        </w:tc>
        <w:tc>
          <w:tcPr/>
          <w:p>
            <w:pPr>
              <w:pStyle w:val="Compact"/>
            </w:pPr>
          </w:p>
        </w:tc>
        <w:tc>
          <w:tcPr/>
          <w:p>
            <w:pPr>
              <w:pStyle w:val="Compact"/>
              <w:jc w:val="right"/>
            </w:pPr>
            <w:r>
              <w:t xml:space="preserve">0.2113</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0.026</w:t>
            </w:r>
          </w:p>
        </w:tc>
        <w:tc>
          <w:tcPr/>
          <w:p>
            <w:pPr>
              <w:pStyle w:val="Compact"/>
              <w:jc w:val="right"/>
            </w:pPr>
            <w:r>
              <w:t xml:space="preserve">0.046</w:t>
            </w:r>
          </w:p>
        </w:tc>
        <w:tc>
          <w:tcPr/>
          <w:p>
            <w:pPr>
              <w:pStyle w:val="Compact"/>
              <w:jc w:val="right"/>
            </w:pPr>
            <w:r>
              <w:t xml:space="preserve">0.5735</w:t>
            </w:r>
          </w:p>
        </w:tc>
        <w:tc>
          <w:tcPr/>
          <w:p>
            <w:pPr>
              <w:pStyle w:val="Compact"/>
            </w:pPr>
          </w:p>
        </w:tc>
        <w:tc>
          <w:tcPr/>
          <w:p>
            <w:pPr>
              <w:pStyle w:val="Compact"/>
              <w:jc w:val="right"/>
            </w:pPr>
            <w:r>
              <w:t xml:space="preserve">0.2107</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0.255</w:t>
            </w:r>
          </w:p>
        </w:tc>
        <w:tc>
          <w:tcPr/>
          <w:p>
            <w:pPr>
              <w:pStyle w:val="Compact"/>
              <w:jc w:val="right"/>
            </w:pPr>
            <w:r>
              <w:t xml:space="preserve">0.081</w:t>
            </w:r>
          </w:p>
        </w:tc>
        <w:tc>
          <w:tcPr/>
          <w:p>
            <w:pPr>
              <w:pStyle w:val="Compact"/>
              <w:jc w:val="right"/>
            </w:pPr>
            <w:r>
              <w:t xml:space="preserve">0.0026</w:t>
            </w:r>
          </w:p>
        </w:tc>
        <w:tc>
          <w:tcPr/>
          <w:p>
            <w:pPr>
              <w:pStyle w:val="Compact"/>
              <w:jc w:val="left"/>
            </w:pPr>
            <w:r>
              <w:t xml:space="preserve">***</w:t>
            </w:r>
          </w:p>
        </w:tc>
        <w:tc>
          <w:tcPr/>
          <w:p>
            <w:pPr>
              <w:pStyle w:val="Compact"/>
              <w:jc w:val="right"/>
            </w:pPr>
            <w:r>
              <w:t xml:space="preserve">0.2870</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0.237</w:t>
            </w:r>
          </w:p>
        </w:tc>
        <w:tc>
          <w:tcPr/>
          <w:p>
            <w:pPr>
              <w:pStyle w:val="Compact"/>
              <w:jc w:val="right"/>
            </w:pPr>
            <w:r>
              <w:t xml:space="preserve">0.080</w:t>
            </w:r>
          </w:p>
        </w:tc>
        <w:tc>
          <w:tcPr/>
          <w:p>
            <w:pPr>
              <w:pStyle w:val="Compact"/>
              <w:jc w:val="right"/>
            </w:pPr>
            <w:r>
              <w:t xml:space="preserve">0.0045</w:t>
            </w:r>
          </w:p>
        </w:tc>
        <w:tc>
          <w:tcPr/>
          <w:p>
            <w:pPr>
              <w:pStyle w:val="Compact"/>
              <w:jc w:val="left"/>
            </w:pPr>
            <w:r>
              <w:t xml:space="preserve">***</w:t>
            </w:r>
          </w:p>
        </w:tc>
        <w:tc>
          <w:tcPr/>
          <w:p>
            <w:pPr>
              <w:pStyle w:val="Compact"/>
              <w:jc w:val="right"/>
            </w:pPr>
            <w:r>
              <w:t xml:space="preserve">0.2783</w:t>
            </w:r>
          </w:p>
        </w:tc>
      </w:tr>
      <w:tr>
        <w:tc>
          <w:tcPr/>
          <w:p>
            <w:pPr>
              <w:pStyle w:val="Compact"/>
              <w:jc w:val="left"/>
            </w:pPr>
            <w:r>
              <w:t xml:space="preserve">commit</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0.202</w:t>
            </w:r>
          </w:p>
        </w:tc>
        <w:tc>
          <w:tcPr/>
          <w:p>
            <w:pPr>
              <w:pStyle w:val="Compact"/>
              <w:jc w:val="right"/>
            </w:pPr>
            <w:r>
              <w:t xml:space="preserve">0.082</w:t>
            </w:r>
          </w:p>
        </w:tc>
        <w:tc>
          <w:tcPr/>
          <w:p>
            <w:pPr>
              <w:pStyle w:val="Compact"/>
              <w:jc w:val="right"/>
            </w:pPr>
            <w:r>
              <w:t xml:space="preserve">0.0167</w:t>
            </w:r>
          </w:p>
        </w:tc>
        <w:tc>
          <w:tcPr/>
          <w:p>
            <w:pPr>
              <w:pStyle w:val="Compact"/>
              <w:jc w:val="left"/>
            </w:pPr>
            <w:r>
              <w:t xml:space="preserve">**</w:t>
            </w:r>
          </w:p>
        </w:tc>
        <w:tc>
          <w:tcPr/>
          <w:p>
            <w:pPr>
              <w:pStyle w:val="Compact"/>
              <w:jc w:val="right"/>
            </w:pPr>
            <w:r>
              <w:t xml:space="preserve">0.2548</w:t>
            </w:r>
          </w:p>
        </w:tc>
      </w:tr>
      <w:tr>
        <w:tc>
          <w:tcPr/>
          <w:p>
            <w:pPr>
              <w:pStyle w:val="Compact"/>
              <w:jc w:val="left"/>
            </w:pPr>
            <w:r>
              <w:t xml:space="preserve">commit</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0.190</w:t>
            </w:r>
          </w:p>
        </w:tc>
        <w:tc>
          <w:tcPr/>
          <w:p>
            <w:pPr>
              <w:pStyle w:val="Compact"/>
              <w:jc w:val="right"/>
            </w:pPr>
            <w:r>
              <w:t xml:space="preserve">0.079</w:t>
            </w:r>
          </w:p>
        </w:tc>
        <w:tc>
          <w:tcPr/>
          <w:p>
            <w:pPr>
              <w:pStyle w:val="Compact"/>
              <w:jc w:val="right"/>
            </w:pPr>
            <w:r>
              <w:t xml:space="preserve">0.0189</w:t>
            </w:r>
          </w:p>
        </w:tc>
        <w:tc>
          <w:tcPr/>
          <w:p>
            <w:pPr>
              <w:pStyle w:val="Compact"/>
              <w:jc w:val="left"/>
            </w:pPr>
            <w:r>
              <w:t xml:space="preserve">**</w:t>
            </w:r>
          </w:p>
        </w:tc>
        <w:tc>
          <w:tcPr/>
          <w:p>
            <w:pPr>
              <w:pStyle w:val="Compact"/>
              <w:jc w:val="right"/>
            </w:pPr>
            <w:r>
              <w:t xml:space="preserve">0.2508</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0.089</w:t>
            </w:r>
          </w:p>
        </w:tc>
        <w:tc>
          <w:tcPr/>
          <w:p>
            <w:pPr>
              <w:pStyle w:val="Compact"/>
              <w:jc w:val="right"/>
            </w:pPr>
            <w:r>
              <w:t xml:space="preserve">0.090</w:t>
            </w:r>
          </w:p>
        </w:tc>
        <w:tc>
          <w:tcPr/>
          <w:p>
            <w:pPr>
              <w:pStyle w:val="Compact"/>
              <w:jc w:val="right"/>
            </w:pPr>
            <w:r>
              <w:t xml:space="preserve">0.3278</w:t>
            </w:r>
          </w:p>
        </w:tc>
        <w:tc>
          <w:tcPr/>
          <w:p>
            <w:pPr>
              <w:pStyle w:val="Compact"/>
            </w:pPr>
          </w:p>
        </w:tc>
        <w:tc>
          <w:tcPr/>
          <w:p>
            <w:pPr>
              <w:pStyle w:val="Compact"/>
              <w:jc w:val="right"/>
            </w:pPr>
            <w:r>
              <w:t xml:space="preserve">0.2175</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raw</w:t>
            </w:r>
          </w:p>
        </w:tc>
        <w:tc>
          <w:tcPr/>
          <w:p>
            <w:pPr>
              <w:pStyle w:val="Compact"/>
              <w:jc w:val="right"/>
            </w:pPr>
            <w:r>
              <w:t xml:space="preserve">139</w:t>
            </w:r>
          </w:p>
        </w:tc>
        <w:tc>
          <w:tcPr/>
          <w:p>
            <w:pPr>
              <w:pStyle w:val="Compact"/>
              <w:jc w:val="right"/>
            </w:pPr>
            <w:r>
              <w:t xml:space="preserve">0.084</w:t>
            </w:r>
          </w:p>
        </w:tc>
        <w:tc>
          <w:tcPr/>
          <w:p>
            <w:pPr>
              <w:pStyle w:val="Compact"/>
              <w:jc w:val="right"/>
            </w:pPr>
            <w:r>
              <w:t xml:space="preserve">0.086</w:t>
            </w:r>
          </w:p>
        </w:tc>
        <w:tc>
          <w:tcPr/>
          <w:p>
            <w:pPr>
              <w:pStyle w:val="Compact"/>
              <w:jc w:val="right"/>
            </w:pPr>
            <w:r>
              <w:t xml:space="preserve">0.3349</w:t>
            </w:r>
          </w:p>
        </w:tc>
        <w:tc>
          <w:tcPr/>
          <w:p>
            <w:pPr>
              <w:pStyle w:val="Compact"/>
            </w:pPr>
          </w:p>
        </w:tc>
        <w:tc>
          <w:tcPr/>
          <w:p>
            <w:pPr>
              <w:pStyle w:val="Compact"/>
              <w:jc w:val="right"/>
            </w:pPr>
            <w:r>
              <w:t xml:space="preserve">0.2169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0.066</w:t>
            </w:r>
          </w:p>
        </w:tc>
        <w:tc>
          <w:tcPr/>
          <w:p>
            <w:pPr>
              <w:pStyle w:val="Compact"/>
              <w:jc w:val="right"/>
            </w:pPr>
            <w:r>
              <w:t xml:space="preserve">0.081</w:t>
            </w:r>
          </w:p>
        </w:tc>
        <w:tc>
          <w:tcPr/>
          <w:p>
            <w:pPr>
              <w:pStyle w:val="Compact"/>
              <w:jc w:val="right"/>
            </w:pPr>
            <w:r>
              <w:t xml:space="preserve">0.4203</w:t>
            </w:r>
          </w:p>
        </w:tc>
        <w:tc>
          <w:tcPr/>
          <w:p>
            <w:pPr>
              <w:pStyle w:val="Compact"/>
            </w:pPr>
          </w:p>
        </w:tc>
        <w:tc>
          <w:tcPr/>
          <w:p>
            <w:pPr>
              <w:pStyle w:val="Compact"/>
              <w:jc w:val="right"/>
            </w:pPr>
            <w:r>
              <w:t xml:space="preserve">0.2160</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lag1</w:t>
            </w:r>
          </w:p>
        </w:tc>
        <w:tc>
          <w:tcPr/>
          <w:p>
            <w:pPr>
              <w:pStyle w:val="Compact"/>
              <w:jc w:val="right"/>
            </w:pPr>
            <w:r>
              <w:t xml:space="preserve">139</w:t>
            </w:r>
          </w:p>
        </w:tc>
        <w:tc>
          <w:tcPr/>
          <w:p>
            <w:pPr>
              <w:pStyle w:val="Compact"/>
              <w:jc w:val="right"/>
            </w:pPr>
            <w:r>
              <w:t xml:space="preserve">0.060</w:t>
            </w:r>
          </w:p>
        </w:tc>
        <w:tc>
          <w:tcPr/>
          <w:p>
            <w:pPr>
              <w:pStyle w:val="Compact"/>
              <w:jc w:val="right"/>
            </w:pPr>
            <w:r>
              <w:t xml:space="preserve">0.080</w:t>
            </w:r>
          </w:p>
        </w:tc>
        <w:tc>
          <w:tcPr/>
          <w:p>
            <w:pPr>
              <w:pStyle w:val="Compact"/>
              <w:jc w:val="right"/>
            </w:pPr>
            <w:r>
              <w:t xml:space="preserve">0.4554</w:t>
            </w:r>
          </w:p>
        </w:tc>
        <w:tc>
          <w:tcPr/>
          <w:p>
            <w:pPr>
              <w:pStyle w:val="Compact"/>
            </w:pPr>
          </w:p>
        </w:tc>
        <w:tc>
          <w:tcPr/>
          <w:p>
            <w:pPr>
              <w:pStyle w:val="Compact"/>
              <w:jc w:val="right"/>
            </w:pPr>
            <w:r>
              <w:t xml:space="preserve">0.2149</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0.162</w:t>
            </w:r>
          </w:p>
        </w:tc>
        <w:tc>
          <w:tcPr/>
          <w:p>
            <w:pPr>
              <w:pStyle w:val="Compact"/>
              <w:jc w:val="right"/>
            </w:pPr>
            <w:r>
              <w:t xml:space="preserve">0.091</w:t>
            </w:r>
          </w:p>
        </w:tc>
        <w:tc>
          <w:tcPr/>
          <w:p>
            <w:pPr>
              <w:pStyle w:val="Compact"/>
              <w:jc w:val="right"/>
            </w:pPr>
            <w:r>
              <w:t xml:space="preserve">0.0814</w:t>
            </w:r>
          </w:p>
        </w:tc>
        <w:tc>
          <w:tcPr/>
          <w:p>
            <w:pPr>
              <w:pStyle w:val="Compact"/>
              <w:jc w:val="left"/>
            </w:pPr>
            <w:r>
              <w:t xml:space="preserve">*</w:t>
            </w:r>
          </w:p>
        </w:tc>
        <w:tc>
          <w:tcPr/>
          <w:p>
            <w:pPr>
              <w:pStyle w:val="Compact"/>
              <w:jc w:val="right"/>
            </w:pPr>
            <w:r>
              <w:t xml:space="preserve">0.2291</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w:t>
            </w:r>
          </w:p>
        </w:tc>
        <w:tc>
          <w:tcPr/>
          <w:p>
            <w:pPr>
              <w:pStyle w:val="Compact"/>
              <w:jc w:val="right"/>
            </w:pPr>
            <w:r>
              <w:t xml:space="preserve">139</w:t>
            </w:r>
          </w:p>
        </w:tc>
        <w:tc>
          <w:tcPr/>
          <w:p>
            <w:pPr>
              <w:pStyle w:val="Compact"/>
              <w:jc w:val="right"/>
            </w:pPr>
            <w:r>
              <w:t xml:space="preserve">0.148</w:t>
            </w:r>
          </w:p>
        </w:tc>
        <w:tc>
          <w:tcPr/>
          <w:p>
            <w:pPr>
              <w:pStyle w:val="Compact"/>
              <w:jc w:val="right"/>
            </w:pPr>
            <w:r>
              <w:t xml:space="preserve">0.087</w:t>
            </w:r>
          </w:p>
        </w:tc>
        <w:tc>
          <w:tcPr/>
          <w:p>
            <w:pPr>
              <w:pStyle w:val="Compact"/>
              <w:jc w:val="right"/>
            </w:pPr>
            <w:r>
              <w:t xml:space="preserve">0.0958</w:t>
            </w:r>
          </w:p>
        </w:tc>
        <w:tc>
          <w:tcPr/>
          <w:p>
            <w:pPr>
              <w:pStyle w:val="Compact"/>
              <w:jc w:val="left"/>
            </w:pPr>
            <w:r>
              <w:t xml:space="preserve">*</w:t>
            </w:r>
          </w:p>
        </w:tc>
        <w:tc>
          <w:tcPr/>
          <w:p>
            <w:pPr>
              <w:pStyle w:val="Compact"/>
              <w:jc w:val="right"/>
            </w:pPr>
            <w:r>
              <w:t xml:space="preserve">0.2264</w:t>
            </w:r>
          </w:p>
        </w:tc>
      </w:tr>
      <w:tr>
        <w:tc>
          <w:tcPr/>
          <w:p>
            <w:pPr>
              <w:pStyle w:val="Compact"/>
              <w:jc w:val="left"/>
            </w:pPr>
            <w:r>
              <w:t xml:space="preserve">disburse</w:t>
            </w:r>
          </w:p>
        </w:tc>
        <w:tc>
          <w:tcPr/>
          <w:p>
            <w:pPr>
              <w:pStyle w:val="Compact"/>
              <w:jc w:val="left"/>
            </w:pPr>
            <w:r>
              <w:t xml:space="preserve">current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0.110</w:t>
            </w:r>
          </w:p>
        </w:tc>
        <w:tc>
          <w:tcPr/>
          <w:p>
            <w:pPr>
              <w:pStyle w:val="Compact"/>
              <w:jc w:val="right"/>
            </w:pPr>
            <w:r>
              <w:t xml:space="preserve">0.125</w:t>
            </w:r>
          </w:p>
        </w:tc>
        <w:tc>
          <w:tcPr/>
          <w:p>
            <w:pPr>
              <w:pStyle w:val="Compact"/>
              <w:jc w:val="right"/>
            </w:pPr>
            <w:r>
              <w:t xml:space="preserve">0.3849</w:t>
            </w:r>
          </w:p>
        </w:tc>
        <w:tc>
          <w:tcPr/>
          <w:p>
            <w:pPr>
              <w:pStyle w:val="Compact"/>
            </w:pPr>
          </w:p>
        </w:tc>
        <w:tc>
          <w:tcPr/>
          <w:p>
            <w:pPr>
              <w:pStyle w:val="Compact"/>
              <w:jc w:val="right"/>
            </w:pPr>
            <w:r>
              <w:t xml:space="preserve">0.2192</w:t>
            </w:r>
          </w:p>
        </w:tc>
      </w:tr>
      <w:tr>
        <w:tc>
          <w:tcPr/>
          <w:p>
            <w:pPr>
              <w:pStyle w:val="Compact"/>
              <w:jc w:val="left"/>
            </w:pPr>
            <w:r>
              <w:t xml:space="preserve">disburse</w:t>
            </w:r>
          </w:p>
        </w:tc>
        <w:tc>
          <w:tcPr/>
          <w:p>
            <w:pPr>
              <w:pStyle w:val="Compact"/>
              <w:jc w:val="left"/>
            </w:pPr>
            <w:r>
              <w:t xml:space="preserve">constant</w:t>
            </w:r>
          </w:p>
        </w:tc>
        <w:tc>
          <w:tcPr/>
          <w:p>
            <w:pPr>
              <w:pStyle w:val="Compact"/>
              <w:jc w:val="left"/>
            </w:pPr>
            <w:r>
              <w:t xml:space="preserve">ma3_lag1</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bl>
    <w:bookmarkEnd w:id="116"/>
    <w:bookmarkEnd w:id="117"/>
    <w:bookmarkEnd w:id="118"/>
    <w:bookmarkStart w:id="124" w:name="X6628dfa1638c2bca0a9c937b6626322759b5bd8"/>
    <w:p>
      <w:pPr>
        <w:pStyle w:val="Heading2"/>
      </w:pPr>
      <w:r>
        <w:t xml:space="preserve">B.2 WGI operationalization variants (ADR-0009)</w:t>
      </w:r>
    </w:p>
    <w:bookmarkStart w:id="123" w:name="Xee6576fc8e847602f600475edc74f88728c73e4"/>
    <w:p>
      <w:pPr>
        <w:pStyle w:val="Heading4"/>
      </w:pPr>
      <w:r>
        <w:t xml:space="preserve">Model 2 FE — WGI operationalization sensitivity (ADR-0009 lock)</w:t>
      </w:r>
    </w:p>
    <w:p>
      <w:pPr>
        <w:pStyle w:val="FirstParagraph"/>
      </w:pPr>
      <w:r>
        <w:t xml:space="preserve">Within-country two-way FE (iso3 + year). Country-clustered SE. Treatment:</w:t>
      </w:r>
      <w:r>
        <w:t xml:space="preserve"> </w:t>
      </w:r>
      <w:r>
        <w:rPr>
          <w:rStyle w:val="VerbatimChar"/>
        </w:rPr>
        <w:t xml:space="preserve">log(1 + crs_disburse_usd_defl_ma3_lag1)</w:t>
      </w:r>
      <w:r>
        <w:t xml:space="preserve"> </w:t>
      </w:r>
      <w:r>
        <w:t xml:space="preserve">(Session-03 lock). Base controls: log(GDP/cap) + PTR primary + ed_exp_%GDP. WGI varies across specs A-D. Primary window 2010-2020.</w:t>
      </w:r>
    </w:p>
    <w:p>
      <w:pPr>
        <w:pStyle w:val="BodyText"/>
      </w:pPr>
      <w:r>
        <w:t xml:space="preserve">PC1 variance share: 0.764. All six PC1 loadings positive after sign-flip: TRUE.</w:t>
      </w:r>
    </w:p>
    <w:bookmarkStart w:id="121" w:name="Xad2c0501ffea000c9ffce75f1a69ae5900dd0e8"/>
    <w:p>
      <w:pPr>
        <w:pStyle w:val="Heading5"/>
      </w:pPr>
      <w:r>
        <w:t xml:space="preserve">ODA coefficient across WGI representations</w:t>
      </w:r>
    </w:p>
    <w:bookmarkStart w:id="119" w:name="hlo-outcome-2"/>
    <w:p>
      <w:pPr>
        <w:pStyle w:val="Heading6"/>
      </w:pPr>
      <w:r>
        <w:t xml:space="preserve">HLO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c>
          <w:tcPr/>
          <w:p>
            <w:pPr>
              <w:pStyle w:val="Compact"/>
              <w:jc w:val="right"/>
            </w:pPr>
            <w:r>
              <w:t xml:space="preserve">0.1396</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143</w:t>
            </w:r>
          </w:p>
        </w:tc>
        <w:tc>
          <w:tcPr/>
          <w:p>
            <w:pPr>
              <w:pStyle w:val="Compact"/>
              <w:jc w:val="right"/>
            </w:pPr>
            <w:r>
              <w:t xml:space="preserve">10.331</w:t>
            </w:r>
          </w:p>
        </w:tc>
        <w:tc>
          <w:tcPr/>
          <w:p>
            <w:pPr>
              <w:pStyle w:val="Compact"/>
              <w:jc w:val="right"/>
            </w:pPr>
            <w:r>
              <w:t xml:space="preserve">5.211</w:t>
            </w:r>
          </w:p>
        </w:tc>
        <w:tc>
          <w:tcPr/>
          <w:p>
            <w:pPr>
              <w:pStyle w:val="Compact"/>
              <w:jc w:val="right"/>
            </w:pPr>
            <w:r>
              <w:t xml:space="preserve">0.0520</w:t>
            </w:r>
          </w:p>
        </w:tc>
        <w:tc>
          <w:tcPr/>
          <w:p>
            <w:pPr>
              <w:pStyle w:val="Compact"/>
              <w:jc w:val="left"/>
            </w:pPr>
            <w:r>
              <w:t xml:space="preserve">*</w:t>
            </w:r>
          </w:p>
        </w:tc>
        <w:tc>
          <w:tcPr/>
          <w:p>
            <w:pPr>
              <w:pStyle w:val="Compact"/>
              <w:jc w:val="right"/>
            </w:pPr>
            <w:r>
              <w:t xml:space="preserve">0.2536</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0.0481</w:t>
            </w:r>
          </w:p>
        </w:tc>
        <w:tc>
          <w:tcPr/>
          <w:p>
            <w:pPr>
              <w:pStyle w:val="Compact"/>
              <w:jc w:val="left"/>
            </w:pPr>
            <w:r>
              <w:t xml:space="preserve">**</w:t>
            </w:r>
          </w:p>
        </w:tc>
        <w:tc>
          <w:tcPr/>
          <w:p>
            <w:pPr>
              <w:pStyle w:val="Compact"/>
              <w:jc w:val="right"/>
            </w:pPr>
            <w:r>
              <w:t xml:space="preserve">0.1255</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143</w:t>
            </w:r>
          </w:p>
        </w:tc>
        <w:tc>
          <w:tcPr/>
          <w:p>
            <w:pPr>
              <w:pStyle w:val="Compact"/>
              <w:jc w:val="right"/>
            </w:pPr>
            <w:r>
              <w:t xml:space="preserve">8.754</w:t>
            </w:r>
          </w:p>
        </w:tc>
        <w:tc>
          <w:tcPr/>
          <w:p>
            <w:pPr>
              <w:pStyle w:val="Compact"/>
              <w:jc w:val="right"/>
            </w:pPr>
            <w:r>
              <w:t xml:space="preserve">5.322</w:t>
            </w:r>
          </w:p>
        </w:tc>
        <w:tc>
          <w:tcPr/>
          <w:p>
            <w:pPr>
              <w:pStyle w:val="Compact"/>
              <w:jc w:val="right"/>
            </w:pPr>
            <w:r>
              <w:t xml:space="preserve">0.1052</w:t>
            </w:r>
          </w:p>
        </w:tc>
        <w:tc>
          <w:tcPr/>
          <w:p>
            <w:pPr>
              <w:pStyle w:val="Compact"/>
            </w:pPr>
          </w:p>
        </w:tc>
        <w:tc>
          <w:tcPr/>
          <w:p>
            <w:pPr>
              <w:pStyle w:val="Compact"/>
              <w:jc w:val="right"/>
            </w:pPr>
            <w:r>
              <w:t xml:space="preserve">0.0540</w:t>
            </w:r>
          </w:p>
        </w:tc>
      </w:tr>
    </w:tbl>
    <w:bookmarkEnd w:id="119"/>
    <w:bookmarkStart w:id="120" w:name="lays-outcome-2"/>
    <w:p>
      <w:pPr>
        <w:pStyle w:val="Heading6"/>
      </w:pPr>
      <w:r>
        <w:t xml:space="preserve">LAYS outcome</w:t>
      </w:r>
    </w:p>
    <w:tbl>
      <w:tblPr>
        <w:tblStyle w:val="Table"/>
        <w:tblW w:type="pct" w:w="5000"/>
        <w:tblLayout w:type="fixed"/>
        <w:tblLook w:firstRow="1" w:lastRow="0" w:firstColumn="0" w:lastColumn="0" w:noHBand="0" w:noVBand="0" w:val="0020"/>
      </w:tblPr>
      <w:tblGrid>
        <w:gridCol w:w="696"/>
        <w:gridCol w:w="3394"/>
        <w:gridCol w:w="348"/>
        <w:gridCol w:w="783"/>
        <w:gridCol w:w="609"/>
        <w:gridCol w:w="609"/>
        <w:gridCol w:w="609"/>
        <w:gridCol w:w="870"/>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p_oda</w:t>
            </w:r>
          </w:p>
        </w:tc>
        <w:tc>
          <w:tcPr/>
          <w:p>
            <w:pPr>
              <w:pStyle w:val="Compact"/>
              <w:jc w:val="left"/>
            </w:pPr>
            <w:r>
              <w:t xml:space="preserve">signif</w:t>
            </w:r>
          </w:p>
        </w:tc>
        <w:tc>
          <w:tcPr/>
          <w:p>
            <w:pPr>
              <w:pStyle w:val="Compact"/>
              <w:jc w:val="right"/>
            </w:pPr>
            <w:r>
              <w:t xml:space="preserve">r2_within</w:t>
            </w:r>
          </w:p>
        </w:tc>
      </w:tr>
      <w:tr>
        <w:tc>
          <w:tcPr/>
          <w:p>
            <w:pPr>
              <w:pStyle w:val="Compact"/>
              <w:jc w:val="left"/>
            </w:pPr>
            <w:r>
              <w:t xml:space="preserve">A</w:t>
            </w:r>
          </w:p>
        </w:tc>
        <w:tc>
          <w:tcPr/>
          <w:p>
            <w:pPr>
              <w:pStyle w:val="Compact"/>
              <w:jc w:val="left"/>
            </w:pPr>
            <w:r>
              <w:t xml:space="preserve">Single composite (Session-03 baseline)</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c>
          <w:tcPr/>
          <w:p>
            <w:pPr>
              <w:pStyle w:val="Compact"/>
              <w:jc w:val="right"/>
            </w:pPr>
            <w:r>
              <w:t xml:space="preserve">0.2185</w:t>
            </w:r>
          </w:p>
        </w:tc>
      </w:tr>
      <w:tr>
        <w:tc>
          <w:tcPr/>
          <w:p>
            <w:pPr>
              <w:pStyle w:val="Compact"/>
              <w:jc w:val="left"/>
            </w:pPr>
            <w:r>
              <w:t xml:space="preserve">B</w:t>
            </w:r>
          </w:p>
        </w:tc>
        <w:tc>
          <w:tcPr/>
          <w:p>
            <w:pPr>
              <w:pStyle w:val="Compact"/>
              <w:jc w:val="left"/>
            </w:pPr>
            <w:r>
              <w:t xml:space="preserve">All six WGI aggregates</w:t>
            </w:r>
          </w:p>
        </w:tc>
        <w:tc>
          <w:tcPr/>
          <w:p>
            <w:pPr>
              <w:pStyle w:val="Compact"/>
              <w:jc w:val="right"/>
            </w:pPr>
            <w:r>
              <w:t xml:space="preserve">139</w:t>
            </w:r>
          </w:p>
        </w:tc>
        <w:tc>
          <w:tcPr/>
          <w:p>
            <w:pPr>
              <w:pStyle w:val="Compact"/>
              <w:jc w:val="right"/>
            </w:pPr>
            <w:r>
              <w:t xml:space="preserve">0.158</w:t>
            </w:r>
          </w:p>
        </w:tc>
        <w:tc>
          <w:tcPr/>
          <w:p>
            <w:pPr>
              <w:pStyle w:val="Compact"/>
              <w:jc w:val="right"/>
            </w:pPr>
            <w:r>
              <w:t xml:space="preserve">0.106</w:t>
            </w:r>
          </w:p>
        </w:tc>
        <w:tc>
          <w:tcPr/>
          <w:p>
            <w:pPr>
              <w:pStyle w:val="Compact"/>
              <w:jc w:val="right"/>
            </w:pPr>
            <w:r>
              <w:t xml:space="preserve">0.1439</w:t>
            </w:r>
          </w:p>
        </w:tc>
        <w:tc>
          <w:tcPr/>
          <w:p>
            <w:pPr>
              <w:pStyle w:val="Compact"/>
            </w:pPr>
          </w:p>
        </w:tc>
        <w:tc>
          <w:tcPr/>
          <w:p>
            <w:pPr>
              <w:pStyle w:val="Compact"/>
              <w:jc w:val="right"/>
            </w:pPr>
            <w:r>
              <w:t xml:space="preserve">0.4609</w:t>
            </w:r>
          </w:p>
        </w:tc>
      </w:tr>
      <w:tr>
        <w:tc>
          <w:tcPr/>
          <w:p>
            <w:pPr>
              <w:pStyle w:val="Compact"/>
              <w:jc w:val="left"/>
            </w:pPr>
            <w:r>
              <w:t xml:space="preserve">C</w:t>
            </w:r>
          </w:p>
        </w:tc>
        <w:tc>
          <w:tcPr/>
          <w:p>
            <w:pPr>
              <w:pStyle w:val="Compact"/>
              <w:jc w:val="left"/>
            </w:pPr>
            <w:r>
              <w:t xml:space="preserve">PCA-collapsed (PC1, scale=TRUE)</w:t>
            </w:r>
          </w:p>
        </w:tc>
        <w:tc>
          <w:tcPr/>
          <w:p>
            <w:pPr>
              <w:pStyle w:val="Compact"/>
              <w:jc w:val="right"/>
            </w:pPr>
            <w:r>
              <w:t xml:space="preserve">139</w:t>
            </w:r>
          </w:p>
        </w:tc>
        <w:tc>
          <w:tcPr/>
          <w:p>
            <w:pPr>
              <w:pStyle w:val="Compact"/>
              <w:jc w:val="right"/>
            </w:pPr>
            <w:r>
              <w:t xml:space="preserve">0.179</w:t>
            </w:r>
          </w:p>
        </w:tc>
        <w:tc>
          <w:tcPr/>
          <w:p>
            <w:pPr>
              <w:pStyle w:val="Compact"/>
              <w:jc w:val="right"/>
            </w:pPr>
            <w:r>
              <w:t xml:space="preserve">0.145</w:t>
            </w:r>
          </w:p>
        </w:tc>
        <w:tc>
          <w:tcPr/>
          <w:p>
            <w:pPr>
              <w:pStyle w:val="Compact"/>
              <w:jc w:val="right"/>
            </w:pPr>
            <w:r>
              <w:t xml:space="preserve">0.2205</w:t>
            </w:r>
          </w:p>
        </w:tc>
        <w:tc>
          <w:tcPr/>
          <w:p>
            <w:pPr>
              <w:pStyle w:val="Compact"/>
            </w:pPr>
          </w:p>
        </w:tc>
        <w:tc>
          <w:tcPr/>
          <w:p>
            <w:pPr>
              <w:pStyle w:val="Compact"/>
              <w:jc w:val="right"/>
            </w:pPr>
            <w:r>
              <w:t xml:space="preserve">0.1743</w:t>
            </w:r>
          </w:p>
        </w:tc>
      </w:tr>
      <w:tr>
        <w:tc>
          <w:tcPr/>
          <w:p>
            <w:pPr>
              <w:pStyle w:val="Compact"/>
              <w:jc w:val="left"/>
            </w:pPr>
            <w:r>
              <w:t xml:space="preserve">D</w:t>
            </w:r>
          </w:p>
        </w:tc>
        <w:tc>
          <w:tcPr/>
          <w:p>
            <w:pPr>
              <w:pStyle w:val="Compact"/>
              <w:jc w:val="left"/>
            </w:pPr>
            <w:r>
              <w:t xml:space="preserve">No WGI control</w:t>
            </w:r>
          </w:p>
        </w:tc>
        <w:tc>
          <w:tcPr/>
          <w:p>
            <w:pPr>
              <w:pStyle w:val="Compact"/>
              <w:jc w:val="right"/>
            </w:pPr>
            <w:r>
              <w:t xml:space="preserve">139</w:t>
            </w:r>
          </w:p>
        </w:tc>
        <w:tc>
          <w:tcPr/>
          <w:p>
            <w:pPr>
              <w:pStyle w:val="Compact"/>
              <w:jc w:val="right"/>
            </w:pPr>
            <w:r>
              <w:t xml:space="preserve">0.139</w:t>
            </w:r>
          </w:p>
        </w:tc>
        <w:tc>
          <w:tcPr/>
          <w:p>
            <w:pPr>
              <w:pStyle w:val="Compact"/>
              <w:jc w:val="right"/>
            </w:pPr>
            <w:r>
              <w:t xml:space="preserve">0.159</w:t>
            </w:r>
          </w:p>
        </w:tc>
        <w:tc>
          <w:tcPr/>
          <w:p>
            <w:pPr>
              <w:pStyle w:val="Compact"/>
              <w:jc w:val="right"/>
            </w:pPr>
            <w:r>
              <w:t xml:space="preserve">0.3855</w:t>
            </w:r>
          </w:p>
        </w:tc>
        <w:tc>
          <w:tcPr/>
          <w:p>
            <w:pPr>
              <w:pStyle w:val="Compact"/>
            </w:pPr>
          </w:p>
        </w:tc>
        <w:tc>
          <w:tcPr/>
          <w:p>
            <w:pPr>
              <w:pStyle w:val="Compact"/>
              <w:jc w:val="right"/>
            </w:pPr>
            <w:r>
              <w:t xml:space="preserve">0.0880</w:t>
            </w:r>
          </w:p>
        </w:tc>
      </w:tr>
    </w:tbl>
    <w:bookmarkEnd w:id="120"/>
    <w:bookmarkEnd w:id="121"/>
    <w:bookmarkStart w:id="122" w:name="Xbdbaa20f1bb287209453845797644654aab189f"/>
    <w:p>
      <w:pPr>
        <w:pStyle w:val="Heading5"/>
      </w:pPr>
      <w:r>
        <w:t xml:space="preserve">Per-dimension WGI coefficients in spec B (HLO)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wgi_va_est</w:t>
            </w:r>
          </w:p>
        </w:tc>
        <w:tc>
          <w:tcPr/>
          <w:p>
            <w:pPr>
              <w:pStyle w:val="Compact"/>
              <w:jc w:val="right"/>
            </w:pPr>
            <w:r>
              <w:t xml:space="preserve">-26.245</w:t>
            </w:r>
          </w:p>
        </w:tc>
        <w:tc>
          <w:tcPr/>
          <w:p>
            <w:pPr>
              <w:pStyle w:val="Compact"/>
              <w:jc w:val="right"/>
            </w:pPr>
            <w:r>
              <w:t xml:space="preserve">16.44</w:t>
            </w:r>
          </w:p>
        </w:tc>
        <w:tc>
          <w:tcPr/>
          <w:p>
            <w:pPr>
              <w:pStyle w:val="Compact"/>
              <w:jc w:val="right"/>
            </w:pPr>
            <w:r>
              <w:t xml:space="preserve">0.1156</w:t>
            </w:r>
          </w:p>
        </w:tc>
        <w:tc>
          <w:tcPr/>
          <w:p>
            <w:pPr>
              <w:pStyle w:val="Compact"/>
            </w:pPr>
          </w:p>
        </w:tc>
      </w:tr>
      <w:tr>
        <w:tc>
          <w:tcPr/>
          <w:p>
            <w:pPr>
              <w:pStyle w:val="Compact"/>
              <w:jc w:val="left"/>
            </w:pPr>
            <w:r>
              <w:t xml:space="preserve">wgi_pv_est</w:t>
            </w:r>
          </w:p>
        </w:tc>
        <w:tc>
          <w:tcPr/>
          <w:p>
            <w:pPr>
              <w:pStyle w:val="Compact"/>
              <w:jc w:val="right"/>
            </w:pPr>
            <w:r>
              <w:t xml:space="preserve">2.314</w:t>
            </w:r>
          </w:p>
        </w:tc>
        <w:tc>
          <w:tcPr/>
          <w:p>
            <w:pPr>
              <w:pStyle w:val="Compact"/>
              <w:jc w:val="right"/>
            </w:pPr>
            <w:r>
              <w:t xml:space="preserve">13.00</w:t>
            </w:r>
          </w:p>
        </w:tc>
        <w:tc>
          <w:tcPr/>
          <w:p>
            <w:pPr>
              <w:pStyle w:val="Compact"/>
              <w:jc w:val="right"/>
            </w:pPr>
            <w:r>
              <w:t xml:space="preserve">0.8593</w:t>
            </w:r>
          </w:p>
        </w:tc>
        <w:tc>
          <w:tcPr/>
          <w:p>
            <w:pPr>
              <w:pStyle w:val="Compact"/>
            </w:pPr>
          </w:p>
        </w:tc>
      </w:tr>
      <w:tr>
        <w:tc>
          <w:tcPr/>
          <w:p>
            <w:pPr>
              <w:pStyle w:val="Compact"/>
              <w:jc w:val="left"/>
            </w:pPr>
            <w:r>
              <w:t xml:space="preserve">wgi_ge_est</w:t>
            </w:r>
          </w:p>
        </w:tc>
        <w:tc>
          <w:tcPr/>
          <w:p>
            <w:pPr>
              <w:pStyle w:val="Compact"/>
              <w:jc w:val="right"/>
            </w:pPr>
            <w:r>
              <w:t xml:space="preserve">9.910</w:t>
            </w:r>
          </w:p>
        </w:tc>
        <w:tc>
          <w:tcPr/>
          <w:p>
            <w:pPr>
              <w:pStyle w:val="Compact"/>
              <w:jc w:val="right"/>
            </w:pPr>
            <w:r>
              <w:t xml:space="preserve">25.95</w:t>
            </w:r>
          </w:p>
        </w:tc>
        <w:tc>
          <w:tcPr/>
          <w:p>
            <w:pPr>
              <w:pStyle w:val="Compact"/>
              <w:jc w:val="right"/>
            </w:pPr>
            <w:r>
              <w:t xml:space="preserve">0.7039</w:t>
            </w:r>
          </w:p>
        </w:tc>
        <w:tc>
          <w:tcPr/>
          <w:p>
            <w:pPr>
              <w:pStyle w:val="Compact"/>
            </w:pPr>
          </w:p>
        </w:tc>
      </w:tr>
      <w:tr>
        <w:tc>
          <w:tcPr/>
          <w:p>
            <w:pPr>
              <w:pStyle w:val="Compact"/>
              <w:jc w:val="left"/>
            </w:pPr>
            <w:r>
              <w:t xml:space="preserve">wgi_rq_est</w:t>
            </w:r>
          </w:p>
        </w:tc>
        <w:tc>
          <w:tcPr/>
          <w:p>
            <w:pPr>
              <w:pStyle w:val="Compact"/>
              <w:jc w:val="right"/>
            </w:pPr>
            <w:r>
              <w:t xml:space="preserve">44.927</w:t>
            </w:r>
          </w:p>
        </w:tc>
        <w:tc>
          <w:tcPr/>
          <w:p>
            <w:pPr>
              <w:pStyle w:val="Compact"/>
              <w:jc w:val="right"/>
            </w:pPr>
            <w:r>
              <w:t xml:space="preserve">30.76</w:t>
            </w:r>
          </w:p>
        </w:tc>
        <w:tc>
          <w:tcPr/>
          <w:p>
            <w:pPr>
              <w:pStyle w:val="Compact"/>
              <w:jc w:val="right"/>
            </w:pPr>
            <w:r>
              <w:t xml:space="preserve">0.1494</w:t>
            </w:r>
          </w:p>
        </w:tc>
        <w:tc>
          <w:tcPr/>
          <w:p>
            <w:pPr>
              <w:pStyle w:val="Compact"/>
            </w:pPr>
          </w:p>
        </w:tc>
      </w:tr>
      <w:tr>
        <w:tc>
          <w:tcPr/>
          <w:p>
            <w:pPr>
              <w:pStyle w:val="Compact"/>
              <w:jc w:val="left"/>
            </w:pPr>
            <w:r>
              <w:t xml:space="preserve">wgi_rl_est</w:t>
            </w:r>
          </w:p>
        </w:tc>
        <w:tc>
          <w:tcPr/>
          <w:p>
            <w:pPr>
              <w:pStyle w:val="Compact"/>
              <w:jc w:val="right"/>
            </w:pPr>
            <w:r>
              <w:t xml:space="preserve">-9.414</w:t>
            </w:r>
          </w:p>
        </w:tc>
        <w:tc>
          <w:tcPr/>
          <w:p>
            <w:pPr>
              <w:pStyle w:val="Compact"/>
              <w:jc w:val="right"/>
            </w:pPr>
            <w:r>
              <w:t xml:space="preserve">26.56</w:t>
            </w:r>
          </w:p>
        </w:tc>
        <w:tc>
          <w:tcPr/>
          <w:p>
            <w:pPr>
              <w:pStyle w:val="Compact"/>
              <w:jc w:val="right"/>
            </w:pPr>
            <w:r>
              <w:t xml:space="preserve">0.7243</w:t>
            </w:r>
          </w:p>
        </w:tc>
        <w:tc>
          <w:tcPr/>
          <w:p>
            <w:pPr>
              <w:pStyle w:val="Compact"/>
            </w:pPr>
          </w:p>
        </w:tc>
      </w:tr>
      <w:tr>
        <w:tc>
          <w:tcPr/>
          <w:p>
            <w:pPr>
              <w:pStyle w:val="Compact"/>
              <w:jc w:val="left"/>
            </w:pPr>
            <w:r>
              <w:t xml:space="preserve">wgi_cc_est</w:t>
            </w:r>
          </w:p>
        </w:tc>
        <w:tc>
          <w:tcPr/>
          <w:p>
            <w:pPr>
              <w:pStyle w:val="Compact"/>
              <w:jc w:val="right"/>
            </w:pPr>
            <w:r>
              <w:t xml:space="preserve">32.742</w:t>
            </w:r>
          </w:p>
        </w:tc>
        <w:tc>
          <w:tcPr/>
          <w:p>
            <w:pPr>
              <w:pStyle w:val="Compact"/>
              <w:jc w:val="right"/>
            </w:pPr>
            <w:r>
              <w:t xml:space="preserve">21.36</w:t>
            </w:r>
          </w:p>
        </w:tc>
        <w:tc>
          <w:tcPr/>
          <w:p>
            <w:pPr>
              <w:pStyle w:val="Compact"/>
              <w:jc w:val="right"/>
            </w:pPr>
            <w:r>
              <w:t xml:space="preserve">0.1305</w:t>
            </w:r>
          </w:p>
        </w:tc>
        <w:tc>
          <w:tcPr/>
          <w:p>
            <w:pPr>
              <w:pStyle w:val="Compact"/>
            </w:pPr>
          </w:p>
        </w:tc>
      </w:tr>
    </w:tbl>
    <w:p>
      <w:pPr>
        <w:pStyle w:val="BodyText"/>
      </w:pPr>
      <w:r>
        <w:t xml:space="preserve">The PCA loadings supporting the PC1-variance-share claim (76.4% on this sample, single PC1 retained per Kaiser criterion) are at</w:t>
      </w:r>
      <w:r>
        <w:t xml:space="preserve"> </w:t>
      </w:r>
      <w:r>
        <w:rPr>
          <w:rStyle w:val="VerbatimChar"/>
        </w:rPr>
        <w:t xml:space="preserve">output/tables/model2_wgi_pca_loadings.csv</w:t>
      </w:r>
      <w:r>
        <w:t xml:space="preserve">.</w:t>
      </w:r>
    </w:p>
    <w:bookmarkEnd w:id="122"/>
    <w:bookmarkEnd w:id="123"/>
    <w:bookmarkEnd w:id="124"/>
    <w:bookmarkStart w:id="130" w:name="b.3-chinese-aid-robustness-adr-0008"/>
    <w:p>
      <w:pPr>
        <w:pStyle w:val="Heading2"/>
      </w:pPr>
      <w:r>
        <w:t xml:space="preserve">B.3 Chinese aid robustness (ADR-0008)</w:t>
      </w:r>
    </w:p>
    <w:bookmarkStart w:id="129" w:name="X7036b49db76036f564080fba237ae9b0690629f"/>
    <w:p>
      <w:pPr>
        <w:pStyle w:val="Heading4"/>
      </w:pPr>
      <w:r>
        <w:t xml:space="preserve">Model 2 FE — Chinese aid robustness (ADR-0008 lock)</w:t>
      </w:r>
    </w:p>
    <w:p>
      <w:pPr>
        <w:pStyle w:val="FirstParagraph"/>
      </w:pPr>
      <w:r>
        <w:t xml:space="preserve">Within-country two-way FE (iso3 + year). Country-clustered SE. Controls: log(GDP/cap), PTR primary, ed_exp_%GDP, WGI gov effectiveness. Primary window 2010-2020. Treatment columns enter as</w:t>
      </w:r>
      <w:r>
        <w:t xml:space="preserve"> </w:t>
      </w:r>
      <w:r>
        <w:rPr>
          <w:rStyle w:val="VerbatimChar"/>
        </w:rPr>
        <w:t xml:space="preserve">log(1 + x)</w:t>
      </w:r>
      <w:r>
        <w:t xml:space="preserve">; all use Session-03 lock encoding (strictly-past 3-yr MA, constant USD).</w:t>
      </w:r>
    </w:p>
    <w:p>
      <w:pPr>
        <w:pStyle w:val="BodyText"/>
      </w:pPr>
      <w:r>
        <w:t xml:space="preserve">Stars:</w:t>
      </w:r>
      <w:r>
        <w:t xml:space="preserve"> </w:t>
      </w:r>
      <w:r>
        <w:rPr>
          <w:b/>
          <w:bCs/>
          <w:i/>
          <w:iCs/>
        </w:rPr>
        <w:t xml:space="preserve">p&lt;0.01,</w:t>
      </w:r>
      <w:r>
        <w:rPr>
          <w:b/>
          <w:bCs/>
          <w:i/>
          <w:iCs/>
        </w:rPr>
        <w:t xml:space="preserve"> </w:t>
      </w:r>
      <w:r>
        <w:rPr>
          <w:i/>
          <w:iCs/>
        </w:rPr>
        <w:t xml:space="preserve">p&lt;0.05,</w:t>
      </w:r>
      <w:r>
        <w:rPr>
          <w:i/>
          <w:iCs/>
        </w:rPr>
        <w:t xml:space="preserve"> </w:t>
      </w:r>
      <w:r>
        <w:t xml:space="preserve">p&lt;0.1.</w:t>
      </w:r>
    </w:p>
    <w:bookmarkStart w:id="125" w:name="hlo-outcome-all-sample"/>
    <w:p>
      <w:pPr>
        <w:pStyle w:val="Heading5"/>
      </w:pPr>
      <w:r>
        <w:t xml:space="preserve">HLO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8.170</w:t>
            </w:r>
          </w:p>
        </w:tc>
        <w:tc>
          <w:tcPr/>
          <w:p>
            <w:pPr>
              <w:pStyle w:val="Compact"/>
              <w:jc w:val="right"/>
            </w:pPr>
            <w:r>
              <w:t xml:space="preserve">4.912</w:t>
            </w:r>
          </w:p>
        </w:tc>
        <w:tc>
          <w:tcPr/>
          <w:p>
            <w:pPr>
              <w:pStyle w:val="Compact"/>
              <w:jc w:val="right"/>
            </w:pPr>
            <w:r>
              <w:t xml:space="preserve">0.1015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143</w:t>
            </w:r>
          </w:p>
        </w:tc>
        <w:tc>
          <w:tcPr/>
          <w:p>
            <w:pPr>
              <w:pStyle w:val="Compact"/>
              <w:jc w:val="right"/>
            </w:pPr>
            <w:r>
              <w:t xml:space="preserve">8.065</w:t>
            </w:r>
          </w:p>
        </w:tc>
        <w:tc>
          <w:tcPr/>
          <w:p>
            <w:pPr>
              <w:pStyle w:val="Compact"/>
              <w:jc w:val="right"/>
            </w:pPr>
            <w:r>
              <w:t xml:space="preserve">4.750</w:t>
            </w:r>
          </w:p>
        </w:tc>
        <w:tc>
          <w:tcPr/>
          <w:p>
            <w:pPr>
              <w:pStyle w:val="Compact"/>
              <w:jc w:val="right"/>
            </w:pPr>
            <w:r>
              <w:t xml:space="preserve">0.0947</w:t>
            </w:r>
          </w:p>
        </w:tc>
        <w:tc>
          <w:tcPr/>
          <w:p>
            <w:pPr>
              <w:pStyle w:val="Compact"/>
              <w:jc w:val="left"/>
            </w:pPr>
            <w:r>
              <w:t xml:space="preserve">*</w:t>
            </w: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-0.255</w:t>
            </w:r>
          </w:p>
        </w:tc>
        <w:tc>
          <w:tcPr/>
          <w:p>
            <w:pPr>
              <w:pStyle w:val="Compact"/>
              <w:jc w:val="right"/>
            </w:pPr>
            <w:r>
              <w:t xml:space="preserve">0.765</w:t>
            </w:r>
          </w:p>
        </w:tc>
        <w:tc>
          <w:tcPr/>
          <w:p>
            <w:pPr>
              <w:pStyle w:val="Compact"/>
              <w:jc w:val="right"/>
            </w:pPr>
            <w:r>
              <w:t xml:space="preserve">0.7404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143</w:t>
            </w:r>
          </w:p>
        </w:tc>
        <w:tc>
          <w:tcPr/>
          <w:p>
            <w:pPr>
              <w:pStyle w:val="Compact"/>
              <w:jc w:val="right"/>
            </w:pPr>
            <w:r>
              <w:t xml:space="preserve">-0.352</w:t>
            </w:r>
          </w:p>
        </w:tc>
        <w:tc>
          <w:tcPr/>
          <w:p>
            <w:pPr>
              <w:pStyle w:val="Compact"/>
              <w:jc w:val="right"/>
            </w:pPr>
            <w:r>
              <w:t xml:space="preserve">1.120</w:t>
            </w:r>
          </w:p>
        </w:tc>
        <w:tc>
          <w:tcPr/>
          <w:p>
            <w:pPr>
              <w:pStyle w:val="Compact"/>
              <w:jc w:val="right"/>
            </w:pPr>
            <w:r>
              <w:t xml:space="preserve">0.7546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143</w:t>
            </w:r>
          </w:p>
        </w:tc>
        <w:tc>
          <w:tcPr/>
          <w:p>
            <w:pPr>
              <w:pStyle w:val="Compact"/>
              <w:jc w:val="right"/>
            </w:pPr>
            <w:r>
              <w:t xml:space="preserve">-0.274</w:t>
            </w:r>
          </w:p>
        </w:tc>
        <w:tc>
          <w:tcPr/>
          <w:p>
            <w:pPr>
              <w:pStyle w:val="Compact"/>
              <w:jc w:val="right"/>
            </w:pPr>
            <w:r>
              <w:t xml:space="preserve">0.768</w:t>
            </w:r>
          </w:p>
        </w:tc>
        <w:tc>
          <w:tcPr/>
          <w:p>
            <w:pPr>
              <w:pStyle w:val="Compact"/>
              <w:jc w:val="right"/>
            </w:pPr>
            <w:r>
              <w:t xml:space="preserve">0.7220</w:t>
            </w:r>
          </w:p>
        </w:tc>
        <w:tc>
          <w:tcPr/>
          <w:p>
            <w:pPr>
              <w:pStyle w:val="Compact"/>
            </w:pPr>
          </w:p>
        </w:tc>
      </w:tr>
    </w:tbl>
    <w:bookmarkEnd w:id="125"/>
    <w:bookmarkStart w:id="126" w:name="hlo-outcome-ssa-sample"/>
    <w:p>
      <w:pPr>
        <w:pStyle w:val="Heading5"/>
      </w:pPr>
      <w:r>
        <w:t xml:space="preserve">HLO outcome — SSA sample</w:t>
      </w:r>
    </w:p>
    <w:tbl>
      <w:tblPr>
        <w:tblStyle w:val="Table"/>
        <w:tblW w:type="pct" w:w="5000"/>
        <w:tblLayout w:type="fixed"/>
        <w:tblLook w:firstRow="1" w:lastRow="0" w:firstColumn="0" w:lastColumn="0" w:noHBand="0" w:noVBand="0" w:val="0020"/>
      </w:tblPr>
      <w:tblGrid>
        <w:gridCol w:w="653"/>
        <w:gridCol w:w="2776"/>
        <w:gridCol w:w="1877"/>
        <w:gridCol w:w="244"/>
        <w:gridCol w:w="571"/>
        <w:gridCol w:w="571"/>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-5.951</w:t>
            </w:r>
          </w:p>
        </w:tc>
        <w:tc>
          <w:tcPr/>
          <w:p>
            <w:pPr>
              <w:pStyle w:val="Compact"/>
              <w:jc w:val="right"/>
            </w:pPr>
            <w:r>
              <w:t xml:space="preserve">14.088</w:t>
            </w:r>
          </w:p>
        </w:tc>
        <w:tc>
          <w:tcPr/>
          <w:p>
            <w:pPr>
              <w:pStyle w:val="Compact"/>
              <w:jc w:val="right"/>
            </w:pPr>
            <w:r>
              <w:t xml:space="preserve">0.6770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52</w:t>
            </w:r>
          </w:p>
        </w:tc>
        <w:tc>
          <w:tcPr/>
          <w:p>
            <w:pPr>
              <w:pStyle w:val="Compact"/>
              <w:jc w:val="right"/>
            </w:pPr>
            <w:r>
              <w:t xml:space="preserve">-5.758</w:t>
            </w:r>
          </w:p>
        </w:tc>
        <w:tc>
          <w:tcPr/>
          <w:p>
            <w:pPr>
              <w:pStyle w:val="Compact"/>
              <w:jc w:val="right"/>
            </w:pPr>
            <w:r>
              <w:t xml:space="preserve">13.092</w:t>
            </w:r>
          </w:p>
        </w:tc>
        <w:tc>
          <w:tcPr/>
          <w:p>
            <w:pPr>
              <w:pStyle w:val="Compact"/>
              <w:jc w:val="right"/>
            </w:pPr>
            <w:r>
              <w:t xml:space="preserve">0.6645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-0.098</w:t>
            </w:r>
          </w:p>
        </w:tc>
        <w:tc>
          <w:tcPr/>
          <w:p>
            <w:pPr>
              <w:pStyle w:val="Compact"/>
              <w:jc w:val="right"/>
            </w:pPr>
            <w:r>
              <w:t xml:space="preserve">0.989</w:t>
            </w:r>
          </w:p>
        </w:tc>
        <w:tc>
          <w:tcPr/>
          <w:p>
            <w:pPr>
              <w:pStyle w:val="Compact"/>
              <w:jc w:val="right"/>
            </w:pPr>
            <w:r>
              <w:t xml:space="preserve">0.9223</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52</w:t>
            </w:r>
          </w:p>
        </w:tc>
        <w:tc>
          <w:tcPr/>
          <w:p>
            <w:pPr>
              <w:pStyle w:val="Compact"/>
              <w:jc w:val="right"/>
            </w:pPr>
            <w:r>
              <w:t xml:space="preserve">-0.604</w:t>
            </w:r>
          </w:p>
        </w:tc>
        <w:tc>
          <w:tcPr/>
          <w:p>
            <w:pPr>
              <w:pStyle w:val="Compact"/>
              <w:jc w:val="right"/>
            </w:pPr>
            <w:r>
              <w:t xml:space="preserve">1.408</w:t>
            </w:r>
          </w:p>
        </w:tc>
        <w:tc>
          <w:tcPr/>
          <w:p>
            <w:pPr>
              <w:pStyle w:val="Compact"/>
              <w:jc w:val="right"/>
            </w:pPr>
            <w:r>
              <w:t xml:space="preserve">0.6726</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52</w:t>
            </w:r>
          </w:p>
        </w:tc>
        <w:tc>
          <w:tcPr/>
          <w:p>
            <w:pPr>
              <w:pStyle w:val="Compact"/>
              <w:jc w:val="right"/>
            </w:pPr>
            <w:r>
              <w:t xml:space="preserve">-0.130</w:t>
            </w:r>
          </w:p>
        </w:tc>
        <w:tc>
          <w:tcPr/>
          <w:p>
            <w:pPr>
              <w:pStyle w:val="Compact"/>
              <w:jc w:val="right"/>
            </w:pPr>
            <w:r>
              <w:t xml:space="preserve">1.024</w:t>
            </w:r>
          </w:p>
        </w:tc>
        <w:tc>
          <w:tcPr/>
          <w:p>
            <w:pPr>
              <w:pStyle w:val="Compact"/>
              <w:jc w:val="right"/>
            </w:pPr>
            <w:r>
              <w:t xml:space="preserve">0.9005</w:t>
            </w:r>
          </w:p>
        </w:tc>
        <w:tc>
          <w:tcPr/>
          <w:p>
            <w:pPr>
              <w:pStyle w:val="Compact"/>
            </w:pPr>
          </w:p>
        </w:tc>
      </w:tr>
    </w:tbl>
    <w:bookmarkEnd w:id="126"/>
    <w:bookmarkStart w:id="127" w:name="lays-outcome-all-sample"/>
    <w:p>
      <w:pPr>
        <w:pStyle w:val="Heading5"/>
      </w:pPr>
      <w:r>
        <w:t xml:space="preserve">LAYS outcome — ALL sample</w:t>
      </w:r>
    </w:p>
    <w:tbl>
      <w:tblPr>
        <w:tblStyle w:val="Table"/>
        <w:tblW w:type="pct" w:w="5000"/>
        <w:tblLayout w:type="fixed"/>
        <w:tblLook w:firstRow="1" w:lastRow="0" w:firstColumn="0" w:lastColumn="0" w:noHBand="0" w:noVBand="0" w:val="0020"/>
      </w:tblPr>
      <w:tblGrid>
        <w:gridCol w:w="653"/>
        <w:gridCol w:w="2776"/>
        <w:gridCol w:w="1877"/>
        <w:gridCol w:w="326"/>
        <w:gridCol w:w="571"/>
        <w:gridCol w:w="489"/>
        <w:gridCol w:w="653"/>
        <w:gridCol w:w="571"/>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0.3940</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139</w:t>
            </w:r>
          </w:p>
        </w:tc>
        <w:tc>
          <w:tcPr/>
          <w:p>
            <w:pPr>
              <w:pStyle w:val="Compact"/>
              <w:jc w:val="right"/>
            </w:pPr>
            <w:r>
              <w:t xml:space="preserve">0.104</w:t>
            </w:r>
          </w:p>
        </w:tc>
        <w:tc>
          <w:tcPr/>
          <w:p>
            <w:pPr>
              <w:pStyle w:val="Compact"/>
              <w:jc w:val="right"/>
            </w:pPr>
            <w:r>
              <w:t xml:space="preserve">0.121</w:t>
            </w:r>
          </w:p>
        </w:tc>
        <w:tc>
          <w:tcPr/>
          <w:p>
            <w:pPr>
              <w:pStyle w:val="Compact"/>
              <w:jc w:val="right"/>
            </w:pPr>
            <w:r>
              <w:t xml:space="preserve">0.3964</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0.9864</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139</w:t>
            </w:r>
          </w:p>
        </w:tc>
        <w:tc>
          <w:tcPr/>
          <w:p>
            <w:pPr>
              <w:pStyle w:val="Compact"/>
              <w:jc w:val="right"/>
            </w:pPr>
            <w:r>
              <w:t xml:space="preserve">-0.001</w:t>
            </w:r>
          </w:p>
        </w:tc>
        <w:tc>
          <w:tcPr/>
          <w:p>
            <w:pPr>
              <w:pStyle w:val="Compact"/>
              <w:jc w:val="right"/>
            </w:pPr>
            <w:r>
              <w:t xml:space="preserve">0.019</w:t>
            </w:r>
          </w:p>
        </w:tc>
        <w:tc>
          <w:tcPr/>
          <w:p>
            <w:pPr>
              <w:pStyle w:val="Compact"/>
              <w:jc w:val="right"/>
            </w:pPr>
            <w:r>
              <w:t xml:space="preserve">0.9495</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139</w:t>
            </w:r>
          </w:p>
        </w:tc>
        <w:tc>
          <w:tcPr/>
          <w:p>
            <w:pPr>
              <w:pStyle w:val="Compact"/>
              <w:jc w:val="right"/>
            </w:pPr>
            <w:r>
              <w:t xml:space="preserve">0.000</w:t>
            </w:r>
          </w:p>
        </w:tc>
        <w:tc>
          <w:tcPr/>
          <w:p>
            <w:pPr>
              <w:pStyle w:val="Compact"/>
              <w:jc w:val="right"/>
            </w:pPr>
            <w:r>
              <w:t xml:space="preserve">0.013</w:t>
            </w:r>
          </w:p>
        </w:tc>
        <w:tc>
          <w:tcPr/>
          <w:p>
            <w:pPr>
              <w:pStyle w:val="Compact"/>
              <w:jc w:val="right"/>
            </w:pPr>
            <w:r>
              <w:t xml:space="preserve">0.9888</w:t>
            </w:r>
          </w:p>
        </w:tc>
        <w:tc>
          <w:tcPr/>
          <w:p>
            <w:pPr>
              <w:pStyle w:val="Compact"/>
            </w:pPr>
          </w:p>
        </w:tc>
      </w:tr>
    </w:tbl>
    <w:bookmarkEnd w:id="127"/>
    <w:bookmarkStart w:id="128" w:name="lays-outcome-ssa-sample"/>
    <w:p>
      <w:pPr>
        <w:pStyle w:val="Heading5"/>
      </w:pPr>
      <w:r>
        <w:t xml:space="preserve">LAYS outcome — SSA sample</w:t>
      </w:r>
    </w:p>
    <w:tbl>
      <w:tblPr>
        <w:tblStyle w:val="Table"/>
        <w:tblW w:type="pct" w:w="5000"/>
        <w:tblLayout w:type="fixed"/>
        <w:tblLook w:firstRow="1" w:lastRow="0" w:firstColumn="0" w:lastColumn="0" w:noHBand="0" w:noVBand="0" w:val="0020"/>
      </w:tblPr>
      <w:tblGrid>
        <w:gridCol w:w="666"/>
        <w:gridCol w:w="2834"/>
        <w:gridCol w:w="1917"/>
        <w:gridCol w:w="250"/>
        <w:gridCol w:w="500"/>
        <w:gridCol w:w="500"/>
        <w:gridCol w:w="666"/>
        <w:gridCol w:w="583"/>
      </w:tblGrid>
      <w:tr>
        <w:trPr>
          <w:tblHeader w:val="on"/>
        </w:trPr>
        <w:tc>
          <w:tcPr/>
          <w:p>
            <w:pPr>
              <w:pStyle w:val="Compact"/>
              <w:jc w:val="left"/>
            </w:pPr>
            <w:r>
              <w:t xml:space="preserve">spec_id</w:t>
            </w:r>
          </w:p>
        </w:tc>
        <w:tc>
          <w:tcPr/>
          <w:p>
            <w:pPr>
              <w:pStyle w:val="Compact"/>
              <w:jc w:val="left"/>
            </w:pPr>
            <w:r>
              <w:t xml:space="preserve">spec_label</w:t>
            </w:r>
          </w:p>
        </w:tc>
        <w:tc>
          <w:tcPr/>
          <w:p>
            <w:pPr>
              <w:pStyle w:val="Compact"/>
              <w:jc w:val="left"/>
            </w:pPr>
            <w:r>
              <w:t xml:space="preserve">coef_label</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c>
          <w:tcPr/>
          <w:p>
            <w:pPr>
              <w:pStyle w:val="Compact"/>
              <w:jc w:val="left"/>
            </w:pPr>
            <w:r>
              <w:t xml:space="preserve">signif</w:t>
            </w:r>
          </w:p>
        </w:tc>
      </w:tr>
      <w:tr>
        <w:tc>
          <w:tcPr/>
          <w:p>
            <w:pPr>
              <w:pStyle w:val="Compact"/>
              <w:jc w:val="left"/>
            </w:pPr>
            <w:r>
              <w:t xml:space="preserve">A</w:t>
            </w:r>
          </w:p>
        </w:tc>
        <w:tc>
          <w:tcPr/>
          <w:p>
            <w:pPr>
              <w:pStyle w:val="Compact"/>
              <w:jc w:val="left"/>
            </w:pPr>
            <w:r>
              <w:t xml:space="preserve">OECD-only (Session-03 lock)</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0.232</w:t>
            </w:r>
          </w:p>
        </w:tc>
        <w:tc>
          <w:tcPr/>
          <w:p>
            <w:pPr>
              <w:pStyle w:val="Compact"/>
              <w:jc w:val="right"/>
            </w:pPr>
            <w:r>
              <w:t xml:space="preserve">0.474</w:t>
            </w:r>
          </w:p>
        </w:tc>
        <w:tc>
          <w:tcPr/>
          <w:p>
            <w:pPr>
              <w:pStyle w:val="Compact"/>
              <w:jc w:val="right"/>
            </w:pPr>
            <w:r>
              <w:t xml:space="preserve">0.6302</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log(1+CRS_strict)</w:t>
            </w:r>
          </w:p>
        </w:tc>
        <w:tc>
          <w:tcPr/>
          <w:p>
            <w:pPr>
              <w:pStyle w:val="Compact"/>
              <w:jc w:val="right"/>
            </w:pPr>
            <w:r>
              <w:t xml:space="preserve">50</w:t>
            </w:r>
          </w:p>
        </w:tc>
        <w:tc>
          <w:tcPr/>
          <w:p>
            <w:pPr>
              <w:pStyle w:val="Compact"/>
              <w:jc w:val="right"/>
            </w:pPr>
            <w:r>
              <w:t xml:space="preserve">0.180</w:t>
            </w:r>
          </w:p>
        </w:tc>
        <w:tc>
          <w:tcPr/>
          <w:p>
            <w:pPr>
              <w:pStyle w:val="Compact"/>
              <w:jc w:val="right"/>
            </w:pPr>
            <w:r>
              <w:t xml:space="preserve">0.460</w:t>
            </w:r>
          </w:p>
        </w:tc>
        <w:tc>
          <w:tcPr/>
          <w:p>
            <w:pPr>
              <w:pStyle w:val="Compact"/>
              <w:jc w:val="right"/>
            </w:pPr>
            <w:r>
              <w:t xml:space="preserve">0.7005</w:t>
            </w:r>
          </w:p>
        </w:tc>
        <w:tc>
          <w:tcPr/>
          <w:p>
            <w:pPr>
              <w:pStyle w:val="Compact"/>
            </w:pPr>
          </w:p>
        </w:tc>
      </w:tr>
      <w:tr>
        <w:tc>
          <w:tcPr/>
          <w:p>
            <w:pPr>
              <w:pStyle w:val="Compact"/>
              <w:jc w:val="left"/>
            </w:pPr>
            <w:r>
              <w:t xml:space="preserve">B</w:t>
            </w:r>
          </w:p>
        </w:tc>
        <w:tc>
          <w:tcPr/>
          <w:p>
            <w:pPr>
              <w:pStyle w:val="Compact"/>
              <w:jc w:val="left"/>
            </w:pPr>
            <w:r>
              <w:t xml:space="preserve">OECD + GCDF (lock criterion test)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0.017</w:t>
            </w:r>
          </w:p>
        </w:tc>
        <w:tc>
          <w:tcPr/>
          <w:p>
            <w:pPr>
              <w:pStyle w:val="Compact"/>
              <w:jc w:val="right"/>
            </w:pPr>
            <w:r>
              <w:t xml:space="preserve">0.4447</w:t>
            </w:r>
          </w:p>
        </w:tc>
        <w:tc>
          <w:tcPr/>
          <w:p>
            <w:pPr>
              <w:pStyle w:val="Compact"/>
            </w:pPr>
          </w:p>
        </w:tc>
      </w:tr>
      <w:tr>
        <w:tc>
          <w:tcPr/>
          <w:p>
            <w:pPr>
              <w:pStyle w:val="Compact"/>
              <w:jc w:val="left"/>
            </w:pPr>
            <w:r>
              <w:t xml:space="preserve">C</w:t>
            </w:r>
          </w:p>
        </w:tc>
        <w:tc>
          <w:tcPr/>
          <w:p>
            <w:pPr>
              <w:pStyle w:val="Compact"/>
              <w:jc w:val="left"/>
            </w:pPr>
            <w:r>
              <w:t xml:space="preserve">Combined OECD+GCDF treatment</w:t>
            </w:r>
          </w:p>
        </w:tc>
        <w:tc>
          <w:tcPr/>
          <w:p>
            <w:pPr>
              <w:pStyle w:val="Compact"/>
              <w:jc w:val="left"/>
            </w:pPr>
            <w:r>
              <w:t xml:space="preserve">log(1+CRS+GCDF strict)</w:t>
            </w:r>
          </w:p>
        </w:tc>
        <w:tc>
          <w:tcPr/>
          <w:p>
            <w:pPr>
              <w:pStyle w:val="Compact"/>
              <w:jc w:val="right"/>
            </w:pPr>
            <w:r>
              <w:t xml:space="preserve">50</w:t>
            </w:r>
          </w:p>
        </w:tc>
        <w:tc>
          <w:tcPr/>
          <w:p>
            <w:pPr>
              <w:pStyle w:val="Compact"/>
              <w:jc w:val="right"/>
            </w:pPr>
            <w:r>
              <w:t xml:space="preserve">0.013</w:t>
            </w:r>
          </w:p>
        </w:tc>
        <w:tc>
          <w:tcPr/>
          <w:p>
            <w:pPr>
              <w:pStyle w:val="Compact"/>
              <w:jc w:val="right"/>
            </w:pPr>
            <w:r>
              <w:t xml:space="preserve">0.024</w:t>
            </w:r>
          </w:p>
        </w:tc>
        <w:tc>
          <w:tcPr/>
          <w:p>
            <w:pPr>
              <w:pStyle w:val="Compact"/>
              <w:jc w:val="right"/>
            </w:pPr>
            <w:r>
              <w:t xml:space="preserve">0.5999</w:t>
            </w:r>
          </w:p>
        </w:tc>
        <w:tc>
          <w:tcPr/>
          <w:p>
            <w:pPr>
              <w:pStyle w:val="Compact"/>
            </w:pPr>
          </w:p>
        </w:tc>
      </w:tr>
      <w:tr>
        <w:tc>
          <w:tcPr/>
          <w:p>
            <w:pPr>
              <w:pStyle w:val="Compact"/>
              <w:jc w:val="left"/>
            </w:pPr>
            <w:r>
              <w:t xml:space="preserve">D</w:t>
            </w:r>
          </w:p>
        </w:tc>
        <w:tc>
          <w:tcPr/>
          <w:p>
            <w:pPr>
              <w:pStyle w:val="Compact"/>
              <w:jc w:val="left"/>
            </w:pPr>
            <w:r>
              <w:t xml:space="preserve">GCDF-only treatment</w:t>
            </w:r>
          </w:p>
        </w:tc>
        <w:tc>
          <w:tcPr/>
          <w:p>
            <w:pPr>
              <w:pStyle w:val="Compact"/>
              <w:jc w:val="left"/>
            </w:pPr>
            <w:r>
              <w:t xml:space="preserve">log(1+GCDF_strict)</w:t>
            </w:r>
          </w:p>
        </w:tc>
        <w:tc>
          <w:tcPr/>
          <w:p>
            <w:pPr>
              <w:pStyle w:val="Compact"/>
              <w:jc w:val="right"/>
            </w:pPr>
            <w:r>
              <w:t xml:space="preserve">50</w:t>
            </w:r>
          </w:p>
        </w:tc>
        <w:tc>
          <w:tcPr/>
          <w:p>
            <w:pPr>
              <w:pStyle w:val="Compact"/>
              <w:jc w:val="right"/>
            </w:pPr>
            <w:r>
              <w:t xml:space="preserve">0.015</w:t>
            </w:r>
          </w:p>
        </w:tc>
        <w:tc>
          <w:tcPr/>
          <w:p>
            <w:pPr>
              <w:pStyle w:val="Compact"/>
              <w:jc w:val="right"/>
            </w:pPr>
            <w:r>
              <w:t xml:space="preserve">0.017</w:t>
            </w:r>
          </w:p>
        </w:tc>
        <w:tc>
          <w:tcPr/>
          <w:p>
            <w:pPr>
              <w:pStyle w:val="Compact"/>
              <w:jc w:val="right"/>
            </w:pPr>
            <w:r>
              <w:t xml:space="preserve">0.3980</w:t>
            </w:r>
          </w:p>
        </w:tc>
        <w:tc>
          <w:tcPr/>
          <w:p>
            <w:pPr>
              <w:pStyle w:val="Compact"/>
            </w:pPr>
          </w:p>
        </w:tc>
      </w:tr>
    </w:tbl>
    <w:bookmarkEnd w:id="128"/>
    <w:bookmarkEnd w:id="129"/>
    <w:bookmarkEnd w:id="130"/>
    <w:bookmarkStart w:id="132" w:name="X20a970173b305a008b34a11d8a04c8e21a62cfe"/>
    <w:p>
      <w:pPr>
        <w:pStyle w:val="Heading2"/>
      </w:pPr>
      <w:r>
        <w:t xml:space="preserve">B.4 HLO measure-fragility — AAP-2018 full + overlap (ADR-0004)</w:t>
      </w:r>
    </w:p>
    <w:bookmarkStart w:id="131" w:name="X6ce510fd7961764c78c2f5a678b1ee6e83d1342"/>
    <w:p>
      <w:pPr>
        <w:pStyle w:val="Heading4"/>
      </w:pPr>
      <w:r>
        <w:t xml:space="preserve">Pass 1 — HLO measure sensitivity (ADR-0004 principal robustness)</w:t>
      </w:r>
    </w:p>
    <w:p>
      <w:pPr>
        <w:pStyle w:val="FirstParagraph"/>
      </w:pPr>
      <w:r>
        <w:t xml:space="preserve">Refit of Model 2 spec 2e (locked encoding: log_crs_strict + log_gdp_pc + wdi_ptr_primary + wdi_edu_exp_pct_gdp + wgi_pc1; two-way FE country + year; country-clustered SE) with the AAP-2018 harmonized learning outcome (</w:t>
      </w:r>
      <w:r>
        <w:rPr>
          <w:rStyle w:val="VerbatimChar"/>
        </w:rPr>
        <w:t xml:space="preserve">aap_hlo_aap</w:t>
      </w:r>
      <w:r>
        <w:t xml:space="preserve">) substituted for the WB primary measure.</w:t>
      </w:r>
    </w:p>
    <w:p>
      <w:pPr>
        <w:pStyle w:val="BodyText"/>
      </w:pPr>
      <w:r>
        <w:rPr>
          <w:b/>
          <w:bCs/>
        </w:rPr>
        <w:t xml:space="preserve">Two AAP-2018 specifications</w:t>
      </w:r>
      <w:r>
        <w:t xml:space="preserve"> </w:t>
      </w:r>
      <w:r>
        <w:t xml:space="preserve">to disentangle measure-choice vs sample-window effects:</w:t>
      </w:r>
    </w:p>
    <w:p>
      <w:pPr>
        <w:pStyle w:val="Compact"/>
        <w:numPr>
          <w:ilvl w:val="0"/>
          <w:numId w:val="1004"/>
        </w:numPr>
      </w:pPr>
      <w:r>
        <w:rPr>
          <w:b/>
          <w:bCs/>
        </w:rPr>
        <w:t xml:space="preserve">AAP full coverage</w:t>
      </w:r>
      <w:r>
        <w:t xml:space="preserve"> </w:t>
      </w:r>
      <w:r>
        <w:t xml:space="preserve">— N = 69 rows, 62 countries, year range 2005-2015 (5 AAP cycles).</w:t>
      </w:r>
    </w:p>
    <w:p>
      <w:pPr>
        <w:pStyle w:val="Compact"/>
        <w:numPr>
          <w:ilvl w:val="0"/>
          <w:numId w:val="1004"/>
        </w:numPr>
      </w:pPr>
      <w:r>
        <w:rPr>
          <w:b/>
          <w:bCs/>
        </w:rPr>
        <w:t xml:space="preserve">AAP overlap window (year ≥ 2010)</w:t>
      </w:r>
      <w:r>
        <w:t xml:space="preserve"> </w:t>
      </w:r>
      <w:r>
        <w:t xml:space="preserve">— N = 36 rows, 42 countries (2 AAP cycles in primary window).</w:t>
      </w:r>
    </w:p>
    <w:tbl>
      <w:tblPr>
        <w:tblStyle w:val="Table"/>
        <w:tblW w:type="pct" w:w="5000"/>
        <w:tblLayout w:type="fixed"/>
        <w:tblLook w:firstRow="1" w:lastRow="0" w:firstColumn="0" w:lastColumn="0" w:noHBand="0" w:noVBand="0" w:val="0020"/>
      </w:tblPr>
      <w:tblGrid>
        <w:gridCol w:w="3909"/>
        <w:gridCol w:w="1403"/>
        <w:gridCol w:w="401"/>
        <w:gridCol w:w="802"/>
        <w:gridCol w:w="601"/>
        <w:gridCol w:w="802"/>
      </w:tblGrid>
      <w:tr>
        <w:trPr>
          <w:tblHeader w:val="on"/>
        </w:trPr>
        <w:tc>
          <w:tcPr/>
          <w:p>
            <w:pPr>
              <w:pStyle w:val="Compact"/>
              <w:jc w:val="left"/>
            </w:pPr>
            <w:r>
              <w:t xml:space="preserve">spec</w:t>
            </w:r>
          </w:p>
        </w:tc>
        <w:tc>
          <w:tcPr/>
          <w:p>
            <w:pPr>
              <w:pStyle w:val="Compact"/>
              <w:jc w:val="left"/>
            </w:pPr>
            <w:r>
              <w:t xml:space="preserve">outcome</w:t>
            </w:r>
          </w:p>
        </w:tc>
        <w:tc>
          <w:tcPr/>
          <w:p>
            <w:pPr>
              <w:pStyle w:val="Compact"/>
              <w:jc w:val="right"/>
            </w:pPr>
            <w:r>
              <w:t xml:space="preserve">N</w:t>
            </w:r>
          </w:p>
        </w:tc>
        <w:tc>
          <w:tcPr/>
          <w:p>
            <w:pPr>
              <w:pStyle w:val="Compact"/>
              <w:jc w:val="right"/>
            </w:pPr>
            <w:r>
              <w:t xml:space="preserve">beta</w:t>
            </w:r>
          </w:p>
        </w:tc>
        <w:tc>
          <w:tcPr/>
          <w:p>
            <w:pPr>
              <w:pStyle w:val="Compact"/>
              <w:jc w:val="right"/>
            </w:pPr>
            <w:r>
              <w:t xml:space="preserve">se</w:t>
            </w:r>
          </w:p>
        </w:tc>
        <w:tc>
          <w:tcPr/>
          <w:p>
            <w:pPr>
              <w:pStyle w:val="Compact"/>
              <w:jc w:val="right"/>
            </w:pPr>
            <w:r>
              <w:t xml:space="preserve">p_value</w:t>
            </w:r>
          </w:p>
        </w:tc>
      </w:tr>
      <w:tr>
        <w:tc>
          <w:tcPr/>
          <w:p>
            <w:pPr>
              <w:pStyle w:val="Compact"/>
              <w:jc w:val="left"/>
            </w:pPr>
            <w:r>
              <w:t xml:space="preserve">Primary (WB HD.HCI.HLOS, 2010-2020)</w:t>
            </w:r>
          </w:p>
        </w:tc>
        <w:tc>
          <w:tcPr/>
          <w:p>
            <w:pPr>
              <w:pStyle w:val="Compact"/>
              <w:jc w:val="left"/>
            </w:pPr>
            <w:r>
              <w:t xml:space="preserve">hlo_hlo_score</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NA</w:t>
            </w:r>
          </w:p>
        </w:tc>
      </w:tr>
      <w:tr>
        <w:tc>
          <w:tcPr/>
          <w:p>
            <w:pPr>
              <w:pStyle w:val="Compact"/>
              <w:jc w:val="left"/>
            </w:pPr>
            <w:r>
              <w:t xml:space="preserve">AAP-2018 full coverage (1995-2015)</w:t>
            </w:r>
          </w:p>
        </w:tc>
        <w:tc>
          <w:tcPr/>
          <w:p>
            <w:pPr>
              <w:pStyle w:val="Compact"/>
              <w:jc w:val="left"/>
            </w:pPr>
            <w:r>
              <w:t xml:space="preserve">aap_hlo_aap</w:t>
            </w:r>
          </w:p>
        </w:tc>
        <w:tc>
          <w:tcPr/>
          <w:p>
            <w:pPr>
              <w:pStyle w:val="Compact"/>
              <w:jc w:val="right"/>
            </w:pPr>
            <w:r>
              <w:t xml:space="preserve">69</w:t>
            </w:r>
          </w:p>
        </w:tc>
        <w:tc>
          <w:tcPr/>
          <w:p>
            <w:pPr>
              <w:pStyle w:val="Compact"/>
              <w:jc w:val="right"/>
            </w:pPr>
            <w:r>
              <w:t xml:space="preserve">-16.673</w:t>
            </w:r>
          </w:p>
        </w:tc>
        <w:tc>
          <w:tcPr/>
          <w:p>
            <w:pPr>
              <w:pStyle w:val="Compact"/>
              <w:jc w:val="right"/>
            </w:pPr>
            <w:r>
              <w:t xml:space="preserve">5.965</w:t>
            </w:r>
          </w:p>
        </w:tc>
        <w:tc>
          <w:tcPr/>
          <w:p>
            <w:pPr>
              <w:pStyle w:val="Compact"/>
              <w:jc w:val="right"/>
            </w:pPr>
            <w:r>
              <w:t xml:space="preserve">0.0094</w:t>
            </w:r>
          </w:p>
        </w:tc>
      </w:tr>
      <w:tr>
        <w:tc>
          <w:tcPr/>
          <w:p>
            <w:pPr>
              <w:pStyle w:val="Compact"/>
              <w:jc w:val="left"/>
            </w:pPr>
            <w:r>
              <w:t xml:space="preserve">AAP-2018 overlap window (year &gt;= 2010)</w:t>
            </w:r>
          </w:p>
        </w:tc>
        <w:tc>
          <w:tcPr/>
          <w:p>
            <w:pPr>
              <w:pStyle w:val="Compact"/>
              <w:jc w:val="left"/>
            </w:pPr>
            <w:r>
              <w:t xml:space="preserve">aap_hlo_aap</w:t>
            </w:r>
          </w:p>
        </w:tc>
        <w:tc>
          <w:tcPr/>
          <w:p>
            <w:pPr>
              <w:pStyle w:val="Compact"/>
              <w:jc w:val="right"/>
            </w:pPr>
            <w:r>
              <w:t xml:space="preserve">36</w:t>
            </w:r>
          </w:p>
        </w:tc>
        <w:tc>
          <w:tcPr/>
          <w:p>
            <w:pPr>
              <w:pStyle w:val="Compact"/>
              <w:jc w:val="right"/>
            </w:pPr>
            <w:r>
              <w:t xml:space="preserve">-3.941</w:t>
            </w:r>
          </w:p>
        </w:tc>
        <w:tc>
          <w:tcPr/>
          <w:p>
            <w:pPr>
              <w:pStyle w:val="Compact"/>
              <w:jc w:val="right"/>
            </w:pPr>
            <w:r>
              <w:t xml:space="preserve">8.682</w:t>
            </w:r>
          </w:p>
        </w:tc>
        <w:tc>
          <w:tcPr/>
          <w:p>
            <w:pPr>
              <w:pStyle w:val="Compact"/>
              <w:jc w:val="right"/>
            </w:pPr>
            <w:r>
              <w:t xml:space="preserve">0.6556</w:t>
            </w:r>
          </w:p>
        </w:tc>
      </w:tr>
    </w:tbl>
    <w:p>
      <w:pPr>
        <w:pStyle w:val="BodyText"/>
      </w:pPr>
      <w:r>
        <w:rPr>
          <w:b/>
          <w:bCs/>
        </w:rPr>
        <w:t xml:space="preserve">Sign agreement (primary vs AAP full):</w:t>
      </w:r>
      <w:r>
        <w:t xml:space="preserve"> </w:t>
      </w:r>
      <w:r>
        <w:t xml:space="preserve">✗ DIFFERENT SIGN</w:t>
      </w:r>
      <w:r>
        <w:t xml:space="preserve"> </w:t>
      </w:r>
      <w:r>
        <w:rPr>
          <w:b/>
          <w:bCs/>
        </w:rPr>
        <w:t xml:space="preserve">Within-CI agreement (full):</w:t>
      </w:r>
      <w:r>
        <w:t xml:space="preserve"> </w:t>
      </w:r>
      <w:r>
        <w:t xml:space="preserve">✗ outside-CI</w:t>
      </w:r>
      <w:r>
        <w:t xml:space="preserve"> </w:t>
      </w:r>
      <w:r>
        <w:rPr>
          <w:b/>
          <w:bCs/>
        </w:rPr>
        <w:t xml:space="preserve">Sign agreement (primary vs AAP overlap-window):</w:t>
      </w:r>
      <w:r>
        <w:t xml:space="preserve"> </w:t>
      </w:r>
      <w:r>
        <w:t xml:space="preserve">✗ DIFFERENT SIGN</w:t>
      </w:r>
    </w:p>
    <w:p>
      <w:pPr>
        <w:pStyle w:val="BodyText"/>
      </w:pPr>
      <w:r>
        <w:rPr>
          <w:b/>
          <w:bCs/>
        </w:rPr>
        <w:t xml:space="preserve">Reading per methodology §3.4:</w:t>
      </w:r>
      <w:r>
        <w:t xml:space="preserve"> </w:t>
      </w:r>
      <w:r>
        <w:t xml:space="preserve">“the within-country coefficient must be the same sign and within-CI magnitude across the primary and AAP-2018 specifications for the headline claim to stand.”</w:t>
      </w:r>
      <w:r>
        <w:t xml:space="preserve"> </w:t>
      </w:r>
      <w:r>
        <w:t xml:space="preserve">The two AAP variants test whether any sign disagreement is driven by</w:t>
      </w:r>
      <w:r>
        <w:t xml:space="preserve"> </w:t>
      </w:r>
      <w:r>
        <w:rPr>
          <w:i/>
          <w:iCs/>
        </w:rPr>
        <w:t xml:space="preserve">measure choice</w:t>
      </w:r>
      <w:r>
        <w:t xml:space="preserve"> </w:t>
      </w:r>
      <w:r>
        <w:t xml:space="preserve">(AAP harmonization vs WB HCI) or by</w:t>
      </w:r>
      <w:r>
        <w:t xml:space="preserve"> </w:t>
      </w:r>
      <w:r>
        <w:rPr>
          <w:i/>
          <w:iCs/>
        </w:rPr>
        <w:t xml:space="preserve">sample-window composition</w:t>
      </w:r>
      <w:r>
        <w:t xml:space="preserve"> </w:t>
      </w:r>
      <w:r>
        <w:t xml:space="preserve">(AAP’s pre-2010 epoch vs primary’s 2010-2020). If full-AAP and overlap-AAP agree → measure-effect. If they disagree → window-effect.</w:t>
      </w:r>
    </w:p>
    <w:bookmarkEnd w:id="131"/>
    <w:bookmarkEnd w:id="132"/>
    <w:bookmarkStart w:id="134" w:name="X7dc7a8510f3b771e46d31a9f2678e4f8003b1e1"/>
    <w:p>
      <w:pPr>
        <w:pStyle w:val="Heading2"/>
      </w:pPr>
      <w:r>
        <w:t xml:space="preserve">B.5 UIS-augmented listwise (ADR-0006 Robustness 1)</w:t>
      </w:r>
    </w:p>
    <w:bookmarkStart w:id="133" w:name="Xd199ed3128ba45ca7eae48cdfdbc5e7b3ddeae7"/>
    <w:p>
      <w:pPr>
        <w:pStyle w:val="Heading4"/>
      </w:pPr>
      <w:r>
        <w:t xml:space="preserve">Pass 1 — UIS-augmented listwise (ADR-0006 Robustness 1)</w:t>
      </w:r>
    </w:p>
    <w:p>
      <w:pPr>
        <w:pStyle w:val="FirstParagraph"/>
      </w:pPr>
      <w:r>
        <w:t xml:space="preserve">Refit of Model 2 spec 2e with</w:t>
      </w:r>
      <w:r>
        <w:t xml:space="preserve"> </w:t>
      </w:r>
      <w:r>
        <w:rPr>
          <w:rStyle w:val="VerbatimChar"/>
        </w:rPr>
        <w:t xml:space="preserve">uis_priv_exp_pct_gdp</w:t>
      </w:r>
      <w:r>
        <w:t xml:space="preserve"> </w:t>
      </w:r>
      <w:r>
        <w:t xml:space="preserve">added to the regressor stack. Listwise-complete subset on the 2010-2020 primary window. Per ADR-0006, this is</w:t>
      </w:r>
      <w:r>
        <w:t xml:space="preserve"> </w:t>
      </w:r>
      <w:r>
        <w:rPr>
          <w:i/>
          <w:iCs/>
        </w:rPr>
        <w:t xml:space="preserve">Robustness 1</w:t>
      </w:r>
      <w:r>
        <w:t xml:space="preserve"> </w:t>
      </w:r>
      <w:r>
        <w:t xml:space="preserve">of three originally committed (Robustness 2 = MI, now retired per ADR-0012; Robustness 3 = the primary UIS-dropped spec).</w:t>
      </w:r>
    </w:p>
    <w:p>
      <w:pPr>
        <w:pStyle w:val="BodyText"/>
      </w:pPr>
      <w:r>
        <w:rPr>
          <w:b/>
          <w:bCs/>
        </w:rPr>
        <w:t xml:space="preserve">UIS-augmented listwise N = 41</w:t>
      </w:r>
      <w:r>
        <w:t xml:space="preserve"> </w:t>
      </w:r>
      <w:r>
        <w:t xml:space="preserve">vs primary N = 143 (~71% sample loss adding UIS).</w:t>
      </w:r>
    </w:p>
    <w:tbl>
      <w:tblPr>
        <w:tblStyle w:val="Table"/>
        <w:tblW w:type="pct" w:w="5000"/>
        <w:tblLayout w:type="fixed"/>
        <w:tblLook w:firstRow="1" w:lastRow="0" w:firstColumn="0" w:lastColumn="0" w:noHBand="0" w:noVBand="0" w:val="0020"/>
      </w:tblPr>
      <w:tblGrid>
        <w:gridCol w:w="2925"/>
        <w:gridCol w:w="285"/>
        <w:gridCol w:w="642"/>
        <w:gridCol w:w="499"/>
        <w:gridCol w:w="713"/>
        <w:gridCol w:w="713"/>
        <w:gridCol w:w="499"/>
        <w:gridCol w:w="642"/>
        <w:gridCol w:w="499"/>
        <w:gridCol w:w="499"/>
      </w:tblGrid>
      <w:tr>
        <w:trPr>
          <w:tblHeader w:val="on"/>
        </w:trPr>
        <w:tc>
          <w:tcPr/>
          <w:p>
            <w:pPr>
              <w:pStyle w:val="Compact"/>
              <w:jc w:val="left"/>
            </w:pPr>
            <w:r>
              <w:t xml:space="preserve">spec</w:t>
            </w:r>
          </w:p>
        </w:tc>
        <w:tc>
          <w:tcPr/>
          <w:p>
            <w:pPr>
              <w:pStyle w:val="Compact"/>
              <w:jc w:val="right"/>
            </w:pPr>
            <w:r>
              <w:t xml:space="preserve">N</w:t>
            </w:r>
          </w:p>
        </w:tc>
        <w:tc>
          <w:tcPr/>
          <w:p>
            <w:pPr>
              <w:pStyle w:val="Compact"/>
              <w:jc w:val="right"/>
            </w:pPr>
            <w:r>
              <w:t xml:space="preserve">beta_ODA</w:t>
            </w:r>
          </w:p>
        </w:tc>
        <w:tc>
          <w:tcPr/>
          <w:p>
            <w:pPr>
              <w:pStyle w:val="Compact"/>
              <w:jc w:val="right"/>
            </w:pPr>
            <w:r>
              <w:t xml:space="preserve">se_ODA</w:t>
            </w:r>
          </w:p>
        </w:tc>
        <w:tc>
          <w:tcPr/>
          <w:p>
            <w:pPr>
              <w:pStyle w:val="Compact"/>
              <w:jc w:val="right"/>
            </w:pPr>
            <w:r>
              <w:t xml:space="preserve">ci_lo_ODA</w:t>
            </w:r>
          </w:p>
        </w:tc>
        <w:tc>
          <w:tcPr/>
          <w:p>
            <w:pPr>
              <w:pStyle w:val="Compact"/>
              <w:jc w:val="right"/>
            </w:pPr>
            <w:r>
              <w:t xml:space="preserve">ci_hi_ODA</w:t>
            </w:r>
          </w:p>
        </w:tc>
        <w:tc>
          <w:tcPr/>
          <w:p>
            <w:pPr>
              <w:pStyle w:val="Compact"/>
              <w:jc w:val="right"/>
            </w:pPr>
            <w:r>
              <w:t xml:space="preserve">p_ODA</w:t>
            </w:r>
          </w:p>
        </w:tc>
        <w:tc>
          <w:tcPr/>
          <w:p>
            <w:pPr>
              <w:pStyle w:val="Compact"/>
              <w:jc w:val="right"/>
            </w:pPr>
            <w:r>
              <w:t xml:space="preserve">beta_UIS</w:t>
            </w:r>
          </w:p>
        </w:tc>
        <w:tc>
          <w:tcPr/>
          <w:p>
            <w:pPr>
              <w:pStyle w:val="Compact"/>
              <w:jc w:val="right"/>
            </w:pPr>
            <w:r>
              <w:t xml:space="preserve">se_UIS</w:t>
            </w:r>
          </w:p>
        </w:tc>
        <w:tc>
          <w:tcPr/>
          <w:p>
            <w:pPr>
              <w:pStyle w:val="Compact"/>
              <w:jc w:val="right"/>
            </w:pPr>
            <w:r>
              <w:t xml:space="preserve">p_UIS</w:t>
            </w:r>
          </w:p>
        </w:tc>
      </w:tr>
      <w:tr>
        <w:tc>
          <w:tcPr/>
          <w:p>
            <w:pPr>
              <w:pStyle w:val="Compact"/>
              <w:jc w:val="left"/>
            </w:pPr>
            <w:r>
              <w:t xml:space="preserve">Primary (UIS dropped, ADR-0006 Option 3)</w:t>
            </w:r>
          </w:p>
        </w:tc>
        <w:tc>
          <w:tcPr/>
          <w:p>
            <w:pPr>
              <w:pStyle w:val="Compact"/>
              <w:jc w:val="right"/>
            </w:pPr>
            <w:r>
              <w:t xml:space="preserve">143</w:t>
            </w:r>
          </w:p>
        </w:tc>
        <w:tc>
          <w:tcPr/>
          <w:p>
            <w:pPr>
              <w:pStyle w:val="Compact"/>
              <w:jc w:val="right"/>
            </w:pPr>
            <w:r>
              <w:t xml:space="preserve">11.136</w:t>
            </w:r>
          </w:p>
        </w:tc>
        <w:tc>
          <w:tcPr/>
          <w:p>
            <w:pPr>
              <w:pStyle w:val="Compact"/>
              <w:jc w:val="right"/>
            </w:pPr>
            <w:r>
              <w:t xml:space="preserve">5.518</w:t>
            </w:r>
          </w:p>
        </w:tc>
        <w:tc>
          <w:tcPr/>
          <w:p>
            <w:pPr>
              <w:pStyle w:val="Compact"/>
              <w:jc w:val="right"/>
            </w:pPr>
            <w:r>
              <w:t xml:space="preserve">0.3207</w:t>
            </w:r>
          </w:p>
        </w:tc>
        <w:tc>
          <w:tcPr/>
          <w:p>
            <w:pPr>
              <w:pStyle w:val="Compact"/>
              <w:jc w:val="right"/>
            </w:pPr>
            <w:r>
              <w:t xml:space="preserve">21.951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r>
      <w:tr>
        <w:tc>
          <w:tcPr/>
          <w:p>
            <w:pPr>
              <w:pStyle w:val="Compact"/>
              <w:jc w:val="left"/>
            </w:pPr>
            <w:r>
              <w:t xml:space="preserve">Robustness 1 (UIS-augmented listwise)</w:t>
            </w:r>
          </w:p>
        </w:tc>
        <w:tc>
          <w:tcPr/>
          <w:p>
            <w:pPr>
              <w:pStyle w:val="Compact"/>
              <w:jc w:val="right"/>
            </w:pPr>
            <w:r>
              <w:t xml:space="preserve">41</w:t>
            </w:r>
          </w:p>
        </w:tc>
        <w:tc>
          <w:tcPr/>
          <w:p>
            <w:pPr>
              <w:pStyle w:val="Compact"/>
              <w:jc w:val="right"/>
            </w:pPr>
            <w:r>
              <w:t xml:space="preserve">-1.967</w:t>
            </w:r>
          </w:p>
        </w:tc>
        <w:tc>
          <w:tcPr/>
          <w:p>
            <w:pPr>
              <w:pStyle w:val="Compact"/>
              <w:jc w:val="right"/>
            </w:pPr>
            <w:r>
              <w:t xml:space="preserve">4.395</w:t>
            </w:r>
          </w:p>
        </w:tc>
        <w:tc>
          <w:tcPr/>
          <w:p>
            <w:pPr>
              <w:pStyle w:val="Compact"/>
              <w:jc w:val="right"/>
            </w:pPr>
            <w:r>
              <w:t xml:space="preserve">-10.5812</w:t>
            </w:r>
          </w:p>
        </w:tc>
        <w:tc>
          <w:tcPr/>
          <w:p>
            <w:pPr>
              <w:pStyle w:val="Compact"/>
              <w:jc w:val="right"/>
            </w:pPr>
            <w:r>
              <w:t xml:space="preserve">6.648</w:t>
            </w:r>
          </w:p>
        </w:tc>
        <w:tc>
          <w:tcPr/>
          <w:p>
            <w:pPr>
              <w:pStyle w:val="Compact"/>
              <w:jc w:val="right"/>
            </w:pPr>
            <w:r>
              <w:t xml:space="preserve">0.6602</w:t>
            </w:r>
          </w:p>
        </w:tc>
        <w:tc>
          <w:tcPr/>
          <w:p>
            <w:pPr>
              <w:pStyle w:val="Compact"/>
              <w:jc w:val="right"/>
            </w:pPr>
            <w:r>
              <w:t xml:space="preserve">24.15</w:t>
            </w:r>
          </w:p>
        </w:tc>
        <w:tc>
          <w:tcPr/>
          <w:p>
            <w:pPr>
              <w:pStyle w:val="Compact"/>
              <w:jc w:val="right"/>
            </w:pPr>
            <w:r>
              <w:t xml:space="preserve">17.37</w:t>
            </w:r>
          </w:p>
        </w:tc>
        <w:tc>
          <w:tcPr/>
          <w:p>
            <w:pPr>
              <w:pStyle w:val="Compact"/>
              <w:jc w:val="right"/>
            </w:pPr>
            <w:r>
              <w:t xml:space="preserve">0.1825</w:t>
            </w:r>
          </w:p>
        </w:tc>
      </w:tr>
    </w:tbl>
    <w:p>
      <w:pPr>
        <w:pStyle w:val="BodyText"/>
      </w:pPr>
      <w:r>
        <w:rPr>
          <w:b/>
          <w:bCs/>
        </w:rPr>
        <w:t xml:space="preserve">ODA-coefficient sign agreement:</w:t>
      </w:r>
      <w:r>
        <w:t xml:space="preserve"> </w:t>
      </w:r>
      <w:r>
        <w:t xml:space="preserve">✗ DIFFERENT SIGN — investigate</w:t>
      </w:r>
      <w:r>
        <w:t xml:space="preserve"> </w:t>
      </w:r>
      <w:r>
        <w:rPr>
          <w:b/>
          <w:bCs/>
        </w:rPr>
        <w:t xml:space="preserve">ODA-coefficient within-CI agreement:</w:t>
      </w:r>
      <w:r>
        <w:t xml:space="preserve"> </w:t>
      </w:r>
      <w:r>
        <w:t xml:space="preserve">✗ outside-CI — investigate</w:t>
      </w:r>
    </w:p>
    <w:p>
      <w:pPr>
        <w:pStyle w:val="BodyText"/>
      </w:pPr>
      <w:r>
        <w:rPr>
          <w:b/>
          <w:bCs/>
        </w:rPr>
        <w:t xml:space="preserve">Reading per ADR-0006:</w:t>
      </w:r>
      <w:r>
        <w:t xml:space="preserve"> </w:t>
      </w:r>
      <w:r>
        <w:t xml:space="preserve">if primary, listwise-UIS, and (former) MI-UIS all give the same sign and within-CI magnitude, the result is robust to the UIS-inclusion choice. With MI retired by ADR-0012, the listwise vs primary comparison carries the full robustness burden in that direction.</w:t>
      </w:r>
    </w:p>
    <w:bookmarkEnd w:id="133"/>
    <w:bookmarkEnd w:id="134"/>
    <w:bookmarkStart w:id="135" w:name="b.6-littles-mcar-test-results"/>
    <w:p>
      <w:pPr>
        <w:pStyle w:val="Heading2"/>
      </w:pPr>
      <w:r>
        <w:t xml:space="preserve">B.6 Little’s MCAR test results</w:t>
      </w:r>
    </w:p>
    <w:p>
      <w:pPr>
        <w:pStyle w:val="FirstParagraph"/>
      </w:pPr>
      <w:r>
        <w:t xml:space="preserve">Production-panel MCAR test (</w:t>
      </w:r>
      <w:r>
        <w:rPr>
          <w:rStyle w:val="VerbatimChar"/>
        </w:rPr>
        <w:t xml:space="preserve">naniar::mcar_test</w:t>
      </w:r>
      <w:r>
        <w:t xml:space="preserve">) rejects MCAR decisively on both the primary-window 6-column subset and the UIS-augmented 7-column subset:</w:t>
      </w:r>
    </w:p>
    <w:p>
      <w:pPr>
        <w:pStyle w:val="SourceCode"/>
      </w:pPr>
      <w:r>
        <w:rPr>
          <w:rStyle w:val="VerbatimChar"/>
        </w:rPr>
        <w:t xml:space="preserve">[6-column primary window, n = 1463 rows]</w:t>
      </w:r>
      <w:r>
        <w:br/>
      </w:r>
      <w:r>
        <w:rPr>
          <w:rStyle w:val="VerbatimChar"/>
        </w:rPr>
        <w:t xml:space="preserve">statistic = 175.796</w:t>
      </w:r>
      <w:r>
        <w:br/>
      </w:r>
      <w:r>
        <w:rPr>
          <w:rStyle w:val="VerbatimChar"/>
        </w:rPr>
        <w:t xml:space="preserve">df = 41</w:t>
      </w:r>
      <w:r>
        <w:br/>
      </w:r>
      <w:r>
        <w:rPr>
          <w:rStyle w:val="VerbatimChar"/>
        </w:rPr>
        <w:t xml:space="preserve">p_value &lt; 10⁻⁶</w:t>
      </w:r>
      <w:r>
        <w:br/>
      </w:r>
      <w:r>
        <w:rPr>
          <w:rStyle w:val="VerbatimChar"/>
        </w:rPr>
        <w:t xml:space="preserve">missing_patterns = 12</w:t>
      </w:r>
      <w:r>
        <w:br/>
      </w:r>
      <w:r>
        <w:rPr>
          <w:rStyle w:val="VerbatimChar"/>
        </w:rPr>
        <w:t xml:space="preserve">complete_row_count = 173</w:t>
      </w:r>
      <w:r>
        <w:br/>
      </w:r>
      <w:r>
        <w:br/>
      </w:r>
      <w:r>
        <w:rPr>
          <w:rStyle w:val="VerbatimChar"/>
        </w:rPr>
        <w:t xml:space="preserve">[7-column UIS-augmented, n = 1463 rows]</w:t>
      </w:r>
      <w:r>
        <w:br/>
      </w:r>
      <w:r>
        <w:rPr>
          <w:rStyle w:val="VerbatimChar"/>
        </w:rPr>
        <w:t xml:space="preserve">statistic = 341.900</w:t>
      </w:r>
      <w:r>
        <w:br/>
      </w:r>
      <w:r>
        <w:rPr>
          <w:rStyle w:val="VerbatimChar"/>
        </w:rPr>
        <w:t xml:space="preserve">p_value &lt; 10⁻⁶</w:t>
      </w:r>
    </w:p>
    <w:p>
      <w:pPr>
        <w:pStyle w:val="FirstParagraph"/>
      </w:pPr>
      <w:r>
        <w:t xml:space="preserve">The MAR assumption multiple imputation requires is therefore not empirically supportable on this data; ADR-0012 retires the MI sub-commitment of ADR-0006 on this basis (in conjunction with the project’s no-fabrication discipline; CLAUDE.md).</w:t>
      </w:r>
    </w:p>
    <w:bookmarkEnd w:id="135"/>
    <w:bookmarkStart w:id="137" w:name="X7a489275ca3ae3c73334f59590e9379de051949"/>
    <w:p>
      <w:pPr>
        <w:pStyle w:val="Heading2"/>
      </w:pPr>
      <w:r>
        <w:t xml:space="preserve">B.7 Dumitrescu-Hurlin panel Granger pre-test</w:t>
      </w:r>
    </w:p>
    <w:bookmarkStart w:id="136" w:name="pass-1-granger-causality-test-panel"/>
    <w:p>
      <w:pPr>
        <w:pStyle w:val="Heading4"/>
      </w:pPr>
      <w:r>
        <w:t xml:space="preserve">Pass 1 — Granger causality test (panel)</w:t>
      </w:r>
    </w:p>
    <w:p>
      <w:pPr>
        <w:pStyle w:val="FirstParagraph"/>
      </w:pPr>
      <w:r>
        <w:rPr>
          <w:b/>
          <w:bCs/>
        </w:rPr>
        <w:t xml:space="preserve">Direction:</w:t>
      </w:r>
      <w:r>
        <w:t xml:space="preserve"> </w:t>
      </w:r>
      <w:r>
        <w:rPr>
          <w:rStyle w:val="VerbatimChar"/>
        </w:rPr>
        <w:t xml:space="preserve">log_crs_strict → hlo_hlo_score</w:t>
      </w:r>
      <w:r>
        <w:t xml:space="preserve"> </w:t>
      </w:r>
      <w:r>
        <w:t xml:space="preserve">(one-cycle lag).</w:t>
      </w:r>
      <w:r>
        <w:t xml:space="preserve"> </w:t>
      </w:r>
      <w:r>
        <w:rPr>
          <w:b/>
          <w:bCs/>
        </w:rPr>
        <w:t xml:space="preserve">Test:</w:t>
      </w:r>
      <w:r>
        <w:t xml:space="preserve"> </w:t>
      </w:r>
      <w:r>
        <w:t xml:space="preserve">Dumitrescu-Hurlin (2012) Z-tilde panel Granger (</w:t>
      </w:r>
      <w:r>
        <w:rPr>
          <w:rStyle w:val="VerbatimChar"/>
        </w:rPr>
        <w:t xml:space="preserve">plm::pgrangertest</w:t>
      </w:r>
      <w:r>
        <w:t xml:space="preserve">).</w:t>
      </w:r>
      <w:r>
        <w:t xml:space="preserve"> </w:t>
      </w:r>
      <w:r>
        <w:rPr>
          <w:b/>
          <w:bCs/>
        </w:rPr>
        <w:t xml:space="preserve">Caveat:</w:t>
      </w:r>
      <w:r>
        <w:t xml:space="preserve"> </w:t>
      </w:r>
      <w:r>
        <w:t xml:space="preserve">T_eff ≤ 4 HCI cycles per country in primary window — interpret as exploratory pre-test, not a definitive reverse-causality verdict.</w:t>
      </w:r>
    </w:p>
    <w:tbl>
      <w:tblPr>
        <w:tblStyle w:val="Table"/>
        <w:tblW w:type="pct" w:w="5000"/>
        <w:tblLayout w:type="fixed"/>
        <w:tblLook w:firstRow="1" w:lastRow="0" w:firstColumn="0" w:lastColumn="0" w:noHBand="0" w:noVBand="0" w:val="0020"/>
      </w:tblPr>
      <w:tblGrid>
        <w:gridCol w:w="1526"/>
        <w:gridCol w:w="1479"/>
        <w:gridCol w:w="477"/>
        <w:gridCol w:w="477"/>
        <w:gridCol w:w="381"/>
        <w:gridCol w:w="572"/>
        <w:gridCol w:w="3005"/>
      </w:tblGrid>
      <w:tr>
        <w:trPr>
          <w:tblHeader w:val="on"/>
        </w:trPr>
        <w:tc>
          <w:tcPr/>
          <w:p>
            <w:pPr>
              <w:pStyle w:val="Compact"/>
              <w:jc w:val="left"/>
            </w:pPr>
            <w:r>
              <w:t xml:space="preserve">test</w:t>
            </w:r>
          </w:p>
        </w:tc>
        <w:tc>
          <w:tcPr/>
          <w:p>
            <w:pPr>
              <w:pStyle w:val="Compact"/>
              <w:jc w:val="left"/>
            </w:pPr>
            <w:r>
              <w:t xml:space="preserve">direction</w:t>
            </w:r>
          </w:p>
        </w:tc>
        <w:tc>
          <w:tcPr/>
          <w:p>
            <w:pPr>
              <w:pStyle w:val="Compact"/>
              <w:jc w:val="right"/>
            </w:pPr>
            <w:r>
              <w:t xml:space="preserve">order_lag</w:t>
            </w:r>
          </w:p>
        </w:tc>
        <w:tc>
          <w:tcPr/>
          <w:p>
            <w:pPr>
              <w:pStyle w:val="Compact"/>
              <w:jc w:val="right"/>
            </w:pPr>
            <w:r>
              <w:t xml:space="preserve">statistic</w:t>
            </w:r>
          </w:p>
        </w:tc>
        <w:tc>
          <w:tcPr/>
          <w:p>
            <w:pPr>
              <w:pStyle w:val="Compact"/>
              <w:jc w:val="right"/>
            </w:pPr>
            <w:r>
              <w:t xml:space="preserve">p_value</w:t>
            </w:r>
          </w:p>
        </w:tc>
        <w:tc>
          <w:tcPr/>
          <w:p>
            <w:pPr>
              <w:pStyle w:val="Compact"/>
              <w:jc w:val="right"/>
            </w:pPr>
            <w:r>
              <w:t xml:space="preserve">n_countries</w:t>
            </w:r>
          </w:p>
        </w:tc>
        <w:tc>
          <w:tcPr/>
          <w:p>
            <w:pPr>
              <w:pStyle w:val="Compact"/>
              <w:jc w:val="left"/>
            </w:pPr>
            <w:r>
              <w:t xml:space="preserve">note</w:t>
            </w:r>
          </w:p>
        </w:tc>
      </w:tr>
      <w:tr>
        <w:tc>
          <w:tcPr/>
          <w:p>
            <w:pPr>
              <w:pStyle w:val="Compact"/>
              <w:jc w:val="left"/>
            </w:pPr>
            <w:r>
              <w:t xml:space="preserve">Dumitrescu-Hurlin panel Granger</w:t>
            </w:r>
          </w:p>
        </w:tc>
        <w:tc>
          <w:tcPr/>
          <w:p>
            <w:pPr>
              <w:pStyle w:val="Compact"/>
              <w:jc w:val="left"/>
            </w:pPr>
            <w:r>
              <w:t xml:space="preserve">log_crs_strict → hlo_hlo_score</w:t>
            </w:r>
          </w:p>
        </w:tc>
        <w:tc>
          <w:tcPr/>
          <w:p>
            <w:pPr>
              <w:pStyle w:val="Compact"/>
              <w:jc w:val="right"/>
            </w:pPr>
            <w:r>
              <w:t xml:space="preserve">1</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133</w:t>
            </w:r>
          </w:p>
        </w:tc>
        <w:tc>
          <w:tcPr/>
          <w:p>
            <w:pPr>
              <w:pStyle w:val="Compact"/>
              <w:jc w:val="left"/>
            </w:pPr>
            <w:r>
              <w:t xml:space="preserve">pgrangertest failed; see stdout / consider lag-order reduction</w:t>
            </w:r>
          </w:p>
        </w:tc>
      </w:tr>
    </w:tbl>
    <w:p>
      <w:pPr>
        <w:pStyle w:val="BodyText"/>
      </w:pPr>
      <w:r>
        <w:rPr>
          <w:b/>
          <w:bCs/>
        </w:rPr>
        <w:t xml:space="preserve">Reading:</w:t>
      </w:r>
      <w:r>
        <w:t xml:space="preserve"> </w:t>
      </w:r>
      <w:r>
        <w:t xml:space="preserve">rejection of the null</w:t>
      </w:r>
      <w:r>
        <w:t xml:space="preserve"> </w:t>
      </w:r>
      <w:r>
        <w:t xml:space="preserve">“log(CRS) does not Granger-cause HLO”</w:t>
      </w:r>
      <w:r>
        <w:t xml:space="preserve"> </w:t>
      </w:r>
      <w:r>
        <w:t xml:space="preserve">provides exploratory support for the treatment-side direction of the within-country association. Non-rejection at small T is uninformative rather than evidence of no causality.</w:t>
      </w:r>
    </w:p>
    <w:p>
      <w:pPr>
        <w:pStyle w:val="BodyText"/>
      </w:pPr>
      <w:r>
        <w:t xml:space="preserve">The test requires T &gt; 5 + 3·order = 8 per country at order 1, and is therefore not estimable on the HCI-cycle panel (T_eff ≤ 4). The same small-T limit forecloses the Arellano-Bond difference-GMM remedy committed in ADR-0010 (Bond 2002 minimum T ≥ 5–10).</w:t>
      </w:r>
    </w:p>
    <w:bookmarkEnd w:id="136"/>
    <w:bookmarkEnd w:id="137"/>
    <w:bookmarkEnd w:id="138"/>
    <w:bookmarkStart w:id="139" w:name="appendix-c-variable-operationalization"/>
    <w:p>
      <w:pPr>
        <w:pStyle w:val="Heading1"/>
      </w:pPr>
      <w:r>
        <w:t xml:space="preserve">Appendix C: Variable operationalization</w:t>
      </w:r>
    </w:p>
    <w:p>
      <w:pPr>
        <w:pStyle w:val="FirstParagraph"/>
      </w:pPr>
      <w:r>
        <w:t xml:space="preserve">Every variable used in the manuscript is sourced, operationalized, and transformed per the schedule documented in</w:t>
      </w:r>
      <w:r>
        <w:t xml:space="preserve"> </w:t>
      </w:r>
      <w:r>
        <w:rPr>
          <w:rStyle w:val="VerbatimChar"/>
        </w:rPr>
        <w:t xml:space="preserve">docs/data_dictionary.md</w:t>
      </w:r>
      <w:r>
        <w:t xml:space="preserve"> </w:t>
      </w:r>
      <w:r>
        <w:t xml:space="preserve">(the canonical machine-readable variable register, also serialized as</w:t>
      </w:r>
      <w:r>
        <w:t xml:space="preserve"> </w:t>
      </w:r>
      <w:r>
        <w:rPr>
          <w:rStyle w:val="VerbatimChar"/>
        </w:rPr>
        <w:t xml:space="preserve">data/catalog.yml</w:t>
      </w:r>
      <w:r>
        <w:t xml:space="preserve">). Coverage is summarized below by data source; the full per-variable register — with upstream indicator codes, unit definitions, transform notes, and observed missingness percentages — is reproduced from</w:t>
      </w:r>
      <w:r>
        <w:t xml:space="preserve"> </w:t>
      </w:r>
      <w:r>
        <w:rPr>
          <w:rStyle w:val="VerbatimChar"/>
        </w:rPr>
        <w:t xml:space="preserve">docs/data_dictionary.md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Indicator</w:t>
            </w:r>
          </w:p>
        </w:tc>
        <w:tc>
          <w:tcPr/>
          <w:p>
            <w:pPr>
              <w:pStyle w:val="Compact"/>
            </w:pPr>
            <w:r>
              <w:t xml:space="preserve">Coverage</w:t>
            </w:r>
          </w:p>
        </w:tc>
      </w:tr>
      <w:tr>
        <w:tc>
          <w:tcPr/>
          <w:p>
            <w:pPr>
              <w:pStyle w:val="Compact"/>
            </w:pPr>
            <w:r>
              <w:t xml:space="preserve">WDI (World Bank)</w:t>
            </w:r>
          </w:p>
        </w:tc>
        <w:tc>
          <w:tcPr/>
          <w:p>
            <w:pPr>
              <w:pStyle w:val="Compact"/>
            </w:pPr>
            <w:r>
              <w:t xml:space="preserve">13 controls + education indicators (GDP/cap, enrollment, PTR, ed. expenditure, completion, OOS)</w:t>
            </w:r>
          </w:p>
        </w:tc>
        <w:tc>
          <w:tcPr/>
          <w:p>
            <w:pPr>
              <w:pStyle w:val="Compact"/>
            </w:pPr>
            <w:r>
              <w:t xml:space="preserve">216 countries; 1995–2024</w:t>
            </w:r>
          </w:p>
        </w:tc>
      </w:tr>
      <w:tr>
        <w:tc>
          <w:tcPr/>
          <w:p>
            <w:pPr>
              <w:pStyle w:val="Compact"/>
            </w:pPr>
            <w:r>
              <w:t xml:space="preserve">HCI / HLO (World Bank)</w:t>
            </w:r>
          </w:p>
        </w:tc>
        <w:tc>
          <w:tcPr/>
          <w:p>
            <w:pPr>
              <w:pStyle w:val="Compact"/>
            </w:pPr>
            <w:r>
              <w:t xml:space="preserve">HLO score (primary outcome), LAYS, sex-stratified variants</w:t>
            </w:r>
          </w:p>
        </w:tc>
        <w:tc>
          <w:tcPr/>
          <w:p>
            <w:pPr>
              <w:pStyle w:val="Compact"/>
            </w:pPr>
            <w:r>
              <w:t xml:space="preserve">174 countries; 4 cycles (2010, 2017, 2018, 2020)</w:t>
            </w:r>
          </w:p>
        </w:tc>
      </w:tr>
      <w:tr>
        <w:tc>
          <w:tcPr/>
          <w:p>
            <w:pPr>
              <w:pStyle w:val="Compact"/>
            </w:pPr>
            <w:r>
              <w:t xml:space="preserve">AAP-2018 (Altinok-Angrist-Patrinos)</w:t>
            </w:r>
          </w:p>
        </w:tc>
        <w:tc>
          <w:tcPr/>
          <w:p>
            <w:pPr>
              <w:pStyle w:val="Compact"/>
            </w:pPr>
            <w:r>
              <w:t xml:space="preserve">HLO_AAP (parallel robustness outcome)</w:t>
            </w:r>
          </w:p>
        </w:tc>
        <w:tc>
          <w:tcPr/>
          <w:p>
            <w:pPr>
              <w:pStyle w:val="Compact"/>
            </w:pPr>
            <w:r>
              <w:t xml:space="preserve">144 countries; 5 cycles (1995–2015)</w:t>
            </w:r>
          </w:p>
        </w:tc>
      </w:tr>
      <w:tr>
        <w:tc>
          <w:tcPr/>
          <w:p>
            <w:pPr>
              <w:pStyle w:val="Compact"/>
            </w:pPr>
            <w:r>
              <w:t xml:space="preserve">WGI (World Bank)</w:t>
            </w:r>
          </w:p>
        </w:tc>
        <w:tc>
          <w:tcPr/>
          <w:p>
            <w:pPr>
              <w:pStyle w:val="Compact"/>
            </w:pPr>
            <w:r>
              <w:t xml:space="preserve">6 governance dimensions × estimate/SE/n_sources; PCA-PC1 primary per ADR-0009</w:t>
            </w:r>
          </w:p>
        </w:tc>
        <w:tc>
          <w:tcPr/>
          <w:p>
            <w:pPr>
              <w:pStyle w:val="Compact"/>
            </w:pPr>
            <w:r>
              <w:t xml:space="preserve">215 countries; annual 1996–2023</w:t>
            </w:r>
          </w:p>
        </w:tc>
      </w:tr>
      <w:tr>
        <w:tc>
          <w:tcPr/>
          <w:p>
            <w:pPr>
              <w:pStyle w:val="Compact"/>
            </w:pPr>
            <w:r>
              <w:t xml:space="preserve">UIS (UNESCO)</w:t>
            </w:r>
          </w:p>
        </w:tc>
        <w:tc>
          <w:tcPr/>
          <w:p>
            <w:pPr>
              <w:pStyle w:val="Compact"/>
            </w:pPr>
            <w:r>
              <w:t xml:space="preserve">Schooling-finance indicators (private expenditure, OOS by level)</w:t>
            </w:r>
          </w:p>
        </w:tc>
        <w:tc>
          <w:tcPr/>
          <w:p>
            <w:pPr>
              <w:pStyle w:val="Compact"/>
            </w:pPr>
            <w:r>
              <w:t xml:space="preserve">220 countries; 1970–2023; 91.8% SSA missing on private expenditure (Robustness only per ADR-0006)</w:t>
            </w:r>
          </w:p>
        </w:tc>
      </w:tr>
      <w:tr>
        <w:tc>
          <w:tcPr/>
          <w:p>
            <w:pPr>
              <w:pStyle w:val="Compact"/>
            </w:pPr>
            <w:r>
              <w:t xml:space="preserve">OECD CRS</w:t>
            </w:r>
          </w:p>
        </w:tc>
        <w:tc>
          <w:tcPr/>
          <w:p>
            <w:pPr>
              <w:pStyle w:val="Compact"/>
            </w:pPr>
            <w:r>
              <w:t xml:space="preserve">ODA disbursement + commitment, current + constant USD, by 5-digit purpose code (education sector 11110–11430)</w:t>
            </w:r>
          </w:p>
        </w:tc>
        <w:tc>
          <w:tcPr/>
          <w:p>
            <w:pPr>
              <w:pStyle w:val="Compact"/>
            </w:pPr>
            <w:r>
              <w:t xml:space="preserve">537,586 project rows; 1995–2023; locked encoding</w:t>
            </w:r>
            <w:r>
              <w:t xml:space="preserve"> </w:t>
            </w:r>
            <w:r>
              <w:rPr>
                <w:rStyle w:val="VerbatimChar"/>
              </w:rPr>
              <w:t xml:space="preserve">crs_disburse_usd_defl_ma3_lag1</w:t>
            </w:r>
            <w:r>
              <w:t xml:space="preserve"> </w:t>
            </w:r>
            <w:r>
              <w:t xml:space="preserve">per ADR-0005</w:t>
            </w:r>
          </w:p>
        </w:tc>
      </w:tr>
      <w:tr>
        <w:tc>
          <w:tcPr/>
          <w:p>
            <w:pPr>
              <w:pStyle w:val="Compact"/>
            </w:pPr>
            <w:r>
              <w:t xml:space="preserve">AidData GCDF</w:t>
            </w:r>
          </w:p>
        </w:tc>
        <w:tc>
          <w:tcPr/>
          <w:p>
            <w:pPr>
              <w:pStyle w:val="Compact"/>
            </w:pPr>
            <w:r>
              <w:t xml:space="preserve">Chinese education projects 2000–2021</w:t>
            </w:r>
          </w:p>
        </w:tc>
        <w:tc>
          <w:tcPr/>
          <w:p>
            <w:pPr>
              <w:pStyle w:val="Compact"/>
            </w:pPr>
            <w:r>
              <w:t xml:space="preserve">30 columns × 22,000 rows; China share = 60.4% in SSA</w:t>
            </w:r>
          </w:p>
        </w:tc>
      </w:tr>
      <w:tr>
        <w:tc>
          <w:tcPr/>
          <w:p>
            <w:pPr>
              <w:pStyle w:val="Compact"/>
            </w:pPr>
            <w:r>
              <w:t xml:space="preserve">UCDP/PRIO</w:t>
            </w:r>
          </w:p>
        </w:tc>
        <w:tc>
          <w:tcPr/>
          <w:p>
            <w:pPr>
              <w:pStyle w:val="Compact"/>
            </w:pPr>
            <w:r>
              <w:t xml:space="preserve">Conflict flag, intensity, battle deaths</w:t>
            </w:r>
          </w:p>
        </w:tc>
        <w:tc>
          <w:tcPr/>
          <w:p>
            <w:pPr>
              <w:pStyle w:val="Compact"/>
            </w:pPr>
            <w:r>
              <w:t xml:space="preserve">195 countries; 1989–2023; SSA prevalence 25.3% vs RoW 9.2%</w:t>
            </w:r>
          </w:p>
        </w:tc>
      </w:tr>
      <w:tr>
        <w:tc>
          <w:tcPr/>
          <w:p>
            <w:pPr>
              <w:pStyle w:val="Compact"/>
            </w:pPr>
            <w:r>
              <w:t xml:space="preserve">COVID closures</w:t>
            </w:r>
          </w:p>
        </w:tc>
        <w:tc>
          <w:tcPr/>
          <w:p>
            <w:pPr>
              <w:pStyle w:val="Compact"/>
            </w:pPr>
            <w:r>
              <w:t xml:space="preserve">Days closed by status category (UNESCO-cross-validated)</w:t>
            </w:r>
          </w:p>
        </w:tc>
        <w:tc>
          <w:tcPr/>
          <w:p>
            <w:pPr>
              <w:pStyle w:val="Compact"/>
            </w:pPr>
            <w:r>
              <w:t xml:space="preserve">195 countries; 2020–2022</w:t>
            </w:r>
          </w:p>
        </w:tc>
      </w:tr>
      <w:tr>
        <w:tc>
          <w:tcPr/>
          <w:p>
            <w:pPr>
              <w:pStyle w:val="Compact"/>
            </w:pPr>
            <w:r>
              <w:t xml:space="preserve">Oxford Insights GARI</w:t>
            </w:r>
          </w:p>
        </w:tc>
        <w:tc>
          <w:tcPr/>
          <w:p>
            <w:pPr>
              <w:pStyle w:val="Compact"/>
            </w:pPr>
            <w:r>
              <w:t xml:space="preserve">AI Readiness Index — 6 pillars + derived composite</w:t>
            </w:r>
          </w:p>
        </w:tc>
        <w:tc>
          <w:tcPr/>
          <w:p>
            <w:pPr>
              <w:pStyle w:val="Compact"/>
            </w:pPr>
            <w:r>
              <w:t xml:space="preserve">195 countries; 2025 edition</w:t>
            </w:r>
          </w:p>
        </w:tc>
      </w:tr>
    </w:tbl>
    <w:p>
      <w:pPr>
        <w:pStyle w:val="BodyText"/>
      </w:pPr>
      <w:r>
        <w:t xml:space="preserve">Treatment-variable construction details (the strictly-past 3-year moving average, the 16-cell sensitivity grid, the GCDF-strict variant) are documented in</w:t>
      </w:r>
      <w:r>
        <w:t xml:space="preserve"> </w:t>
      </w:r>
      <w:r>
        <w:rPr>
          <w:rStyle w:val="VerbatimChar"/>
        </w:rPr>
        <w:t xml:space="preserve">docs/methodology.md</w:t>
      </w:r>
      <w:r>
        <w:t xml:space="preserve"> </w:t>
      </w:r>
      <w:r>
        <w:t xml:space="preserve">§3.5. The WGI PC1 derivation (PCA on the six WGI estimate columns, single PC retained per Kaiser criterion with 76.4% variance on this sample) is documented in</w:t>
      </w:r>
      <w:r>
        <w:t xml:space="preserve"> </w:t>
      </w:r>
      <w:r>
        <w:rPr>
          <w:rStyle w:val="VerbatimChar"/>
        </w:rPr>
        <w:t xml:space="preserve">docs/methodology.md</w:t>
      </w:r>
      <w:r>
        <w:t xml:space="preserve"> </w:t>
      </w:r>
      <w:r>
        <w:t xml:space="preserve">§3.6 and ADR-0009. ISO3 normalization and the sub-national-row drop log are at</w:t>
      </w:r>
      <w:r>
        <w:t xml:space="preserve"> </w:t>
      </w:r>
      <w:r>
        <w:rPr>
          <w:rStyle w:val="VerbatimChar"/>
        </w:rPr>
        <w:t xml:space="preserve">output/logs/iso3_unresolved_&lt;src&gt;.csv</w:t>
      </w:r>
      <w:r>
        <w:t xml:space="preserve"> </w:t>
      </w:r>
      <w:r>
        <w:t xml:space="preserve">per source.</w:t>
      </w:r>
    </w:p>
    <w:bookmarkEnd w:id="1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20" Target="media/rId20.png" /><Relationship Type="http://schemas.openxmlformats.org/officeDocument/2006/relationships/image" Id="rId36" Target="media/rId36.png" /><Relationship Type="http://schemas.openxmlformats.org/officeDocument/2006/relationships/hyperlink" Id="rId28" Target="../docs/decisions/0004-hlo-measure.md" TargetMode="External" /><Relationship Type="http://schemas.openxmlformats.org/officeDocument/2006/relationships/hyperlink" Id="rId47"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82" Target="https://documents.worldbank.org/en/publication/documents-reports/documentdetail/099517502242572646" TargetMode="External" /><Relationship Type="http://schemas.openxmlformats.org/officeDocument/2006/relationships/hyperlink" Id="rId68" Target="https://doi.org/10.1016/j.socscimed.2017.12.005" TargetMode="External" /><Relationship Type="http://schemas.openxmlformats.org/officeDocument/2006/relationships/hyperlink" Id="rId80" Target="https://doi.org/10.1080/00220380902952399" TargetMode="External" /><Relationship Type="http://schemas.openxmlformats.org/officeDocument/2006/relationships/hyperlink" Id="rId88" Target="https://doi.org/10.1086/680324" TargetMode="External" /><Relationship Type="http://schemas.openxmlformats.org/officeDocument/2006/relationships/hyperlink" Id="rId90" Target="https://doi.org/10.1093/jeea/jvaa019" TargetMode="External" /><Relationship Type="http://schemas.openxmlformats.org/officeDocument/2006/relationships/hyperlink" Id="rId70" Target="https://doi.org/10.1257/0002828041464560" TargetMode="External" /><Relationship Type="http://schemas.openxmlformats.org/officeDocument/2006/relationships/hyperlink" Id="rId66" Target="https://doi.org/10.1257/aer.90.4.847" TargetMode="External" /><Relationship Type="http://schemas.openxmlformats.org/officeDocument/2006/relationships/hyperlink" Id="rId74" Target="https://doi.org/10.1257/jel.46.3.607" TargetMode="External" /><Relationship Type="http://schemas.openxmlformats.org/officeDocument/2006/relationships/hyperlink" Id="rId76" Target="https://doi.org/10.1787/9789264234833-en" TargetMode="External" /><Relationship Type="http://schemas.openxmlformats.org/officeDocument/2006/relationships/hyperlink" Id="rId78" Target="https://www.ilo.org/publications/disruption-without-dividend-how-digital-divide-and-task-differences-split" TargetMode="External" /><Relationship Type="http://schemas.openxmlformats.org/officeDocument/2006/relationships/hyperlink" Id="rId84" Target="https://www.undp.org/asia-pacific/publications/next-great-divergence" TargetMode="External" /></Relationships>
</file>

<file path=word/_rels/footnotes.xml.rels><?xml version="1.0" encoding="UTF-8"?><Relationships xmlns="http://schemas.openxmlformats.org/package/2006/relationships"><Relationship Type="http://schemas.openxmlformats.org/officeDocument/2006/relationships/hyperlink" Id="rId28" Target="../docs/decisions/0004-hlo-measure.md" TargetMode="External" /><Relationship Type="http://schemas.openxmlformats.org/officeDocument/2006/relationships/hyperlink" Id="rId47" Target="../docs/decisions/0006-uis-missingness-strategy.md" TargetMode="External" /><Relationship Type="http://schemas.openxmlformats.org/officeDocument/2006/relationships/hyperlink" Id="rId27" Target="../docs/decisions/0010-identification-strategy-gmm.md" TargetMode="External" /><Relationship Type="http://schemas.openxmlformats.org/officeDocument/2006/relationships/hyperlink" Id="rId29" Target="../docs/decisions/0012-retirement-of-uis-multiple-imputation.md" TargetMode="External" /><Relationship Type="http://schemas.openxmlformats.org/officeDocument/2006/relationships/hyperlink" Id="rId82" Target="https://documents.worldbank.org/en/publication/documents-reports/documentdetail/099517502242572646" TargetMode="External" /><Relationship Type="http://schemas.openxmlformats.org/officeDocument/2006/relationships/hyperlink" Id="rId68" Target="https://doi.org/10.1016/j.socscimed.2017.12.005" TargetMode="External" /><Relationship Type="http://schemas.openxmlformats.org/officeDocument/2006/relationships/hyperlink" Id="rId80" Target="https://doi.org/10.1080/00220380902952399" TargetMode="External" /><Relationship Type="http://schemas.openxmlformats.org/officeDocument/2006/relationships/hyperlink" Id="rId88" Target="https://doi.org/10.1086/680324" TargetMode="External" /><Relationship Type="http://schemas.openxmlformats.org/officeDocument/2006/relationships/hyperlink" Id="rId90" Target="https://doi.org/10.1093/jeea/jvaa019" TargetMode="External" /><Relationship Type="http://schemas.openxmlformats.org/officeDocument/2006/relationships/hyperlink" Id="rId70" Target="https://doi.org/10.1257/0002828041464560" TargetMode="External" /><Relationship Type="http://schemas.openxmlformats.org/officeDocument/2006/relationships/hyperlink" Id="rId66" Target="https://doi.org/10.1257/aer.90.4.847" TargetMode="External" /><Relationship Type="http://schemas.openxmlformats.org/officeDocument/2006/relationships/hyperlink" Id="rId74" Target="https://doi.org/10.1257/jel.46.3.607" TargetMode="External" /><Relationship Type="http://schemas.openxmlformats.org/officeDocument/2006/relationships/hyperlink" Id="rId76" Target="https://doi.org/10.1787/9789264234833-en" TargetMode="External" /><Relationship Type="http://schemas.openxmlformats.org/officeDocument/2006/relationships/hyperlink" Id="rId78" Target="https://www.ilo.org/publications/disruption-without-dividend-how-digital-divide-and-task-differences-split" TargetMode="External" /><Relationship Type="http://schemas.openxmlformats.org/officeDocument/2006/relationships/hyperlink" Id="rId84" Target="https://www.undp.org/asia-pacific/publications/next-great-diver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Aid Without Learning: A Cross-Country Analysis of ODA Allocation, Structural Determinants, and the Measurement Failure at the Heart of Global Education Finance</dc:title>
  <dc:creator>Shota Zurabishvili</dc:creator>
  <cp:keywords>education aid, learning outcomes, cross-country panel, fixed effects, methodological discipline, AI readiness, sub-Saharan Africa</cp:keywords>
  <dcterms:created xsi:type="dcterms:W3CDTF">2026-05-24T18:29:40Z</dcterms:created>
  <dcterms:modified xsi:type="dcterms:W3CDTF">2026-05-24T18:29:40Z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2026-05-23</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2</vt:lpwstr>
  </property>
  <property fmtid="{D5CDD505-2E9C-101B-9397-08002B2CF9AE}" pid="18" name="toc-title">
    <vt:lpwstr>Table of contents</vt:lpwstr>
  </property>
</Properties>
</file>