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Aid Without Learning: A Cross-Country Analysis of ODA Allocation, Structural Determinants, and the Measurement Failure at the Heart of Global Education Finance</w:t>
      </w:r>
    </w:p>
    <w:p>
      <w:pPr>
        <w:pStyle w:val="Author"/>
      </w:pPr>
      <w:r>
        <w:t xml:space="preserve">Shota Zurabishvili</w:t>
      </w:r>
    </w:p>
    <w:p>
      <w:pPr>
        <w:pStyle w:val="Date"/>
      </w:pPr>
      <w:r>
        <w:t xml:space="preserve">2026-05-23</w:t>
      </w:r>
    </w:p>
    <w:bookmarkStart w:id="9" w:name="abstract"/>
    <w:p>
      <w:pPr>
        <w:pStyle w:val="Heading1"/>
      </w:pPr>
      <w:r>
        <w:t xml:space="preserve">Abstract</w:t>
      </w:r>
    </w:p>
    <w:p>
      <w:pPr>
        <w:pStyle w:val="FirstParagraph"/>
      </w:pPr>
      <w:r>
        <w:t xml:space="preserve">Does development assistance for education improve learning outcomes? Cross-country panel evidence has been used to answer yes, no, and</w:t>
      </w:r>
      <w:r>
        <w:t xml:space="preserve"> </w:t>
      </w:r>
      <w:r>
        <w:t xml:space="preserve">“it depends,”</w:t>
      </w:r>
      <w:r>
        <w:t xml:space="preserve"> </w:t>
      </w:r>
      <w:r>
        <w:t xml:space="preserve">but the field has paid less attention to whether the answer is stable across the methodological choices it conditions on. We assemble a 133-country, 2010–2020 panel from OECD CRS disbursements, World Bank Human Capital Index Harmonized Learning Outcomes (HLO), and the standard macro / governance / sector controls, and we run a pre-specified five-model architecture (cross-section, within-country fixed effects, multilevel, intervention-typology ANOVA, counterfactual simulation) under an</w:t>
      </w:r>
      <w:r>
        <w:t xml:space="preserve"> </w:t>
      </w:r>
      <w:r>
        <w:rPr>
          <w:i/>
          <w:iCs/>
        </w:rPr>
        <w:t xml:space="preserve">ex ante</w:t>
      </w:r>
      <w:r>
        <w:t xml:space="preserve"> </w:t>
      </w:r>
      <w:r>
        <w:t xml:space="preserve">commitment design in which every consequential analytical choice is locked in an Architecture Decision Record before its analysis runs. The within-country fixed-effects specification recovers a positive aid-to-learning coefficient (β = +11.14 HLO points per unit log treatment; p ≈ 0.05; N = 143 country-cycles) on the World Bank HCI HLO outcome — the empirical observation cross-country panel evidence at this data shape supports in the WB HCI HLOS specification — with the published-measure-sensitivity caveats documented below. The pre-commitment design, however, surfaces three findings that reshape how to read this result. First, the four-bucket intervention typology the literature treats as policy-relevant (infrastructure / teacher training / curriculum / budget support) is not extractable from CRS project metadata at the inter-method agreement threshold we committed to; the ANOVA does not run. Second, substituting the published AAP-2018 harmonized learning measure for the World Bank HCI HLO measure flips the within-country coefficient’s sign in both the full and the overlap-window samples (β = −16.67 and −3.94 respectively); the headline is measure-sensitive. Third, the standard multiple-imputation robustness check the missingness ADR pre-committed to requires assumptions our MCAR test pre-committed to running already refutes. Alongside these, the paper constructs a novel Human Capital × AI Readiness joint composite that quantifies a previously unmeasured ≈2× over-representation of sub-Saharan Africa in the low-HCI ∩ low-AI-readiness cell. We position the paper in the methodological-reflection tradition</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and read its contribution as</w:t>
      </w:r>
      <w:r>
        <w:t xml:space="preserve"> </w:t>
      </w:r>
      <w:r>
        <w:rPr>
          <w:i/>
          <w:iCs/>
        </w:rPr>
        <w:t xml:space="preserve">a calibrated map of what cross-country aid-effectiveness panel evidence can and cannot say at the current data frontier</w:t>
      </w:r>
      <w:r>
        <w:t xml:space="preserve">.</w:t>
      </w:r>
    </w:p>
    <w:bookmarkEnd w:id="9"/>
    <w:bookmarkStart w:id="10" w:name="introduction-the-measurement-illusion"/>
    <w:p>
      <w:pPr>
        <w:pStyle w:val="Heading1"/>
      </w:pPr>
      <w:r>
        <w:t xml:space="preserve">1. 1. Introduction — The measurement illusion</w:t>
      </w:r>
    </w:p>
    <w:p>
      <w:pPr>
        <w:pStyle w:val="FirstParagraph"/>
      </w:pPr>
      <w:r>
        <w:t xml:space="preserve">Universal primary enrollment is, by the standards of any prior era of development policy, a solved problem. Across the 133 ODA-eligible recipient countries in our 2010–2020 panel, gross primary enrollment is uniformly between 98 and 109 percent; the MDG-era convergence on access has reached every region.</w:t>
      </w:r>
      <w:r>
        <w:t xml:space="preserve"> </w:t>
      </w:r>
      <w:r>
        <w:rPr>
          <w:i/>
          <w:iCs/>
        </w:rPr>
        <w:t xml:space="preserve">Learning</w:t>
      </w:r>
      <w:r>
        <w:t xml:space="preserve"> </w:t>
      </w:r>
      <w:r>
        <w:t xml:space="preserve">has not converged. Human Capital Index Harmonized Learning Outcomes (HLO) range from roughly 300 to 625 across the same country set, with no narrowing trend across the four HCI cycles published since 2010. The policy literature has, over the same decade, converged on a near-universal lever: redirect education aid away from inputs that the access-era apparatus knows how to deliver (classrooms, enrollment subsidies, teacher headcount) and toward interventions that produce learning — targeted pedagogy, accountability mechanisms, structured-instruction at-scale rollouts</w:t>
      </w:r>
      <w:r>
        <w:t xml:space="preserve"> </w:t>
      </w:r>
      <w:r>
        <w:t xml:space="preserve">(</w:t>
      </w:r>
      <w:hyperlink w:anchor="ref-angrist2024lays">
        <w:r>
          <w:rPr>
            <w:rStyle w:val="Hyperlink"/>
          </w:rPr>
          <w:t xml:space="preserve">Angrist, 2024</w:t>
        </w:r>
      </w:hyperlink>
      <w:r>
        <w:t xml:space="preserve">;</w:t>
      </w:r>
      <w:r>
        <w:t xml:space="preserve"> </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The empirical record on whether aid actually moves learning, however, is contested — and the contestation depends as much on methodological choices as on substantive findings.</w:t>
      </w:r>
    </w:p>
    <w:p>
      <w:pPr>
        <w:pStyle w:val="BodyText"/>
      </w:pPr>
      <w:r>
        <w:t xml:space="preserve">This paper assembles the canonical cross-country panel the contestation has been conducted on, runs a pre-specified five-model architecture, and operates under a design choice the cross-country aid-effectiveness literature has not historically committed to:</w:t>
      </w:r>
      <w:r>
        <w:t xml:space="preserve"> </w:t>
      </w:r>
      <w:r>
        <w:rPr>
          <w:i/>
          <w:iCs/>
        </w:rPr>
        <w:t xml:space="preserve">every consequential analytical decision is locked in writing in an Architecture Decision Record (ADR) before the analysis whose result the decision would influence runs</w:t>
      </w:r>
      <w:r>
        <w:t xml:space="preserve">. Each ADR names the options considered, the criterion that would distinguish them, and the threshold at which the criterion would be considered met. When the analysis runs, the criterion either is or is not met; the record makes the outcome auditable and the response disciplined. A pre-registered diagnostic battery and a post-draft adversarial review protocol add second and third tiers of pre-commitment around the manuscript itself.</w:t>
      </w:r>
    </w:p>
    <w:p>
      <w:pPr>
        <w:pStyle w:val="BodyText"/>
      </w:pPr>
      <w:r>
        <w:t xml:space="preserve">The within-country panel fixed-effects specification recovers a positive aid-to-learning coefficient: β = +11.14 HLO points per unit log of three-year-moving-average constant-USD CRS disbursement (country-clustered SE = 5.52, p ≈ 0.05, N = 143 country-cycles); the cross-sectional specification on the same panel and the same covariates yields β = −1.36, not significant.</w:t>
      </w:r>
      <w:r>
        <w:t xml:space="preserve"> </w:t>
      </w:r>
      <w:r>
        <w:rPr>
          <w:i/>
          <w:iCs/>
        </w:rPr>
        <w:t xml:space="preserve">This single number is not the principal contribution of this paper.</w:t>
      </w:r>
      <w:r>
        <w:t xml:space="preserve"> </w:t>
      </w:r>
      <w:r>
        <w:t xml:space="preserve">Three pre-committed methodology gates each surfaced a result the cross-country aid-learning literature has under-engaged with. ADR-0007 (intervention-typology extraction): the four-bucket typology is not recoverable from CRS metadata at any defensible inter-method agreement threshold (raw agreement 39%; Cohen’s κ 0.19; unclassified 76%); Model 4 was dropped. ADR-0004 (published-measure robustness): refitting the within-country coefficient on the Altinok-Angrist-Patrinos (2018) alternative HLO measure reverses the sign in both the full and the year-overlap window samples (β = −16.67 and −3.94 respectively); the headline does not survive sign-agreement across the published harmonization choice. ADR-0006 (missing-data sensitivity): the pre-committed MCAR test rejects MCAR at p ≪ 10⁻⁶, so the MAR assumption multiple imputation requires is empirically unsupportable; ADR-0012 retires the MI sub-commitment in favor of the listwise spec alone.</w:t>
      </w:r>
    </w:p>
    <w:p>
      <w:pPr>
        <w:pStyle w:val="BodyText"/>
      </w:pPr>
      <w:r>
        <w:t xml:space="preserve">Alongside, the paper executes a fourth substantive analysis: a novel joint composite of the World Bank Human Capital Index and the Oxford Insights Government AI Readiness Index 2025, partitioned into median-split quadrants. 47 of 132 joined countries (35.6 %) fall in the low-HCI ∩ low-AI-readiness</w:t>
      </w:r>
      <w:r>
        <w:t xml:space="preserve"> </w:t>
      </w:r>
      <w:r>
        <w:t xml:space="preserve">“double-excluded”</w:t>
      </w:r>
      <w:r>
        <w:t xml:space="preserve"> </w:t>
      </w:r>
      <w:r>
        <w:t xml:space="preserve">cell, of which 29 (61.7 %) are sub-Saharan African — against sub-Saharan Africa’s 31.8 % share of the joined sample. The compounding-divergence thesis that UNDP, the World Bank’s</w:t>
      </w:r>
      <w:r>
        <w:t xml:space="preserve"> </w:t>
      </w:r>
      <w:r>
        <w:rPr>
          <w:i/>
          <w:iCs/>
        </w:rPr>
        <w:t xml:space="preserve">Beyond the AI Divide</w:t>
      </w:r>
      <w:r>
        <w:t xml:space="preserve"> </w:t>
      </w:r>
      <w:r>
        <w:t xml:space="preserve">working paper, and the joint ILO–World Bank background study for the</w:t>
      </w:r>
      <w:r>
        <w:t xml:space="preserve"> </w:t>
      </w:r>
      <w:r>
        <w:rPr>
          <w:i/>
          <w:iCs/>
        </w:rPr>
        <w:t xml:space="preserve">World Development Report 2026</w:t>
      </w:r>
      <w:r>
        <w:t xml:space="preserve"> </w:t>
      </w:r>
      <w:r>
        <w:t xml:space="preserve">have articulated theoretically</w:t>
      </w:r>
      <w:r>
        <w:t xml:space="preserve"> </w:t>
      </w:r>
      <w:r>
        <w:t xml:space="preserve">(</w:t>
      </w:r>
      <w:hyperlink w:anchor="ref-ilo2026disruption">
        <w:r>
          <w:rPr>
            <w:rStyle w:val="Hyperlink"/>
          </w:rPr>
          <w:t xml:space="preserve">International Labour Organization &amp; World Bank, 2026</w:t>
        </w:r>
      </w:hyperlink>
      <w:r>
        <w:t xml:space="preserve">;</w:t>
      </w:r>
      <w:r>
        <w:t xml:space="preserve"> </w:t>
      </w:r>
      <w:hyperlink w:anchor="ref-mandon2025beyond">
        <w:r>
          <w:rPr>
            <w:rStyle w:val="Hyperlink"/>
          </w:rPr>
          <w:t xml:space="preserve">Mandon, 2025</w:t>
        </w:r>
      </w:hyperlink>
      <w:r>
        <w:t xml:space="preserve">;</w:t>
      </w:r>
      <w:r>
        <w:t xml:space="preserve"> </w:t>
      </w:r>
      <w:hyperlink w:anchor="ref-muthukrishna2025divergence">
        <w:r>
          <w:rPr>
            <w:rStyle w:val="Hyperlink"/>
          </w:rPr>
          <w:t xml:space="preserve">Muthukrishna &amp; Schellekens, 2025</w:t>
        </w:r>
      </w:hyperlink>
      <w:r>
        <w:t xml:space="preserve">)</w:t>
      </w:r>
      <w:r>
        <w:t xml:space="preserve"> </w:t>
      </w:r>
      <w:r>
        <w:t xml:space="preserve">receives a concrete country-cross-section operationalization with explicit regional-concentration quantification.</w:t>
      </w:r>
    </w:p>
    <w:p>
      <w:pPr>
        <w:pStyle w:val="BodyText"/>
      </w:pPr>
      <w:r>
        <w:t xml:space="preserve">§2 anchors the contribution in the literature; §3 describes the data and the pre-commitment design; §4 reports the empirical results; §5 discusses what the panel evidence can and cannot claim; §6 and §7 translate the methodological findings into policy and research-infrastructure implications.</w:t>
      </w:r>
    </w:p>
    <w:bookmarkEnd w:id="10"/>
    <w:bookmarkStart w:id="14" w:name="literature-review"/>
    <w:p>
      <w:pPr>
        <w:pStyle w:val="Heading1"/>
      </w:pPr>
      <w:r>
        <w:t xml:space="preserve">2. 2. Literature Review</w:t>
      </w:r>
    </w:p>
    <w:p>
      <w:pPr>
        <w:pStyle w:val="FirstParagraph"/>
      </w:pPr>
      <w:r>
        <w:t xml:space="preserve">The cross-country aid-effectiveness debate, the education-specific aid-and-learning literature, and the methodological-reflection strand on what empirical-development research can credibly claim are three distinct conversations that this paper sits at the intersection of. We engage each in turn — briefly, since the paper’s contribution is the synthesis at the intersection rather than incremental advances within any one strand.</w:t>
      </w:r>
    </w:p>
    <w:bookmarkStart w:id="11" w:name="cross-country-aid-effectiveness-empirics"/>
    <w:p>
      <w:pPr>
        <w:pStyle w:val="Heading2"/>
      </w:pPr>
      <w:r>
        <w:t xml:space="preserve">2.1 2.1 Cross-country aid-effectiveness empirics</w:t>
      </w:r>
    </w:p>
    <w:p>
      <w:pPr>
        <w:pStyle w:val="FirstParagraph"/>
      </w:pPr>
      <w:r>
        <w:t xml:space="preserve">The canonical question —</w:t>
      </w:r>
      <w:r>
        <w:t xml:space="preserve"> </w:t>
      </w:r>
      <w:r>
        <w:rPr>
          <w:i/>
          <w:iCs/>
        </w:rPr>
        <w:t xml:space="preserve">does development aid raise growth?</w:t>
      </w:r>
      <w:r>
        <w:t xml:space="preserve"> </w:t>
      </w:r>
      <w:r>
        <w:t xml:space="preserve">— has been answered in the affirmative, the negative, and conditionally in the same data over the last two-and-a-half decades. The widely cited finding by Burnside and Dollar</w:t>
      </w:r>
      <w:r>
        <w:t xml:space="preserve"> </w:t>
      </w:r>
      <w:r>
        <w:t xml:space="preserve">(</w:t>
      </w:r>
      <w:hyperlink w:anchor="ref-burnside2000aid">
        <w:r>
          <w:rPr>
            <w:rStyle w:val="Hyperlink"/>
          </w:rPr>
          <w:t xml:space="preserve">2000</w:t>
        </w:r>
      </w:hyperlink>
      <w:r>
        <w:t xml:space="preserve">)</w:t>
      </w:r>
      <w:r>
        <w:t xml:space="preserve"> </w:t>
      </w:r>
      <w:r>
        <w:t xml:space="preserve">was that aid raises growth only in countries with good fiscal, monetary, and trade policies; their aid × policy interaction term entered cross-country growth regressions with a positive and significant coefficient on an instrumental-variables design. The conditional-effectiveness finding was widely interpreted as policy advice —</w:t>
      </w:r>
      <w:r>
        <w:t xml:space="preserve"> </w:t>
      </w:r>
      <w:r>
        <w:rPr>
          <w:i/>
          <w:iCs/>
        </w:rPr>
        <w:t xml:space="preserve">target good-policy countries</w:t>
      </w:r>
      <w:r>
        <w:t xml:space="preserve"> </w:t>
      </w:r>
      <w:r>
        <w:t xml:space="preserve">— and shaped a generation of aid-allocation debate. Easterly, Levine, and Roodman</w:t>
      </w:r>
      <w:r>
        <w:t xml:space="preserve"> </w:t>
      </w:r>
      <w:r>
        <w:t xml:space="preserve">(</w:t>
      </w:r>
      <w:hyperlink w:anchor="ref-easterly2004aid">
        <w:r>
          <w:rPr>
            <w:rStyle w:val="Hyperlink"/>
          </w:rPr>
          <w:t xml:space="preserve">2004</w:t>
        </w:r>
      </w:hyperlink>
      <w:r>
        <w:t xml:space="preserve">)</w:t>
      </w:r>
      <w:r>
        <w:t xml:space="preserve"> </w:t>
      </w:r>
      <w:r>
        <w:t xml:space="preserve">subsequently showed that the Burnside-Dollar interaction does not survive extension of the original sample to more countries and years; the result is fragile to sample composition. The two papers together — and the subsequent extensions in the aid-and-growth-in-Africa GMM literature</w:t>
      </w:r>
      <w:r>
        <w:t xml:space="preserve"> </w:t>
      </w:r>
      <w:r>
        <w:t xml:space="preserve">(</w:t>
      </w:r>
      <w:hyperlink w:anchor="ref-asongu2019aid">
        <w:r>
          <w:rPr>
            <w:rStyle w:val="Hyperlink"/>
          </w:rPr>
          <w:t xml:space="preserve">Asongu &amp; Nwachukwu, 2019</w:t>
        </w:r>
      </w:hyperlink>
      <w:r>
        <w:t xml:space="preserve">)</w:t>
      </w:r>
      <w:r>
        <w:t xml:space="preserve"> </w:t>
      </w:r>
      <w:r>
        <w:t xml:space="preserve">— left the field with a robust</w:t>
      </w:r>
      <w:r>
        <w:t xml:space="preserve"> </w:t>
      </w:r>
      <w:r>
        <w:rPr>
          <w:i/>
          <w:iCs/>
        </w:rPr>
        <w:t xml:space="preserve">methodological</w:t>
      </w:r>
      <w:r>
        <w:t xml:space="preserve"> </w:t>
      </w:r>
      <w:r>
        <w:t xml:space="preserve">finding even where the substantive coefficient remained contested: interaction-effect claims in cross-country aid-effectiveness panels are sensitive to sample, specification, and the choice of instrument. The lesson is one our pre-commitment design takes seriously: in §3 we specify the within-country fixed-effects specification before estimating it, and we report sample and specification sensitivities in §4 rather than searching across them for the most favorable result.</w:t>
      </w:r>
    </w:p>
    <w:p>
      <w:pPr>
        <w:pStyle w:val="BodyText"/>
      </w:pPr>
      <w:r>
        <w:t xml:space="preserve">The cognitive-skills-for-growth strand associated with Hanushek and Woessmann</w:t>
      </w:r>
      <w:r>
        <w:t xml:space="preserve"> </w:t>
      </w:r>
      <w:r>
        <w:t xml:space="preserve">(</w:t>
      </w:r>
      <w:hyperlink w:anchor="ref-hanushek2008role">
        <w:r>
          <w:rPr>
            <w:rStyle w:val="Hyperlink"/>
          </w:rPr>
          <w:t xml:space="preserve">2008</w:t>
        </w:r>
      </w:hyperlink>
      <w:r>
        <w:t xml:space="preserve">,</w:t>
      </w:r>
      <w:r>
        <w:t xml:space="preserve"> </w:t>
      </w:r>
      <w:hyperlink w:anchor="ref-hanushek2015knowledge">
        <w:r>
          <w:rPr>
            <w:rStyle w:val="Hyperlink"/>
          </w:rPr>
          <w:t xml:space="preserve">2015</w:t>
        </w:r>
      </w:hyperlink>
      <w:r>
        <w:t xml:space="preserve">)</w:t>
      </w:r>
      <w:r>
        <w:t xml:space="preserve"> </w:t>
      </w:r>
      <w:r>
        <w:t xml:space="preserve">re-framed the same broad question —</w:t>
      </w:r>
      <w:r>
        <w:t xml:space="preserve"> </w:t>
      </w:r>
      <w:r>
        <w:rPr>
          <w:i/>
          <w:iCs/>
        </w:rPr>
        <w:t xml:space="preserve">what makes education translate into development?</w:t>
      </w:r>
      <w:r>
        <w:t xml:space="preserve"> </w:t>
      </w:r>
      <w:r>
        <w:t xml:space="preserve">— at the</w:t>
      </w:r>
      <w:r>
        <w:t xml:space="preserve"> </w:t>
      </w:r>
      <w:r>
        <w:rPr>
          <w:i/>
          <w:iCs/>
        </w:rPr>
        <w:t xml:space="preserve">outcome</w:t>
      </w:r>
      <w:r>
        <w:t xml:space="preserve"> </w:t>
      </w:r>
      <w:r>
        <w:t xml:space="preserve">level. Cross-country growth regressions using harmonized test-score measures (rather than years of schooling or enrollment) find that cognitive skills explain a substantial share of cross-country income variation that schooling alone does not capture. The implication for aid is direct: if learning is what matters for growth, and aid is meant to support development, then aid that fails to move learning is structurally misaligned with its stated purpose. This paper is the education-aid-specific extension of that logic — taking the cognitive-skills-as-outcome framing as the dependent-variable construction and asking whether the donor-side input (CRS-recorded education-sector ODA) moves the learning-side output (HCI HLO).</w:t>
      </w:r>
    </w:p>
    <w:bookmarkEnd w:id="11"/>
    <w:bookmarkStart w:id="12" w:name="education-specific-aid-effectiveness"/>
    <w:p>
      <w:pPr>
        <w:pStyle w:val="Heading2"/>
      </w:pPr>
      <w:r>
        <w:t xml:space="preserve">2.2 2.2 Education-specific aid effectiveness</w:t>
      </w:r>
    </w:p>
    <w:p>
      <w:pPr>
        <w:pStyle w:val="FirstParagraph"/>
      </w:pPr>
      <w:r>
        <w:t xml:space="preserve">Within education, the field’s evidence base on</w:t>
      </w:r>
      <w:r>
        <w:t xml:space="preserve"> </w:t>
      </w:r>
      <w:r>
        <w:rPr>
          <w:i/>
          <w:iCs/>
        </w:rPr>
        <w:t xml:space="preserve">what aid composition actually produces learning</w:t>
      </w:r>
      <w:r>
        <w:t xml:space="preserve"> </w:t>
      </w:r>
      <w:r>
        <w:t xml:space="preserve">is broader at the program-evaluation level than at the country-panel level. Glewwe and Muralidharan’s</w:t>
      </w:r>
      <w:r>
        <w:t xml:space="preserve"> </w:t>
      </w:r>
      <w:r>
        <w:t xml:space="preserve">(</w:t>
      </w:r>
      <w:hyperlink w:anchor="ref-glewwe2016improving">
        <w:r>
          <w:rPr>
            <w:rStyle w:val="Hyperlink"/>
          </w:rPr>
          <w:t xml:space="preserve">2016</w:t>
        </w:r>
      </w:hyperlink>
      <w:r>
        <w:t xml:space="preserve">)</w:t>
      </w:r>
      <w:r>
        <w:t xml:space="preserve"> </w:t>
      </w:r>
      <w:r>
        <w:rPr>
          <w:i/>
          <w:iCs/>
        </w:rPr>
        <w:t xml:space="preserve">Handbook of the Economics of Education</w:t>
      </w:r>
      <w:r>
        <w:t xml:space="preserve"> </w:t>
      </w:r>
      <w:r>
        <w:t xml:space="preserve">review synthesizes a substantial RCT and quasi-experimental record on developing-country education interventions and identifies a recurring pattern: pedagogical interventions (targeted instruction; teaching at the right level; structured pedagogy at scale) and accountability mechanisms produce larger learning gains per dollar than mass input interventions (more teachers; more textbooks; more classrooms) in many evaluated settings. The Global Education Evidence Advisory Panel’s (GEEAP)</w:t>
      </w:r>
      <w:r>
        <w:t xml:space="preserve"> </w:t>
      </w:r>
      <w:r>
        <w:t xml:space="preserve">“Smart Buys”</w:t>
      </w:r>
      <w:r>
        <w:t xml:space="preserve"> </w:t>
      </w:r>
      <w:r>
        <w:t xml:space="preserve">framework</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codifies this into a cost-effectiveness ranking that has shaped donor practice. Angrist and colleagues’ Learning-Adjusted Years of Schooling (LAYS) framework</w:t>
      </w:r>
      <w:r>
        <w:t xml:space="preserve"> </w:t>
      </w:r>
      <w:r>
        <w:t xml:space="preserve">(</w:t>
      </w:r>
      <w:hyperlink w:anchor="ref-angrist2024lays">
        <w:r>
          <w:rPr>
            <w:rStyle w:val="Hyperlink"/>
          </w:rPr>
          <w:t xml:space="preserve">Angrist, 2024</w:t>
        </w:r>
      </w:hyperlink>
      <w:r>
        <w:t xml:space="preserve">)</w:t>
      </w:r>
      <w:r>
        <w:t xml:space="preserve"> </w:t>
      </w:r>
      <w:r>
        <w:t xml:space="preserve">provides a reporting unit that puts micro-cost-effectiveness findings on a scale comparable to country-level outcomes.</w:t>
      </w:r>
    </w:p>
    <w:p>
      <w:pPr>
        <w:pStyle w:val="BodyText"/>
      </w:pPr>
      <w:r>
        <w:t xml:space="preserve">The relationship between education</w:t>
      </w:r>
      <w:r>
        <w:t xml:space="preserve"> </w:t>
      </w:r>
      <w:r>
        <w:rPr>
          <w:i/>
          <w:iCs/>
        </w:rPr>
        <w:t xml:space="preserve">spending</w:t>
      </w:r>
      <w:r>
        <w:t xml:space="preserve"> </w:t>
      </w:r>
      <w:r>
        <w:t xml:space="preserve">and learning is, in the published cross-country evidence, conditional rather than monotonic. Vegas and Coffin’s</w:t>
      </w:r>
      <w:r>
        <w:t xml:space="preserve"> </w:t>
      </w:r>
      <w:r>
        <w:t xml:space="preserve">(</w:t>
      </w:r>
      <w:hyperlink w:anchor="ref-vegas2015when">
        <w:r>
          <w:rPr>
            <w:rStyle w:val="Hyperlink"/>
          </w:rPr>
          <w:t xml:space="preserve">2015</w:t>
        </w:r>
      </w:hyperlink>
      <w:r>
        <w:t xml:space="preserve">)</w:t>
      </w:r>
      <w:r>
        <w:t xml:space="preserve"> </w:t>
      </w:r>
      <w:r>
        <w:t xml:space="preserve">analysis using PISA scores and cumulative per-student expenditure data found that the spending–learning relationship plateaus above a threshold (roughly USD 8,000 cumulative spending per student); below the threshold, additional spending raises outcomes; above it, the marginal returns are negligible. Pritchett’s</w:t>
      </w:r>
      <w:r>
        <w:t xml:space="preserve"> </w:t>
      </w:r>
      <w:r>
        <w:t xml:space="preserve">(</w:t>
      </w:r>
      <w:hyperlink w:anchor="ref-pritchett2013rebirth">
        <w:r>
          <w:rPr>
            <w:rStyle w:val="Hyperlink"/>
          </w:rPr>
          <w:t xml:space="preserve">2013</w:t>
        </w:r>
      </w:hyperlink>
      <w:r>
        <w:t xml:space="preserve">)</w:t>
      </w:r>
      <w:r>
        <w:t xml:space="preserve"> </w:t>
      </w:r>
      <w:r>
        <w:rPr>
          <w:i/>
          <w:iCs/>
        </w:rPr>
        <w:t xml:space="preserve">The Rebirth of Education: Schooling Ain’t Learning</w:t>
      </w:r>
      <w:r>
        <w:t xml:space="preserve"> </w:t>
      </w:r>
      <w:r>
        <w:t xml:space="preserve">— the closest qualitative intellectual ancestor of this paper — argues that the broader system of education aid and policy has been organized around inputs (enrollment, completion, expenditure) rather than outcomes (what children can actually do) because the input metrics are politically tractable and the outcome metrics are politically inconvenient. The institutional concept Pritchett develops —</w:t>
      </w:r>
      <w:r>
        <w:t xml:space="preserve"> </w:t>
      </w:r>
      <w:r>
        <w:rPr>
          <w:i/>
          <w:iCs/>
        </w:rPr>
        <w:t xml:space="preserve">isomorphic mimicry</w:t>
      </w:r>
      <w:r>
        <w:t xml:space="preserve">, where education systems adopt the forms of effective schooling without the substance — connects the empirical pattern (input-tracking, learning-stagnating) to the donor-side incentive structures that perpetuate it.</w:t>
      </w:r>
    </w:p>
    <w:p>
      <w:pPr>
        <w:pStyle w:val="BodyText"/>
      </w:pPr>
      <w:r>
        <w:t xml:space="preserve">Taken together, these strands give the</w:t>
      </w:r>
      <w:r>
        <w:t xml:space="preserve"> </w:t>
      </w:r>
      <w:r>
        <w:rPr>
          <w:i/>
          <w:iCs/>
        </w:rPr>
        <w:t xml:space="preserve">program-evaluation</w:t>
      </w:r>
      <w:r>
        <w:t xml:space="preserve"> </w:t>
      </w:r>
      <w:r>
        <w:t xml:space="preserve">and</w:t>
      </w:r>
      <w:r>
        <w:t xml:space="preserve"> </w:t>
      </w:r>
      <w:r>
        <w:rPr>
          <w:i/>
          <w:iCs/>
        </w:rPr>
        <w:t xml:space="preserve">spending-threshold</w:t>
      </w:r>
      <w:r>
        <w:t xml:space="preserve"> </w:t>
      </w:r>
      <w:r>
        <w:t xml:space="preserve">literatures plenty to say about what works in education and where the binding constraints are. They do not, however, give a clean cross-country panel test of</w:t>
      </w:r>
      <w:r>
        <w:t xml:space="preserve"> </w:t>
      </w:r>
      <w:r>
        <w:rPr>
          <w:i/>
          <w:iCs/>
        </w:rPr>
        <w:t xml:space="preserve">whether the aid that countries actually receive moves their learning outcomes over time</w:t>
      </w:r>
      <w:r>
        <w:t xml:space="preserve"> </w:t>
      </w:r>
      <w:r>
        <w:t xml:space="preserve">— which is the question the cross-country panel data we assemble is sized to answer, with the limits we own in §4 and §5. The original Model 4 design (a four-bucket intervention-typology ANOVA on CRS disbursements) was the planned operationalization of the field’s</w:t>
      </w:r>
      <w:r>
        <w:t xml:space="preserve"> </w:t>
      </w:r>
      <w:r>
        <w:t xml:space="preserve">“what aid composition produces learning”</w:t>
      </w:r>
      <w:r>
        <w:t xml:space="preserve"> </w:t>
      </w:r>
      <w:r>
        <w:t xml:space="preserve">question; §4.4 reports the pre-committed protocol failure that prevents Model 4 from running on the available donor-reporting data. That failure is itself a finding for this literature — the pedagogical-vs-input-mass distinction the field treats as policy-load-bearing is</w:t>
      </w:r>
      <w:r>
        <w:t xml:space="preserve"> </w:t>
      </w:r>
      <w:r>
        <w:rPr>
          <w:i/>
          <w:iCs/>
        </w:rPr>
        <w:t xml:space="preserve">not extractable from CRS metadata at country-year resolution</w:t>
      </w:r>
      <w:r>
        <w:t xml:space="preserve">, and §5 takes that as a methodological contribution rather than as a caveat against the paper’s other results.</w:t>
      </w:r>
    </w:p>
    <w:bookmarkEnd w:id="12"/>
    <w:bookmarkStart w:id="13" w:name="methodological-reflection-tradition"/>
    <w:p>
      <w:pPr>
        <w:pStyle w:val="Heading2"/>
      </w:pPr>
      <w:r>
        <w:t xml:space="preserve">2.3 2.3 Methodological-reflection tradition</w:t>
      </w:r>
    </w:p>
    <w:p>
      <w:pPr>
        <w:pStyle w:val="FirstParagraph"/>
      </w:pPr>
      <w:r>
        <w:t xml:space="preserve">This paper positions its contribution alongside a small but growing strand in development empirics that treats</w:t>
      </w:r>
      <w:r>
        <w:t xml:space="preserve"> </w:t>
      </w:r>
      <w:r>
        <w:rPr>
          <w:i/>
          <w:iCs/>
        </w:rPr>
        <w:t xml:space="preserve">what an empirical method can and cannot credibly claim</w:t>
      </w:r>
      <w:r>
        <w:t xml:space="preserve"> </w:t>
      </w:r>
      <w:r>
        <w:t xml:space="preserve">as itself a methodological contribution — not a caveat to be acknowledged before moving on, but a substantive finding the literature should know about. Sandefur’s</w:t>
      </w:r>
      <w:r>
        <w:t xml:space="preserve"> </w:t>
      </w:r>
      <w:r>
        <w:t xml:space="preserve">(</w:t>
      </w:r>
      <w:hyperlink w:anchor="ref-sandefur2018internationally">
        <w:r>
          <w:rPr>
            <w:rStyle w:val="Hyperlink"/>
          </w:rPr>
          <w:t xml:space="preserve">2018</w:t>
        </w:r>
      </w:hyperlink>
      <w:r>
        <w:t xml:space="preserve">)</w:t>
      </w:r>
      <w:r>
        <w:t xml:space="preserve"> </w:t>
      </w:r>
      <w:r>
        <w:rPr>
          <w:i/>
          <w:iCs/>
        </w:rPr>
        <w:t xml:space="preserve">Internationally comparable mathematics scores for fourteen African countries</w:t>
      </w:r>
      <w:r>
        <w:t xml:space="preserve"> </w:t>
      </w:r>
      <w:r>
        <w:t xml:space="preserve">is the clearest precedent on the outcome-measurement side: it re-analyzes the Southern and Eastern Africa Consortium for Monitoring Educational Quality (SACMEQ)–PISA item overlap underlying the harmonized learning measures the field treats as cross-country comparable, finds anchor-sample sizes often too thin for credible item-equating, and concludes that cross-test rankings rest on harmonization assumptions weaker than the literature has admitted. The implicit reading in cross-country panel work has been that within-country fixed effects absorb the level differences such harmonization introduces. §4.7 demonstrates that this reading is incomplete: refit on an alternative harmonized measure reverses the sign of the within-country coefficient — Sandefur’s critique extends to the within-country dimension as well, a hard-won finding for the literature.</w:t>
      </w:r>
    </w:p>
    <w:p>
      <w:pPr>
        <w:pStyle w:val="BodyText"/>
      </w:pPr>
      <w:r>
        <w:t xml:space="preserve">On the cross-country-generalizability side, Vivalt’s</w:t>
      </w:r>
      <w:r>
        <w:t xml:space="preserve"> </w:t>
      </w:r>
      <w:r>
        <w:t xml:space="preserve">(</w:t>
      </w:r>
      <w:hyperlink w:anchor="ref-vivalt2020generalize">
        <w:r>
          <w:rPr>
            <w:rStyle w:val="Hyperlink"/>
          </w:rPr>
          <w:t xml:space="preserve">2020</w:t>
        </w:r>
      </w:hyperlink>
      <w:r>
        <w:t xml:space="preserve">)</w:t>
      </w:r>
      <w:r>
        <w:t xml:space="preserve"> </w:t>
      </w:r>
      <w:r>
        <w:t xml:space="preserve">meta-analysis of impact-evaluation external validity finds that effect sizes in development RCTs vary substantially across contexts — heterogeneity is large enough that single-study estimates routinely do not transport. Deaton and Cartwright</w:t>
      </w:r>
      <w:r>
        <w:t xml:space="preserve"> </w:t>
      </w:r>
      <w:r>
        <w:t xml:space="preserve">(</w:t>
      </w:r>
      <w:hyperlink w:anchor="ref-deaton2018rcts">
        <w:r>
          <w:rPr>
            <w:rStyle w:val="Hyperlink"/>
          </w:rPr>
          <w:t xml:space="preserve">2018</w:t>
        </w:r>
      </w:hyperlink>
      <w:r>
        <w:t xml:space="preserve">)</w:t>
      </w:r>
      <w:r>
        <w:t xml:space="preserve">, in</w:t>
      </w:r>
      <w:r>
        <w:t xml:space="preserve"> </w:t>
      </w:r>
      <w:r>
        <w:rPr>
          <w:i/>
          <w:iCs/>
        </w:rPr>
        <w:t xml:space="preserve">Understanding and misunderstanding randomized controlled trials</w:t>
      </w:r>
      <w:r>
        <w:t xml:space="preserve">, argue more broadly that the RCT methodological community over-interprets the inferential warrants that randomization itself supports; covariate imbalance, treatment-effect heterogeneity, and the absence of a credible causal model can each undermine the routine</w:t>
      </w:r>
      <w:r>
        <w:t xml:space="preserve"> </w:t>
      </w:r>
      <w:r>
        <w:t xml:space="preserve">“RCT = gold standard”</w:t>
      </w:r>
      <w:r>
        <w:t xml:space="preserve"> </w:t>
      </w:r>
      <w:r>
        <w:t xml:space="preserve">framing. The substantive method Vivalt and Deaton-Cartwright critique (RCTs) differs from the method this paper uses (cross-country panel FE), but the</w:t>
      </w:r>
      <w:r>
        <w:t xml:space="preserve"> </w:t>
      </w:r>
      <w:r>
        <w:rPr>
          <w:i/>
          <w:iCs/>
        </w:rPr>
        <w:t xml:space="preserve">over-claiming</w:t>
      </w:r>
      <w:r>
        <w:t xml:space="preserve"> </w:t>
      </w:r>
      <w:r>
        <w:t xml:space="preserve">concern carries: the cross-country-panel community has likewise tended to report a within-FE coefficient as if it were measure-independent, sample-independent, and identification-robust, when in fact each of those properties needs to be tested rather than assumed. The pre-commitment framework of this manuscript — and the §3 design that operationalizes it — places the paper deliberately in this lineage.</w:t>
      </w:r>
    </w:p>
    <w:p>
      <w:pPr>
        <w:pStyle w:val="BodyText"/>
      </w:pPr>
      <w:r>
        <w:t xml:space="preserve">The compounding-divergence literature — Muthukrishna and Schellekens’</w:t>
      </w:r>
      <w:r>
        <w:t xml:space="preserve"> </w:t>
      </w:r>
      <w:r>
        <w:t xml:space="preserve">(</w:t>
      </w:r>
      <w:hyperlink w:anchor="ref-muthukrishna2025divergence">
        <w:r>
          <w:rPr>
            <w:rStyle w:val="Hyperlink"/>
          </w:rPr>
          <w:t xml:space="preserve">2025</w:t>
        </w:r>
      </w:hyperlink>
      <w:r>
        <w:t xml:space="preserve">)</w:t>
      </w:r>
      <w:r>
        <w:t xml:space="preserve"> </w:t>
      </w:r>
      <w:r>
        <w:t xml:space="preserve">UNDP report, Mandon’s</w:t>
      </w:r>
      <w:r>
        <w:t xml:space="preserve"> </w:t>
      </w:r>
      <w:r>
        <w:t xml:space="preserve">(</w:t>
      </w:r>
      <w:hyperlink w:anchor="ref-mandon2025beyond">
        <w:r>
          <w:rPr>
            <w:rStyle w:val="Hyperlink"/>
          </w:rPr>
          <w:t xml:space="preserve">2025</w:t>
        </w:r>
      </w:hyperlink>
      <w:r>
        <w:t xml:space="preserve">)</w:t>
      </w:r>
      <w:r>
        <w:t xml:space="preserve"> </w:t>
      </w:r>
      <w:r>
        <w:rPr>
          <w:i/>
          <w:iCs/>
        </w:rPr>
        <w:t xml:space="preserve">Beyond the AI Divide</w:t>
      </w:r>
      <w:r>
        <w:t xml:space="preserve"> </w:t>
      </w:r>
      <w:r>
        <w:t xml:space="preserve">World Bank working paper, and the joint ILO–World Bank</w:t>
      </w:r>
      <w:r>
        <w:t xml:space="preserve"> </w:t>
      </w:r>
      <w:r>
        <w:rPr>
          <w:i/>
          <w:iCs/>
        </w:rPr>
        <w:t xml:space="preserve">Disruption without dividend?</w:t>
      </w:r>
      <w:r>
        <w:t xml:space="preserve"> </w:t>
      </w:r>
      <w:r>
        <w:t xml:space="preserve">background study</w:t>
      </w:r>
      <w:r>
        <w:t xml:space="preserve"> </w:t>
      </w:r>
      <w:r>
        <w:t xml:space="preserve">(</w:t>
      </w:r>
      <w:hyperlink w:anchor="ref-ilo2026disruption">
        <w:r>
          <w:rPr>
            <w:rStyle w:val="Hyperlink"/>
          </w:rPr>
          <w:t xml:space="preserve">2026</w:t>
        </w:r>
      </w:hyperlink>
      <w:r>
        <w:t xml:space="preserve">)</w:t>
      </w:r>
      <w:r>
        <w:t xml:space="preserve"> </w:t>
      </w:r>
      <w:r>
        <w:t xml:space="preserve">for the</w:t>
      </w:r>
      <w:r>
        <w:t xml:space="preserve"> </w:t>
      </w:r>
      <w:r>
        <w:rPr>
          <w:i/>
          <w:iCs/>
        </w:rPr>
        <w:t xml:space="preserve">World Development Report 2026</w:t>
      </w:r>
      <w:r>
        <w:t xml:space="preserve"> </w:t>
      </w:r>
      <w:r>
        <w:t xml:space="preserve">— articulates a different methodological-reflection theme. These works argue that AI-driven divergence between countries is conditional on absorptive capacity (human capital, digital infrastructure, governance) and that the standard country-comparison tools have not yet operationalized the joint distribution of those capacities at country-cross-section resolution. The §4.6 Compounding AI Penalty analysis is our contribution at that joint-distribution operationalization layer; we cite the three above as the closest theoretical (Muthukrishna-Schellekens) and practitioner (Mandon; ILO-WBG) antecedents we are aware of, while noting in §4.6 that we are not aware of a prior peer-reviewed paper that constructs the HCI × Oxford-GARI joint composite at the exact country-cross-section level we report.</w:t>
      </w:r>
    </w:p>
    <w:bookmarkEnd w:id="13"/>
    <w:bookmarkEnd w:id="14"/>
    <w:bookmarkStart w:id="19" w:name="data-methodology"/>
    <w:p>
      <w:pPr>
        <w:pStyle w:val="Heading1"/>
      </w:pPr>
      <w:r>
        <w:t xml:space="preserve">3. 3. Data &amp; Methodology</w:t>
      </w:r>
    </w:p>
    <w:bookmarkStart w:id="15" w:name="data-sources-and-panel-construction"/>
    <w:p>
      <w:pPr>
        <w:pStyle w:val="Heading2"/>
      </w:pPr>
      <w:r>
        <w:t xml:space="preserve">3.1 3.1 Data sources and panel construction</w:t>
      </w:r>
    </w:p>
    <w:p>
      <w:pPr>
        <w:pStyle w:val="FirstParagraph"/>
      </w:pPr>
      <w:r>
        <w:t xml:space="preserve">The analytical panel is a balanced 133-country × 11-year (2010–2020) dataset assembled from ten administrative and harmonized-research sources. The country universe is the set of recipient countries that received any positive OECD CRS commitment between 1995 and 2024</w:t>
      </w:r>
      <w:r>
        <w:t xml:space="preserve"> </w:t>
      </w:r>
      <w:r>
        <w:rPr>
          <w:i/>
          <w:iCs/>
        </w:rPr>
        <w:t xml:space="preserve">and</w:t>
      </w:r>
      <w:r>
        <w:t xml:space="preserve"> </w:t>
      </w:r>
      <w:r>
        <w:t xml:space="preserve">recorded at least one Human Capital Index Harmonized Learning Outcomes (HLO) observation in the period; 127 of the 133 carry the ≥2 HLO cycles required for within-country slope identification in Model 2. The 2010–2020 primary window is HCI-cycle-anchored — HLO is observed only in 2010, 2017, 2018, and 2020 — so wider windows (2000–2022 and 2005–2020) yield mechanically identical Model-2 samples; both are reported as referee-resistant robustness alongside the primary. COVID-affected years (2020–2022) are handled with a time-varying school-closure control derived from the UNESCO HDX daily-status time series; a parallel robustness drops 2020+ entirely.</w:t>
      </w:r>
    </w:p>
    <w:p>
      <w:pPr>
        <w:pStyle w:val="BodyText"/>
      </w:pPr>
      <w:r>
        <w:t xml:space="preserve">The outcome variable is the World Bank Human Capital Index Harmonized Test Scores (</w:t>
      </w:r>
      <w:r>
        <w:rPr>
          <w:rStyle w:val="VerbatimChar"/>
        </w:rPr>
        <w:t xml:space="preserve">HD.HCI.HLOS</w:t>
      </w:r>
      <w:r>
        <w:t xml:space="preserve">), fetched via the WDI API and stored as</w:t>
      </w:r>
      <w:r>
        <w:t xml:space="preserve"> </w:t>
      </w:r>
      <w:r>
        <w:rPr>
          <w:rStyle w:val="VerbatimChar"/>
        </w:rPr>
        <w:t xml:space="preserve">hlo_score</w:t>
      </w:r>
      <w:r>
        <w:t xml:space="preserve"> </w:t>
      </w:r>
      <w:r>
        <w:t xml:space="preserve">(scale roughly 300–625, anchored on Progress in International Reading Literacy Study (PIRLS) and Trends in International Mathematics and Science Study (TIMSS) primary benchmarks at 400/475/625). The principal robustness measure is the Altinok, Angrist and Patrinos</w:t>
      </w:r>
      <w:r>
        <w:t xml:space="preserve"> </w:t>
      </w:r>
      <w:r>
        <w:t xml:space="preserve">(</w:t>
      </w:r>
      <w:hyperlink w:anchor="ref-altinok2018global">
        <w:r>
          <w:rPr>
            <w:rStyle w:val="Hyperlink"/>
          </w:rPr>
          <w:t xml:space="preserve">2018</w:t>
        </w:r>
      </w:hyperlink>
      <w:r>
        <w:t xml:space="preserve">)</w:t>
      </w:r>
      <w:r>
        <w:t xml:space="preserve"> </w:t>
      </w:r>
      <w:r>
        <w:rPr>
          <w:i/>
          <w:iCs/>
        </w:rPr>
        <w:t xml:space="preserve">Global Data Set on Education Quality (1965–2015)</w:t>
      </w:r>
      <w:r>
        <w:t xml:space="preserve"> </w:t>
      </w:r>
      <w:r>
        <w:t xml:space="preserve">— a parallel harmonization stored as</w:t>
      </w:r>
      <w:r>
        <w:t xml:space="preserve"> </w:t>
      </w:r>
      <w:r>
        <w:rPr>
          <w:rStyle w:val="VerbatimChar"/>
        </w:rPr>
        <w:t xml:space="preserve">aap_hlo_aap</w:t>
      </w:r>
      <w:r>
        <w:t xml:space="preserve"> </w:t>
      </w:r>
      <w:r>
        <w:t xml:space="preserve">and fetched from the OWID</w:t>
      </w:r>
      <w:r>
        <w:t xml:space="preserve"> </w:t>
      </w:r>
      <w:r>
        <w:rPr>
          <w:rStyle w:val="VerbatimChar"/>
        </w:rPr>
        <w:t xml:space="preserve">owid-datasets</w:t>
      </w:r>
      <w:r>
        <w:t xml:space="preserve"> </w:t>
      </w:r>
      <w:r>
        <w:t xml:space="preserve">GitHub mirror at a frozen commit hash. ADR-0004 commits the paper to verifying sign-agreement on the within-country coefficient across the two measures as a precondition for the headline claim; §4.7 reports the measure-sensitivity finding from that test. The Sandefur</w:t>
      </w:r>
      <w:r>
        <w:t xml:space="preserve"> </w:t>
      </w:r>
      <w:r>
        <w:t xml:space="preserve">(</w:t>
      </w:r>
      <w:hyperlink w:anchor="ref-sandefur2018internationally">
        <w:r>
          <w:rPr>
            <w:rStyle w:val="Hyperlink"/>
          </w:rPr>
          <w:t xml:space="preserve">2018</w:t>
        </w:r>
      </w:hyperlink>
      <w:r>
        <w:t xml:space="preserve">)</w:t>
      </w:r>
      <w:r>
        <w:t xml:space="preserve"> </w:t>
      </w:r>
      <w:r>
        <w:t xml:space="preserve">critique that anchor-equating between testing regimes (PISA, TIMSS, SACMEQ, and the Programme d’analyse des systèmes éducatifs de la CONFEMEN (PASEC)) produces score-equivalence claims that may not hold in practice — particularly for sub-Saharan African countries that anchor through small overlapping samples — is engaged head-on in two places: the within-country fixed-effects specification (Model 2) absorbs any time-invariant cross-country level miscalibration in the harmonization, and the AAP-2018 alternative serves as the published-measure check against measurement-choice fragility. Learning-Adjusted Years of Schooling (</w:t>
      </w:r>
      <w:r>
        <w:rPr>
          <w:rStyle w:val="VerbatimChar"/>
        </w:rPr>
        <w:t xml:space="preserve">hci_lays_overall</w:t>
      </w:r>
      <w:r>
        <w:t xml:space="preserve">, computed by the World Bank as</w:t>
      </w:r>
      <w:r>
        <w:t xml:space="preserve"> </w:t>
      </w:r>
      <m:oMath>
        <m:r>
          <m:rPr>
            <m:nor/>
            <m:sty m:val="p"/>
          </m:rPr>
          <m:t>LAYS</m:t>
        </m:r>
        <m:r>
          <m:rPr>
            <m:sty m:val="p"/>
          </m:rPr>
          <m:t>=</m:t>
        </m:r>
        <m:r>
          <m:rPr>
            <m:nor/>
            <m:sty m:val="p"/>
          </m:rPr>
          <m:t>EYS</m:t>
        </m:r>
        <m:r>
          <m:rPr>
            <m:sty m:val="p"/>
          </m:rPr>
          <m:t>×</m:t>
        </m:r>
        <m:r>
          <m:rPr>
            <m:sty m:val="p"/>
          </m:rPr>
          <m:t>(</m:t>
        </m:r>
        <m:r>
          <m:rPr>
            <m:nor/>
            <m:sty m:val="p"/>
          </m:rPr>
          <m:t>HLO</m:t>
        </m:r>
        <m:r>
          <m:rPr>
            <m:sty m:val="p"/>
          </m:rPr>
          <m:t>/</m:t>
        </m:r>
        <m:r>
          <m:t>625</m:t>
        </m:r>
        <m:r>
          <m:rPr>
            <m:sty m:val="p"/>
          </m:rPr>
          <m:t>)</m:t>
        </m:r>
      </m:oMath>
      <w:r>
        <w:t xml:space="preserve">) is reported as a parallel outcome to put the paper’s findings in the unit Angrist</w:t>
      </w:r>
      <w:r>
        <w:t xml:space="preserve"> </w:t>
      </w:r>
      <w:r>
        <w:t xml:space="preserve">(</w:t>
      </w:r>
      <w:hyperlink w:anchor="ref-angrist2024lays">
        <w:r>
          <w:rPr>
            <w:rStyle w:val="Hyperlink"/>
          </w:rPr>
          <w:t xml:space="preserve">2024</w:t>
        </w:r>
      </w:hyperlink>
      <w:r>
        <w:t xml:space="preserve">)</w:t>
      </w:r>
      <w:r>
        <w:t xml:space="preserve"> </w:t>
      </w:r>
      <w:r>
        <w:t xml:space="preserve">and the GEEAP</w:t>
      </w:r>
      <w:r>
        <w:t xml:space="preserve"> </w:t>
      </w:r>
      <w:r>
        <w:t xml:space="preserve">(</w:t>
      </w:r>
      <w:hyperlink w:anchor="ref-geeap2023smart">
        <w:r>
          <w:rPr>
            <w:rStyle w:val="Hyperlink"/>
          </w:rPr>
          <w:t xml:space="preserve">2023</w:t>
        </w:r>
      </w:hyperlink>
      <w:r>
        <w:t xml:space="preserve">)</w:t>
      </w:r>
      <w:r>
        <w:t xml:space="preserve"> </w:t>
      </w:r>
      <w:r>
        <w:t xml:space="preserve">cost-effectiveness benchmarks use.</w:t>
      </w:r>
    </w:p>
    <w:p>
      <w:pPr>
        <w:pStyle w:val="BodyText"/>
      </w:pPr>
      <w:r>
        <w:t xml:space="preserve">The treatment variable is OECD DAC Creditor Reporting System (CRS) disbursements to education (sector codes 110/111/112/113/114), constant USD with the DAC deflator, and a three-year strictly-past moving average (mean of</w:t>
      </w:r>
      <w:r>
        <w:t xml:space="preserve"> </w:t>
      </w:r>
      <w:r>
        <w:rPr>
          <w:i/>
          <w:iCs/>
        </w:rPr>
        <w:t xml:space="preserve">t</w:t>
      </w:r>
      <w:r>
        <w:t xml:space="preserve">−3,</w:t>
      </w:r>
      <w:r>
        <w:t xml:space="preserve"> </w:t>
      </w:r>
      <w:r>
        <w:rPr>
          <w:i/>
          <w:iCs/>
        </w:rPr>
        <w:t xml:space="preserve">t</w:t>
      </w:r>
      <w:r>
        <w:t xml:space="preserve">−2,</w:t>
      </w:r>
      <w:r>
        <w:t xml:space="preserve"> </w:t>
      </w:r>
      <w:r>
        <w:rPr>
          <w:i/>
          <w:iCs/>
        </w:rPr>
        <w:t xml:space="preserve">t</w:t>
      </w:r>
      <w:r>
        <w:t xml:space="preserve">−1). ADR-0005 locks this construction —</w:t>
      </w:r>
      <w:r>
        <w:t xml:space="preserve"> </w:t>
      </w:r>
      <w:r>
        <w:rPr>
          <w:rStyle w:val="VerbatimChar"/>
        </w:rPr>
        <w:t xml:space="preserve">crs_disburse_usd_defl_ma3_lag1</w:t>
      </w:r>
      <w:r>
        <w:t xml:space="preserve"> </w:t>
      </w:r>
      <w:r>
        <w:t xml:space="preserve">— from a 16-cell sensitivity surface that tests commitment-vs-disbursement, current-vs-constant USD, and four lag/MA combinations. All sixteen cells produce a non-negative within-country coefficient on HLO; the strictly-past MA is chosen as primary because it forecloses contemporaneous donor response to within-year learning shocks. The raw OECD CRS extract is a 537,586-row project-level parquet (release CRS-Parquet-v20260408) fetched via the OECD’s SDMX endpoint; aggregation to the (iso3, year) panel happens in</w:t>
      </w:r>
      <w:r>
        <w:t xml:space="preserve"> </w:t>
      </w:r>
      <w:r>
        <w:rPr>
          <w:rStyle w:val="VerbatimChar"/>
        </w:rPr>
        <w:t xml:space="preserve">R/30_merge_panel.R</w:t>
      </w:r>
      <w:r>
        <w:t xml:space="preserve"> </w:t>
      </w:r>
      <w:r>
        <w:t xml:space="preserve">at Phase 2. NA cells within the ODA-eligible universe are coalesced to zero before MA computation, on the rationale that ODA-eligible recipients with no recorded CRS project in year</w:t>
      </w:r>
      <w:r>
        <w:t xml:space="preserve"> </w:t>
      </w:r>
      <w:r>
        <w:rPr>
          <w:i/>
          <w:iCs/>
        </w:rPr>
        <w:t xml:space="preserve">t</w:t>
      </w:r>
      <w:r>
        <w:t xml:space="preserve"> </w:t>
      </w:r>
      <w:r>
        <w:t xml:space="preserve">received zero dollars that year, not</w:t>
      </w:r>
      <w:r>
        <w:t xml:space="preserve"> </w:t>
      </w:r>
      <w:r>
        <w:t xml:space="preserve">“data missing”</w:t>
      </w:r>
      <w:r>
        <w:t xml:space="preserve">. AidData’s Global Chinese Development Finance v3.0 (GCDF; ADR-0008) is ingested in parallel for the non-DAC blind-spot robustness reported in Appendix B.</w:t>
      </w:r>
    </w:p>
    <w:p>
      <w:pPr>
        <w:pStyle w:val="BodyText"/>
      </w:pPr>
      <w:r>
        <w:t xml:space="preserve">Macro and sector controls (WDI: GDP per capita in constant USD; pupil-teacher ratio at primary level; education expenditure as percent of GDP) are fetched via the</w:t>
      </w:r>
      <w:r>
        <w:t xml:space="preserve"> </w:t>
      </w:r>
      <w:r>
        <w:rPr>
          <w:rStyle w:val="VerbatimChar"/>
        </w:rPr>
        <w:t xml:space="preserve">WDI</w:t>
      </w:r>
      <w:r>
        <w:t xml:space="preserve"> </w:t>
      </w:r>
      <w:r>
        <w:t xml:space="preserve">R package. Governance controls use the native Worldwide Governance Indicators bundle to retain the per-source count needed to engage Langbein and Knack’s</w:t>
      </w:r>
      <w:r>
        <w:t xml:space="preserve"> </w:t>
      </w:r>
      <w:r>
        <w:t xml:space="preserve">(</w:t>
      </w:r>
      <w:hyperlink w:anchor="ref-langbein2010governance">
        <w:r>
          <w:rPr>
            <w:rStyle w:val="Hyperlink"/>
          </w:rPr>
          <w:t xml:space="preserve">2010</w:t>
        </w:r>
      </w:hyperlink>
      <w:r>
        <w:t xml:space="preserve">)</w:t>
      </w:r>
      <w:r>
        <w:t xml:space="preserve"> </w:t>
      </w:r>
      <w:r>
        <w:t xml:space="preserve">critique that the six WGI dimensions collapse to a single latent factor. ADR-0009 locks the operationalization as the PCA-collapsed first principal component (</w:t>
      </w:r>
      <w:r>
        <w:rPr>
          <w:rStyle w:val="VerbatimChar"/>
        </w:rPr>
        <w:t xml:space="preserve">wgi_pc1</w:t>
      </w:r>
      <w:r>
        <w:t xml:space="preserve">); PC1 captures 76.4 % of WGI variance on this sample with all six loadings positive in the 0.35–0.45 band (Appendix B), and the all-six specification shows none of the six dimensions individually significant despite joint significance — empirically confirming the Langbein-Knack aggregation critique. ADR-0006 drops UNESCO Institute for Statistics (UIS) variables from the primary specification due to high regional missingness (private expenditure 91.8 % missing in sub-Saharan Africa); a UIS-augmented listwise robustness is reported in Appendix B. The enrollment and out-of-school indicators flowing through WDI and UIS rest on country-side reporting to UNESCO’s annual education survey; ministries face well-documented incentives to over-report enrollment and under-report out-of-school children during MDG and SDG-4 monitoring cycles, and the paper treats these variables as suggestive rather than authoritative. The §5 limits paragraph owns this measurement caveat directly.</w:t>
      </w:r>
    </w:p>
    <w:p>
      <w:pPr>
        <w:pStyle w:val="BodyText"/>
      </w:pPr>
      <w:r>
        <w:t xml:space="preserve">Two confounder sources control for time-varying disruption. The Uppsala Conflict Data Program / PRIO Armed Conflict Dataset (v25.1 + Battle-Related Deaths v25.1) provides a binary</w:t>
      </w:r>
      <w:r>
        <w:t xml:space="preserve"> </w:t>
      </w:r>
      <w:r>
        <w:rPr>
          <w:rStyle w:val="VerbatimChar"/>
        </w:rPr>
        <w:t xml:space="preserve">in_conflict</w:t>
      </w:r>
      <w:r>
        <w:t xml:space="preserve"> </w:t>
      </w:r>
      <w:r>
        <w:t xml:space="preserve">indicator and intensity counts, aggregated to country-year from the original conflict-level data; 12.3 % of country-year cells in the panel show active conflict, with the expected sub-Saharan over-representation (25.3 % SSA vs 9.2 % rest-of-world). The UNESCO COVID-19 School Closures dataset gives</w:t>
      </w:r>
      <w:r>
        <w:t xml:space="preserve"> </w:t>
      </w:r>
      <w:r>
        <w:rPr>
          <w:rStyle w:val="VerbatimChar"/>
        </w:rPr>
        <w:t xml:space="preserve">days_closed</w:t>
      </w:r>
      <w:r>
        <w:t xml:space="preserve"> </w:t>
      </w:r>
      <w:r>
        <w:t xml:space="preserve">per country-year for 2020–2022, derived transparently from the daily status time series rather than from UNESCO’s pre-aggregated figures; cross-validation against the pre-aggregated source agrees at median |diff| = 2 days. Both confounders enter Model 2 as time-varying controls and are documented at variable-level in Appendix C.</w:t>
      </w:r>
    </w:p>
    <w:bookmarkEnd w:id="15"/>
    <w:bookmarkStart w:id="16" w:name="pre-commitment-design"/>
    <w:p>
      <w:pPr>
        <w:pStyle w:val="Heading2"/>
      </w:pPr>
      <w:r>
        <w:t xml:space="preserve">3.2 3.2 Pre-commitment design</w:t>
      </w:r>
    </w:p>
    <w:p>
      <w:pPr>
        <w:pStyle w:val="FirstParagraph"/>
      </w:pPr>
      <w:r>
        <w:t xml:space="preserve">The pre-commitment framework rests on a design choice the cross-country aid-effectiveness literature has not historically made: every consequential analytical decision is locked in an Architecture Decision Record (ADR)</w:t>
      </w:r>
      <w:r>
        <w:t xml:space="preserve"> </w:t>
      </w:r>
      <w:r>
        <w:rPr>
          <w:i/>
          <w:iCs/>
        </w:rPr>
        <w:t xml:space="preserve">before</w:t>
      </w:r>
      <w:r>
        <w:t xml:space="preserve"> </w:t>
      </w:r>
      <w:r>
        <w:t xml:space="preserve">the analysis whose result the decision would influence runs. Twelve ADRs were written across the paper’s analytical lifespan; Appendix A.1 inventories all twelve with status. The four load-bearing ones referenced repeatedly below are ADR-0002 (country universe, ODA-eligible ∩ ≥1 HLO observation, N = 133), ADR-0004 (HLO measure choice with a pre-specified sign-agreement gate), ADR-0005 (treatment construction as strictly-past 3-year MA of constant-USD disbursements), and ADR-0012 (retirement of the UIS multiple-imputation sub-commitment of ADR-0006 after MCAR rejection). ADR-0007 (CRS intervention typology) is the single Rejected ADR: its pre-committed inter-method agreement gate failed on all three criteria, retiring Model 4 before it produced defensible-looking but fragile results. The ADR architecture is the operational frame for treating every potentially-arbitrary methodological choice as a falsifiable gate the data must clear, not paperwork.</w:t>
      </w:r>
    </w:p>
    <w:p>
      <w:pPr>
        <w:pStyle w:val="BodyText"/>
      </w:pPr>
      <w:r>
        <w:t xml:space="preserve">A pre-registered diagnostic battery sits alongside the ADR layer. Every statistical test, robustness specification, and reproducibility commitment the manuscript makes is documented in advance; each is then either executed (with the result reported in §4–§5), retired via documented ADR (the typology-ANOVA per ADR-0007; the UIS multiple imputation per ADR-0012), or noted as not feasible at the panel’s small T (the Dumitrescu-Hurlin Granger test and the Arellano-Bond GMM remedy of ADR-0010, both blocked by T_eff ≤ 4). The principal robustness check on the HLO measure produced a sign-flip the manuscript adapts to throughout.</w:t>
      </w:r>
    </w:p>
    <w:p>
      <w:pPr>
        <w:pStyle w:val="BodyText"/>
      </w:pPr>
      <w:r>
        <w:t xml:space="preserve">A post-draft adversarial review protocol completes the pre-commitment apparatus: an argumentative-coherence read on the assembled draft asking</w:t>
      </w:r>
      <w:r>
        <w:t xml:space="preserve"> </w:t>
      </w:r>
      <w:r>
        <w:rPr>
          <w:i/>
          <w:iCs/>
        </w:rPr>
        <w:t xml:space="preserve">does the argument hold without the numbers?</w:t>
      </w:r>
      <w:r>
        <w:t xml:space="preserve">, followed by a deliberate 48-hour gap and then a skeptical-referee read marking every sentence of the form</w:t>
      </w:r>
      <w:r>
        <w:t xml:space="preserve"> </w:t>
      </w:r>
      <w:r>
        <w:rPr>
          <w:i/>
          <w:iCs/>
        </w:rPr>
        <w:t xml:space="preserve">“claim X but did not demonstrate X”</w:t>
      </w:r>
      <w:r>
        <w:t xml:space="preserve"> </w:t>
      </w:r>
      <w:r>
        <w:t xml:space="preserve">for repair or reframe. The collective discipline is straightforward: every claim the manuscript makes is traceable to a committed-in-advance diagnostic with documented status, and every methodological choice is locked in an ADR before the result that depends on it is generated.</w:t>
      </w:r>
    </w:p>
    <w:bookmarkEnd w:id="16"/>
    <w:bookmarkStart w:id="17" w:name="positionality"/>
    <w:p>
      <w:pPr>
        <w:pStyle w:val="Heading2"/>
      </w:pPr>
      <w:r>
        <w:t xml:space="preserve">3.3 3.3 Positionality</w:t>
      </w:r>
    </w:p>
    <w:p>
      <w:pPr>
        <w:pStyle w:val="FirstParagraph"/>
      </w:pPr>
      <w:r>
        <w:rPr>
          <w:i/>
          <w:iCs/>
        </w:rPr>
        <w:t xml:space="preserve">Positionality statement to follow before final submission; the author’s practitioner background grounds the methodological priors stated above.</w:t>
      </w:r>
    </w:p>
    <w:bookmarkEnd w:id="17"/>
    <w:bookmarkStart w:id="18" w:name="statistical-validity-audit-summary"/>
    <w:p>
      <w:pPr>
        <w:pStyle w:val="Heading2"/>
      </w:pPr>
      <w:r>
        <w:t xml:space="preserve">3.4 3.4 Statistical-validity audit summary</w:t>
      </w:r>
    </w:p>
    <w:p>
      <w:pPr>
        <w:pStyle w:val="FirstParagraph"/>
      </w:pPr>
      <w:r>
        <w:t xml:space="preserve">The pre-registered statistical-validity audit completed with the following dispositions across the twelve diagnostics committed in advance: each was either executed and passed; withdrawn per a documented ADR (the two ANOVA diagnostics under ADR-0007 Rejected); scope-resolved (the 3-level student-school-country HLM reframed to country-level only, pending PISA/TIMSS/PIRLS micro-data); deferred to a later argumentative-coherence and adversarial-read pass with documentation; or documented as not feasible at small T (the Dumitrescu-Hurlin Granger test and the System GMM remedy of ADR-0010 are both blocked by the HCI-cycle panel’s T_eff ≤ 4).</w:t>
      </w:r>
    </w:p>
    <w:p>
      <w:pPr>
        <w:pStyle w:val="BodyText"/>
      </w:pPr>
      <w:r>
        <w:t xml:space="preserve">The substantive audit finding is not the diagnostic-checklist completion. It is the failed HLO measure-sensitivity check: the principal robustness committed in ADR-0004 — refit Model 2’s headline specification on the AAP-2018 alternative outcome and verify sign agreement with the World Bank HCI HLOS specification — produced a sign-flip on both the full AAP coverage (β = −16.67, p = 0.009) and the overlap window restricted to year ≥ 2010 (β = −3.94, p = 0.66). The overlap-window null rules out sample-window composition as the sole driver; the harmonized-measure choice itself materially shapes the headline. ADR-0004 documents the failure; the manuscript adapts via the hedge route — the within-country positive headline is reported throughout the paper with explicit measure-qualification (</w:t>
      </w:r>
      <w:r>
        <w:t xml:space="preserve">“</w:t>
      </w:r>
      <w:r>
        <w:rPr>
          <w:i/>
          <w:iCs/>
        </w:rPr>
        <w:t xml:space="preserve">in the WB HCI HLOS specification on the 2010–2020 panel</w:t>
      </w:r>
      <w:r>
        <w:t xml:space="preserve">”</w:t>
      </w:r>
      <w:r>
        <w:t xml:space="preserve">) rather than naked attribution. §4.7 reports the sensitivity numbers; §5 frames the measure-fragility as itself a methodological contribution to the cross-country aid-learning literature, alongside the Model 4 drop (§4.4 / ADR-0007 Rejected) and the UIS multiple-imputation retirement (§4.7 / ADR-0012).</w:t>
      </w:r>
    </w:p>
    <w:bookmarkEnd w:id="18"/>
    <w:bookmarkEnd w:id="19"/>
    <w:bookmarkStart w:id="50" w:name="results"/>
    <w:p>
      <w:pPr>
        <w:pStyle w:val="Heading1"/>
      </w:pPr>
      <w:r>
        <w:t xml:space="preserve">4. 4. Results</w:t>
      </w:r>
    </w:p>
    <w:bookmarkStart w:id="24" w:name="X8904876e4083c10951e438151e4dce25b5a5923"/>
    <w:p>
      <w:pPr>
        <w:pStyle w:val="Heading2"/>
      </w:pPr>
      <w:r>
        <w:t xml:space="preserve">4.1 4.1 Descriptive: Enrollment-learning divergence</w:t>
      </w:r>
    </w:p>
    <w:p>
      <w:pPr>
        <w:pStyle w:val="FirstParagraph"/>
      </w:pPr>
      <w:r>
        <w:t xml:space="preserve">The analytical universe is the 133-country sample locked in §3.1 (ODA-eligible countries with at least one HLO observation in 2000–2022, per ADR-0002), with the primary window narrowed to 2010–2020 per ADR-0003. The HLO outcome is observed only in four Human Capital Index assessment cycles (2010, 2017, 2018, 2020), and within-country variation is therefore identified off at most four observations per country — a structural feature of the harmonized cross-country learning measurement landscape that constrains every downstream identification claim. Of the 133-country universe, 127 countries have at least two HLO observations and are within-country fixed-effects identifiable; 30 of the 133 (23 percent) eventually drop out of Model 2 via listwise on controls plus singleton-FE absorption.</w:t>
      </w:r>
    </w:p>
    <w:p>
      <w:pPr>
        <w:pStyle w:val="BodyText"/>
      </w:pPr>
      <w:r>
        <w:t xml:space="preserve">The descriptive headline of the panel is the divergence between enrollment and learning. Gross primary enrollment is uniformly high across all six World Bank regions over the primary window — region means range from 98.5 percent (Europe &amp; Central Asia) to 109.1 percent (Latin America &amp; Caribbean). HLO score is not: the same six-region grid spans 82 points (sub-Saharan Africa 374; ECA 456), roughly 1.6 within-universe standard deviations. The harmonized LAYS measure shows a 4.3-year cross-region spread (SSA 4.9; ECA 9.2). On the 2020 cross-section — the densest cycle, with 106 countries reporting both indicators — the bivariate OLS slope of HLO on gross primary enrollment is</w:t>
      </w:r>
      <w:r>
        <w:t xml:space="preserve"> </w:t>
      </w:r>
      <w:r>
        <w:rPr>
          <w:b/>
          <w:bCs/>
        </w:rPr>
        <w:t xml:space="preserve">−0.65 HLO points per one-percentage-point enrollment increase</w:t>
      </w:r>
      <w:r>
        <w:t xml:space="preserve"> </w:t>
      </w:r>
      <w:r>
        <w:t xml:space="preserve">(p = 0.13, not significant); the R² is 0.02. Enrollment</w:t>
      </w:r>
      <w:r>
        <w:t xml:space="preserve"> </w:t>
      </w:r>
      <w:r>
        <w:t xml:space="preserve">“explains”</w:t>
      </w:r>
      <w:r>
        <w:t xml:space="preserve"> </w:t>
      </w:r>
      <w:r>
        <w:t xml:space="preserve">approximately two percent of cross-country HLO variance, and the relationship is trending slightly negative. The named-country contrast that grounds the abstraction:</w:t>
      </w:r>
      <w:r>
        <w:t xml:space="preserve"> </w:t>
      </w:r>
      <w:r>
        <w:rPr>
          <w:b/>
          <w:bCs/>
        </w:rPr>
        <w:t xml:space="preserve">Kenya</w:t>
      </w:r>
      <w:r>
        <w:t xml:space="preserve"> </w:t>
      </w:r>
      <w:r>
        <w:t xml:space="preserve">enrolls 92 percent of primary-aged students gross and produces an HLO score of 455;</w:t>
      </w:r>
      <w:r>
        <w:t xml:space="preserve"> </w:t>
      </w:r>
      <w:r>
        <w:rPr>
          <w:b/>
          <w:bCs/>
        </w:rPr>
        <w:t xml:space="preserve">Bangladesh</w:t>
      </w:r>
      <w:r>
        <w:t xml:space="preserve"> </w:t>
      </w:r>
      <w:r>
        <w:t xml:space="preserve">enrolls 110 percent gross and produces an HLO score of 368. Bangladesh has eighteen percentage points more gross enrollment than Kenya and an eighty-seven-point lower HLO score, in the same year, on the same harmonized scale.</w:t>
      </w:r>
    </w:p>
    <w:tbl>
      <w:tblPr>
        <w:tblStyle w:val="Table"/>
        <w:tblW w:type="pct" w:w="5000"/>
        <w:tblLayout w:type="fixed"/>
        <w:tblLook w:firstRow="0" w:lastRow="0" w:firstColumn="0" w:lastColumn="0" w:noHBand="0" w:noVBand="0" w:val="0000"/>
      </w:tblPr>
      <w:tblGrid>
        <w:gridCol w:w="7920"/>
      </w:tblGrid>
      <w:tr>
        <w:tc>
          <w:tcPr/>
          <w:bookmarkStart w:id="23" w:name="fig-divergence"/>
          <w:p>
            <w:pPr>
              <w:pStyle w:val="Compact"/>
              <w:jc w:val="center"/>
            </w:pPr>
            <w:r>
              <w:drawing>
                <wp:inline>
                  <wp:extent cx="4267200" cy="2933700"/>
                  <wp:effectExtent b="0" l="0" r="0" t="0"/>
                  <wp:docPr descr="" title="" id="21" name="Picture"/>
                  <a:graphic>
                    <a:graphicData uri="http://schemas.openxmlformats.org/drawingml/2006/picture">
                      <pic:pic>
                        <pic:nvPicPr>
                          <pic:cNvPr descr="../output/figures/eda/enrollment_vs_learning.png" id="22" name="Picture"/>
                          <pic:cNvPicPr>
                            <a:picLocks noChangeArrowheads="1" noChangeAspect="1"/>
                          </pic:cNvPicPr>
                        </pic:nvPicPr>
                        <pic:blipFill>
                          <a:blip r:embed="rId20"/>
                          <a:stretch>
                            <a:fillRect/>
                          </a:stretch>
                        </pic:blipFill>
                        <pic:spPr bwMode="auto">
                          <a:xfrm>
                            <a:off x="0" y="0"/>
                            <a:ext cx="42672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1. Enrollment-learning divergence, 2020 cross-section. 133-country ADR-0002 universe restricted to countries with both gross primary enrollment and HLO score non-NA (n=106). OLS bivariate slope = −0.65 HLO points per 1pp enrollment increase (p=0.13, ns); R² = 0.02. Labeled countries: BGD, BRA, EGY, IDN, IND, KEN, NGA. Source: WB HCI HLOS + WDI SE.PRM.ENRR.</w:t>
            </w:r>
          </w:p>
          <w:bookmarkEnd w:id="23"/>
        </w:tc>
      </w:tr>
    </w:tbl>
    <w:p>
      <w:pPr>
        <w:pStyle w:val="BodyText"/>
      </w:pPr>
      <w:r>
        <w:t xml:space="preserve">The regional pattern depth confirms the cross-country selection problem Model 1 will recover empirically and Model 2 will then attempt to escape. Sub-Saharan Africa carries the heaviest aggregate burden: lowest HLO score (374), lowest LAYS (4.9 years), highest pupil-teacher ratio in primary (40.6, against ECA’s 16.4), worst primary completion rate (70 percent, against ECA’s 97 percent), highest primary out-of-school rate (18.6 percent), and lowest WGI government effectiveness (−0.79, against ECA’s −0.14). Europe &amp; Central Asia is the high-functioning low-aid comparator at the other end of every gradient. South Asia, with only seven countries in the universe, carries the heaviest concentrated aid burden — $349 million per country-year in OECD CRS education disbursements (against the panel mean of $96 million), dominated by India — and the longest COVID-19 school closures in 2020 (179 days, against East Asia &amp; Pacific’s 73). The variables that vary cross-sectionally with HLO score are precisely the variables that also vary cross-sectionally with aid intensity; this is the structural confounding the within-country fixed-effects specification of §4.2 ¶2 is designed to absorb.</w:t>
      </w:r>
    </w:p>
    <w:bookmarkEnd w:id="24"/>
    <w:bookmarkStart w:id="30" w:name="X580f182aeddc07fa18c327bbd268192c8e9db23"/>
    <w:p>
      <w:pPr>
        <w:pStyle w:val="Heading2"/>
      </w:pPr>
      <w:r>
        <w:t xml:space="preserve">4.2 4.2 Models 1 &amp; 2: The cross-section vs within-country contrast</w:t>
      </w:r>
    </w:p>
    <w:p>
      <w:pPr>
        <w:pStyle w:val="FirstParagraph"/>
      </w:pPr>
      <w:r>
        <w:t xml:space="preserve">Model 1 estimates the cross-sectional ordinary least squares association between ODA intensity and learning outcomes at the country level, using country-mean values over the primary 2010–2020 window. The full universe of 133 countries shrinks to 120 in the full specification once the listwise constraint on the four structural controls (log GDP per capita, primary pupil-teacher ratio, government education expenditure as a share of GDP, and WGI Government Effectiveness) is imposed. The bivariate slope on log(1 + country-mean OECD CRS education disbursement, constant USD) is</w:t>
      </w:r>
      <w:r>
        <w:t xml:space="preserve"> </w:t>
      </w:r>
      <w:r>
        <w:rPr>
          <w:b/>
          <w:bCs/>
        </w:rPr>
        <w:t xml:space="preserve">β = −11.54</w:t>
      </w:r>
      <w:r>
        <w:t xml:space="preserve"> </w:t>
      </w:r>
      <w:r>
        <w:t xml:space="preserve">(HC-robust SE 2.72; p &lt; 0.001) — the classical cross-sectional pattern in which aid concentrates in countries with poor outcomes, and would look alarming if reported as the headline. Adding log GDP per capita absorbs approximately ninety percent of the bivariate coefficient (β = −1.20, not significant); each subsequent control leaves the ODA coefficient essentially at zero. The full specification 1e returns</w:t>
      </w:r>
      <w:r>
        <w:t xml:space="preserve"> </w:t>
      </w:r>
      <w:r>
        <w:rPr>
          <w:b/>
          <w:bCs/>
        </w:rPr>
        <w:t xml:space="preserve">β = −1.36</w:t>
      </w:r>
      <w:r>
        <w:t xml:space="preserve"> </w:t>
      </w:r>
      <w:r>
        <w:t xml:space="preserve">(SE 2.48; p = 0.584; N = 120; R² = 0.444). The dominant cross-sectional correlate of HLO in this specification is WGI Government Effectiveness, at β = +24.5 HLO points per one-unit WGI improvement (p &lt; 0.01) — roughly half a within-universe standard deviation per unit of governance quality. The substantive read of Model 1 is straightforward: the cross-sectional negative association between aid and learning is selection-driven, and once the structural confounders the literature has long identified as the binding cross-country correlates of learning are absorbed, aid intensity has no cross-sectional association with learning outcomes at all.</w:t>
      </w:r>
    </w:p>
    <w:tbl>
      <w:tblPr>
        <w:tblStyle w:val="Table"/>
        <w:tblW w:type="pct" w:w="5000"/>
        <w:tblLayout w:type="fixed"/>
        <w:tblLook w:firstRow="0" w:lastRow="0" w:firstColumn="0" w:lastColumn="0" w:noHBand="0" w:noVBand="0" w:val="0000"/>
      </w:tblPr>
      <w:tblGrid>
        <w:gridCol w:w="7920"/>
      </w:tblGrid>
      <w:tr>
        <w:tc>
          <w:tcPr/>
          <w:bookmarkStart w:id="25" w:name="tbl-model1"/>
          <w:p>
            <w:pPr>
              <w:jc w:val="center"/>
            </w:pPr>
            <w:pPr>
              <w:jc w:val="left"/>
              <w:spacing w:before="200"/>
              <w:pStyle w:val="ImageCaption"/>
            </w:pPr>
            <w:r>
              <w:t xml:space="preserve">Table 1: Table 1. Model 1 cross-sectional OLS — ODA coefficient absorption by structural controls. Dependent variable: HLO score (country-mean 2010–2020). Treatment: log(1 + country-mean OECD CRS education disbursement, constant USD). HC-robust SE in parentheses. Full 6-spec progression (1a–1f) in Appendix A.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990"/>
              <w:gridCol w:w="2145"/>
              <w:gridCol w:w="825"/>
              <w:gridCol w:w="1155"/>
              <w:gridCol w:w="1155"/>
              <w:gridCol w:w="825"/>
              <w:gridCol w:w="825"/>
            </w:tblGrid>
            <w:tr>
              <w:trPr>
                <w:tblHeader w:val="on"/>
              </w:trPr>
              <w:tc>
                <w:tcPr/>
                <w:p>
                  <w:pPr>
                    <w:pStyle w:val="Compact"/>
                    <w:jc w:val="center"/>
                  </w:pPr>
                  <w:r>
                    <w:t xml:space="preserve">Spec</w:t>
                  </w:r>
                </w:p>
              </w:tc>
              <w:tc>
                <w:tcPr/>
                <w:p>
                  <w:pPr>
                    <w:pStyle w:val="Compact"/>
                    <w:jc w:val="center"/>
                  </w:pPr>
                  <w:r>
                    <w:t xml:space="preserve">Description</w:t>
                  </w:r>
                </w:p>
              </w:tc>
              <w:tc>
                <w:tcPr/>
                <w:p>
                  <w:pPr>
                    <w:pStyle w:val="Compact"/>
                    <w:jc w:val="right"/>
                    <w:jc w:val="center"/>
                  </w:pPr>
                  <w:r>
                    <w:t xml:space="preserve">β</w:t>
                  </w:r>
                </w:p>
              </w:tc>
              <w:tc>
                <w:tcPr/>
                <w:p>
                  <w:pPr>
                    <w:pStyle w:val="Compact"/>
                    <w:jc w:val="right"/>
                    <w:jc w:val="center"/>
                  </w:pPr>
                  <w:r>
                    <w:t xml:space="preserve">SE</w:t>
                  </w:r>
                </w:p>
              </w:tc>
              <w:tc>
                <w:tcPr/>
                <w:p>
                  <w:pPr>
                    <w:pStyle w:val="Compact"/>
                    <w:jc w:val="right"/>
                    <w:jc w:val="center"/>
                  </w:pPr>
                  <w:r>
                    <w:t xml:space="preserve">p</w:t>
                  </w:r>
                </w:p>
              </w:tc>
              <w:tc>
                <w:tcPr/>
                <w:p>
                  <w:pPr>
                    <w:pStyle w:val="Compact"/>
                    <w:jc w:val="right"/>
                    <w:jc w:val="center"/>
                  </w:pPr>
                  <w:r>
                    <w:t xml:space="preserve">N</w:t>
                  </w:r>
                </w:p>
              </w:tc>
              <w:tc>
                <w:tcPr/>
                <w:p>
                  <w:pPr>
                    <w:pStyle w:val="Compact"/>
                    <w:jc w:val="right"/>
                    <w:jc w:val="center"/>
                  </w:pPr>
                  <w:r>
                    <w:t xml:space="preserve">R²</w:t>
                  </w:r>
                </w:p>
              </w:tc>
            </w:tr>
            <w:tr>
              <w:tc>
                <w:tcPr/>
                <w:p>
                  <w:pPr>
                    <w:pStyle w:val="Compact"/>
                    <w:jc w:val="center"/>
                  </w:pPr>
                  <w:r>
                    <w:t xml:space="preserve">1a</w:t>
                  </w:r>
                </w:p>
              </w:tc>
              <w:tc>
                <w:tcPr/>
                <w:p>
                  <w:pPr>
                    <w:pStyle w:val="Compact"/>
                    <w:jc w:val="center"/>
                  </w:pPr>
                  <w:r>
                    <w:t xml:space="preserve">Bivariate (log(1+CRS) only)</w:t>
                  </w:r>
                </w:p>
              </w:tc>
              <w:tc>
                <w:tcPr/>
                <w:p>
                  <w:pPr>
                    <w:pStyle w:val="Compact"/>
                    <w:jc w:val="right"/>
                    <w:jc w:val="center"/>
                  </w:pPr>
                  <w:r>
                    <w:t xml:space="preserve">−11.54***</w:t>
                  </w:r>
                </w:p>
              </w:tc>
              <w:tc>
                <w:tcPr/>
                <w:p>
                  <w:pPr>
                    <w:pStyle w:val="Compact"/>
                    <w:jc w:val="right"/>
                    <w:jc w:val="center"/>
                  </w:pPr>
                  <w:r>
                    <w:t xml:space="preserve">(2.72)</w:t>
                  </w:r>
                </w:p>
              </w:tc>
              <w:tc>
                <w:tcPr/>
                <w:p>
                  <w:pPr>
                    <w:pStyle w:val="Compact"/>
                    <w:jc w:val="right"/>
                    <w:jc w:val="center"/>
                  </w:pPr>
                  <w:r>
                    <w:t xml:space="preserve">&lt;0.001</w:t>
                  </w:r>
                </w:p>
              </w:tc>
              <w:tc>
                <w:tcPr/>
                <w:p>
                  <w:pPr>
                    <w:pStyle w:val="Compact"/>
                    <w:jc w:val="right"/>
                    <w:jc w:val="center"/>
                  </w:pPr>
                  <w:r>
                    <w:t xml:space="preserve">133</w:t>
                  </w:r>
                </w:p>
              </w:tc>
              <w:tc>
                <w:tcPr/>
                <w:p>
                  <w:pPr>
                    <w:pStyle w:val="Compact"/>
                    <w:jc w:val="right"/>
                    <w:jc w:val="center"/>
                  </w:pPr>
                  <w:r>
                    <w:t xml:space="preserve">0.154</w:t>
                  </w:r>
                </w:p>
              </w:tc>
            </w:tr>
            <w:tr>
              <w:tc>
                <w:tcPr/>
                <w:p>
                  <w:pPr>
                    <w:pStyle w:val="Compact"/>
                    <w:jc w:val="center"/>
                  </w:pPr>
                  <w:r>
                    <w:t xml:space="preserve">1b</w:t>
                  </w:r>
                </w:p>
              </w:tc>
              <w:tc>
                <w:tcPr/>
                <w:p>
                  <w:pPr>
                    <w:pStyle w:val="Compact"/>
                    <w:jc w:val="center"/>
                  </w:pPr>
                  <w:r>
                    <w:t xml:space="preserve">+ log(GDP per capita)</w:t>
                  </w:r>
                </w:p>
              </w:tc>
              <w:tc>
                <w:tcPr/>
                <w:p>
                  <w:pPr>
                    <w:pStyle w:val="Compact"/>
                    <w:jc w:val="right"/>
                    <w:jc w:val="center"/>
                  </w:pPr>
                  <w:r>
                    <w:t xml:space="preserve">−1.20</w:t>
                  </w:r>
                </w:p>
              </w:tc>
              <w:tc>
                <w:tcPr/>
                <w:p>
                  <w:pPr>
                    <w:pStyle w:val="Compact"/>
                    <w:jc w:val="right"/>
                    <w:jc w:val="center"/>
                  </w:pPr>
                  <w:r>
                    <w:t xml:space="preserve">(2.28)</w:t>
                  </w:r>
                </w:p>
              </w:tc>
              <w:tc>
                <w:tcPr/>
                <w:p>
                  <w:pPr>
                    <w:pStyle w:val="Compact"/>
                    <w:jc w:val="right"/>
                    <w:jc w:val="center"/>
                  </w:pPr>
                  <w:r>
                    <w:t xml:space="preserve">0.598</w:t>
                  </w:r>
                </w:p>
              </w:tc>
              <w:tc>
                <w:tcPr/>
                <w:p>
                  <w:pPr>
                    <w:pStyle w:val="Compact"/>
                    <w:jc w:val="right"/>
                    <w:jc w:val="center"/>
                  </w:pPr>
                  <w:r>
                    <w:t xml:space="preserve">133</w:t>
                  </w:r>
                </w:p>
              </w:tc>
              <w:tc>
                <w:tcPr/>
                <w:p>
                  <w:pPr>
                    <w:pStyle w:val="Compact"/>
                    <w:jc w:val="right"/>
                    <w:jc w:val="center"/>
                  </w:pPr>
                  <w:r>
                    <w:t xml:space="preserve">0.397</w:t>
                  </w:r>
                </w:p>
              </w:tc>
            </w:tr>
            <w:tr>
              <w:tc>
                <w:tcPr/>
                <w:p>
                  <w:pPr>
                    <w:pStyle w:val="Compact"/>
                    <w:jc w:val="center"/>
                  </w:pPr>
                  <w:r>
                    <w:t xml:space="preserve">1e</w:t>
                  </w:r>
                </w:p>
              </w:tc>
              <w:tc>
                <w:tcPr/>
                <w:p>
                  <w:pPr>
                    <w:pStyle w:val="Compact"/>
                    <w:jc w:val="center"/>
                  </w:pPr>
                  <w:r>
                    <w:t xml:space="preserve">+ WGI Government Effectiveness (full)</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right"/>
                    <w:jc w:val="center"/>
                  </w:pPr>
                  <w:r>
                    <w:t xml:space="preserve">120</w:t>
                  </w:r>
                </w:p>
              </w:tc>
              <w:tc>
                <w:tcPr/>
                <w:p>
                  <w:pPr>
                    <w:pStyle w:val="Compact"/>
                    <w:jc w:val="right"/>
                    <w:jc w:val="center"/>
                  </w:pPr>
                  <w:r>
                    <w:t xml:space="preserve">0.444</w:t>
                  </w:r>
                </w:p>
              </w:tc>
            </w:tr>
          </w:tbl>
          <w:bookmarkEnd w:id="25"/>
          <w:p/>
        </w:tc>
      </w:tr>
    </w:tbl>
    <w:p>
      <w:pPr>
        <w:pStyle w:val="BodyText"/>
      </w:pPr>
      <w:r>
        <w:t xml:space="preserve">Model 2 re-estimates the relationship as a within-country fixed-effects panel, exploiting variation across the four HCI-cycle observations per country. The specification is two-way (country plus year) FE with country-clustered SE, on a locked encoding stack: a strictly-past three-year MA of constant-USD disbursements per ADR-0005, the WGI PC1 governance composite per ADR-0009 (76.4 percent of variance, engaging the Langbein and Knack (2010) critique that the six WGI aggregates are not empirically separable), and the parallel AidData GCDF Chinese-aid covariate in spec 2f per ADR-0008. The headline specification 2e returns</w:t>
      </w:r>
      <w:r>
        <w:t xml:space="preserve"> </w:t>
      </w:r>
      <w:r>
        <w:rPr>
          <w:b/>
          <w:bCs/>
        </w:rPr>
        <w:t xml:space="preserve">β = +11.14</w:t>
      </w:r>
      <w:r>
        <w:t xml:space="preserve"> </w:t>
      </w:r>
      <w:r>
        <w:t xml:space="preserve">HLO points per unit log treatment (SE 5.52; p = 0.048; N = 143),</w:t>
      </w:r>
      <w:r>
        <w:t xml:space="preserve"> </w:t>
      </w:r>
      <w:r>
        <w:rPr>
          <w:b/>
          <w:bCs/>
        </w:rPr>
        <w:t xml:space="preserve">in the WB HCI HLOS specification on the 2010–2020 panel</w:t>
      </w:r>
      <w:r>
        <w:t xml:space="preserve"> </w:t>
      </w:r>
      <w:r>
        <w:t xml:space="preserve">— the long-form hedge that the §4.7 measure-sensitivity check does not survive sign-agreement. The cross-sectional</w:t>
      </w:r>
      <w:r>
        <w:t xml:space="preserve"> </w:t>
      </w:r>
      <w:r>
        <w:rPr>
          <w:b/>
          <w:bCs/>
        </w:rPr>
        <w:t xml:space="preserve">β = −1.36</w:t>
      </w:r>
      <w:r>
        <w:t xml:space="preserve"> </w:t>
      </w:r>
      <w:r>
        <w:t xml:space="preserve">(Model 1) versus within-country</w:t>
      </w:r>
      <w:r>
        <w:t xml:space="preserve"> </w:t>
      </w:r>
      <w:r>
        <w:rPr>
          <w:b/>
          <w:bCs/>
        </w:rPr>
        <w:t xml:space="preserve">β = +11.14</w:t>
      </w:r>
      <w:r>
        <w:t xml:space="preserve"> </w:t>
      </w:r>
      <w:r>
        <w:t xml:space="preserve">(Model 2) contrast is the manuscript’s central empirical claim: a sign-flip plus an approximately eight-fold magnitude shift under the within-country specification. The full 2a–2g spec progression (Appendix A) shows the within-country signal emerging at 2c when the time-varying pupil-teacher ratio is added (β = 9.72, p = 0.054), stabilising at 2e–2f (β = 11.14, p = 0.048; β = 11.26, p = 0.046 with parallel Chinese aid), and softening at 2g (β = 9.61, p = 0.082) when active-conflict status and COVID-19 closure days enter. The robustness across the controlled spec progression is the cleanest within-spec evidence for the headline.</w:t>
      </w:r>
    </w:p>
    <w:tbl>
      <w:tblPr>
        <w:tblStyle w:val="Table"/>
        <w:tblW w:type="pct" w:w="5000"/>
        <w:tblLayout w:type="fixed"/>
        <w:tblLook w:firstRow="0" w:lastRow="0" w:firstColumn="0" w:lastColumn="0" w:noHBand="0" w:noVBand="0" w:val="0000"/>
      </w:tblPr>
      <w:tblGrid>
        <w:gridCol w:w="7920"/>
      </w:tblGrid>
      <w:tr>
        <w:tc>
          <w:tcPr/>
          <w:bookmarkStart w:id="26" w:name="tbl-headline"/>
          <w:p>
            <w:pPr>
              <w:jc w:val="center"/>
            </w:pPr>
            <w:pPr>
              <w:jc w:val="left"/>
              <w:spacing w:before="200"/>
              <w:pStyle w:val="ImageCaption"/>
            </w:pPr>
            <w:r>
              <w:t xml:space="preserve">Table 2: Table 2. Model 1 vs Model 2 — the cross-sectional / within-country ODA-coefficient contrast on locked encoding. Treatment differs: Model 1 uses country-mean of annual CRS disbursement; Model 2 uses 3-yr strictly-past MA per ADR-0005 lock. WGI differs: Model 1 uses single Government Effectiveness; Model 2 uses WGI PC1 per ADR-0009 lock (76.4% variance). Two-way (country + year) FE in Model 2. Headline is the WB HCI HLOS specification on the 2010–2020 panel; sensitivity to alternative HLO measure reported in §4.7.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320"/>
              <w:gridCol w:w="942"/>
              <w:gridCol w:w="1320"/>
              <w:gridCol w:w="1320"/>
              <w:gridCol w:w="1320"/>
              <w:gridCol w:w="1697"/>
            </w:tblGrid>
            <w:tr>
              <w:trPr>
                <w:tblHeader w:val="on"/>
              </w:trPr>
              <w:tc>
                <w:tcPr/>
                <w:p>
                  <w:pPr>
                    <w:pStyle w:val="Compact"/>
                    <w:jc w:val="center"/>
                  </w:pPr>
                  <w:r>
                    <w:t xml:space="preserve">Model</w:t>
                  </w:r>
                </w:p>
              </w:tc>
              <w:tc>
                <w:tcPr/>
                <w:p>
                  <w:pPr>
                    <w:pStyle w:val="Compact"/>
                    <w:jc w:val="right"/>
                    <w:jc w:val="center"/>
                  </w:pPr>
                  <w:r>
                    <w:t xml:space="preserve">N</w:t>
                  </w:r>
                </w:p>
              </w:tc>
              <w:tc>
                <w:tcPr/>
                <w:p>
                  <w:pPr>
                    <w:pStyle w:val="Compact"/>
                    <w:jc w:val="right"/>
                    <w:jc w:val="center"/>
                  </w:pPr>
                  <w:r>
                    <w:t xml:space="preserve">β log(1+CRS)</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SE type</w:t>
                  </w:r>
                </w:p>
              </w:tc>
            </w:tr>
            <w:tr>
              <w:tc>
                <w:tcPr/>
                <w:p>
                  <w:pPr>
                    <w:pStyle w:val="Compact"/>
                    <w:jc w:val="center"/>
                  </w:pPr>
                  <w:r>
                    <w:t xml:space="preserve">Model 1 OLS, full spec 1e (country means)</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center"/>
                  </w:pPr>
                  <w:r>
                    <w:t xml:space="preserve">HC robust</w:t>
                  </w:r>
                </w:p>
              </w:tc>
            </w:tr>
            <w:tr>
              <w:tc>
                <w:tcPr/>
                <w:p>
                  <w:pPr>
                    <w:pStyle w:val="Compact"/>
                    <w:jc w:val="center"/>
                  </w:pPr>
                  <w:r>
                    <w:rPr>
                      <w:b/>
                      <w:bCs/>
                    </w:rPr>
                    <w:t xml:space="preserve">Model 2 v2 FE, locked encoding 2e (HEADLINE)</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c>
                <w:tcPr/>
                <w:p>
                  <w:pPr>
                    <w:pStyle w:val="Compact"/>
                    <w:jc w:val="center"/>
                  </w:pPr>
                  <w:r>
                    <w:t xml:space="preserve">Country-clustered</w:t>
                  </w:r>
                </w:p>
              </w:tc>
            </w:tr>
            <w:tr>
              <w:tc>
                <w:tcPr/>
                <w:p>
                  <w:pPr>
                    <w:pStyle w:val="Compact"/>
                    <w:jc w:val="center"/>
                  </w:pPr>
                  <w:r>
                    <w:t xml:space="preserve">Model 2 v2 FE, locked 2g (+conflict+COVID)</w:t>
                  </w:r>
                </w:p>
              </w:tc>
              <w:tc>
                <w:tcPr/>
                <w:p>
                  <w:pPr>
                    <w:pStyle w:val="Compact"/>
                    <w:jc w:val="right"/>
                    <w:jc w:val="center"/>
                  </w:pPr>
                  <w:r>
                    <w:t xml:space="preserve">143</w:t>
                  </w:r>
                </w:p>
              </w:tc>
              <w:tc>
                <w:tcPr/>
                <w:p>
                  <w:pPr>
                    <w:pStyle w:val="Compact"/>
                    <w:jc w:val="right"/>
                    <w:jc w:val="center"/>
                  </w:pPr>
                  <w:r>
                    <w:t xml:space="preserve">+9.61</w:t>
                  </w:r>
                </w:p>
              </w:tc>
              <w:tc>
                <w:tcPr/>
                <w:p>
                  <w:pPr>
                    <w:pStyle w:val="Compact"/>
                    <w:jc w:val="right"/>
                    <w:jc w:val="center"/>
                  </w:pPr>
                  <w:r>
                    <w:t xml:space="preserve">5.44</w:t>
                  </w:r>
                </w:p>
              </w:tc>
              <w:tc>
                <w:tcPr/>
                <w:p>
                  <w:pPr>
                    <w:pStyle w:val="Compact"/>
                    <w:jc w:val="right"/>
                    <w:jc w:val="center"/>
                  </w:pPr>
                  <w:r>
                    <w:t xml:space="preserve">0.082</w:t>
                  </w:r>
                </w:p>
              </w:tc>
              <w:tc>
                <w:tcPr/>
                <w:p>
                  <w:pPr>
                    <w:pStyle w:val="Compact"/>
                    <w:jc w:val="center"/>
                  </w:pPr>
                  <w:r>
                    <w:t xml:space="preserve">Country-clustered</w:t>
                  </w:r>
                </w:p>
              </w:tc>
            </w:tr>
          </w:tbl>
          <w:bookmarkEnd w:id="26"/>
          <w:p/>
        </w:tc>
      </w:tr>
    </w:tbl>
    <w:p>
      <w:pPr>
        <w:pStyle w:val="BodyText"/>
      </w:pPr>
      <w:r>
        <w:t xml:space="preserve">The substantive read of the sign-flip plus magnitude story is consequential but bounded. In the principal specification, a country that moves from roughly $10 million to $100 million in average annual education disbursement (a log change of approximately 2.3) would experience a within-country HLO score gain of about twenty-six points — roughly half a within-universe standard deviation. The reading is not causal in the structural-causal sense that within-country fixed effects absorb time-invariant country-quality confounding but do not rule out time-varying endogeneity. Donors may target countries with rising learning trajectories — the lagged-dependent-variable</w:t>
      </w:r>
      <w:r>
        <w:t xml:space="preserve"> </w:t>
      </w:r>
      <w:r>
        <w:t xml:space="preserve">“donor success-chasing”</w:t>
      </w:r>
      <w:r>
        <w:t xml:space="preserve"> </w:t>
      </w:r>
      <w:r>
        <w:t xml:space="preserve">channel — and the static-FE specification cannot distinguish between aid that produces learning and aid that follows it. This is the limit owned in §4.3 (Model 3, the multilevel transparency counterpart that recovers Model 1’s cross-sectional null and thereby validates the within-FE specification’s identification logic via Hausman) and re-engaged in the §6 limits paragraph. What within-FE</w:t>
      </w:r>
      <w:r>
        <w:t xml:space="preserve"> </w:t>
      </w:r>
      <w:r>
        <w:rPr>
          <w:i/>
          <w:iCs/>
        </w:rPr>
        <w:t xml:space="preserve">does</w:t>
      </w:r>
      <w:r>
        <w:t xml:space="preserve"> </w:t>
      </w:r>
      <w:r>
        <w:t xml:space="preserve">rule out is the standard cross-country-confounding story that Model 1 makes visible: in the principal specification, the conditional-on-observables association between within-country variation in ODA and within-country variation in HLO is positive and meaningful in magnitude, not absorbed by income, by the pupil-teacher ratio, by education expenditure shares, or by the broader WGI governance composite. Diagnostics on 2e (Appendix B) confirm no serial autocorrelation (Wooldridge AR(1) F = 0.44, p = 0.51), country-clustered SE adjustment addresses the heteroskedasticity that Breusch-Pagan flags, and the maximum VIF on the demeaned regressors is 1.62 — the within-country demeaning fully absorbs the cross-sectional WGI × log(GDP/cap) collinearity (r = 0.79) that binds Model 1.</w:t>
      </w:r>
    </w:p>
    <w:p>
      <w:pPr>
        <w:pStyle w:val="BodyText"/>
      </w:pPr>
      <w:r>
        <w:t xml:space="preserve">Qualifications on the headline are real. The N = 143 panel is thin (thirty of the 133 universe countries drop via the joint listwise constraint and singleton-FE absorption); HCI cycle sparsity (four observations: 2010, 2017, 2018, 2020) makes this a small-T panel in which asymptotic standard errors may understate sampling uncertainty; reverse causality is not ruled out under the static-FE specification, and the System GMM remedy (</w:t>
      </w:r>
      <w:hyperlink r:id="rId27">
        <w:r>
          <w:rPr>
            <w:rStyle w:val="Hyperlink"/>
          </w:rPr>
          <w:t xml:space="preserve">ADR-0010</w:t>
        </w:r>
      </w:hyperlink>
      <w:r>
        <w:t xml:space="preserve">) is not feasible at T_eff ≤ 4 — the same small-T limit that forecloses the Dumitrescu-Hurlin Granger pre-test. Most consequentially, the within-country coefficient does not survive the principal robustness check (</w:t>
      </w:r>
      <w:hyperlink r:id="rId28">
        <w:r>
          <w:rPr>
            <w:rStyle w:val="Hyperlink"/>
          </w:rPr>
          <w:t xml:space="preserve">ADR-0004</w:t>
        </w:r>
      </w:hyperlink>
      <w:r>
        <w:t xml:space="preserve">; §4.7): the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HLO measure reverses the sign in both the full and year-overlap samples. §5 frames the measure-fragility as itself a methodological contribution alongside the Model 4 drop and the MI retirement (</w:t>
      </w:r>
      <w:hyperlink r:id="rId29">
        <w:r>
          <w:rPr>
            <w:rStyle w:val="Hyperlink"/>
          </w:rPr>
          <w:t xml:space="preserve">ADR-0012</w:t>
        </w:r>
      </w:hyperlink>
      <w:r>
        <w:t xml:space="preserve">).</w:t>
      </w:r>
    </w:p>
    <w:bookmarkEnd w:id="30"/>
    <w:bookmarkStart w:id="32" w:name="X9a96f9765f44d8de6c7be98890e92f6c3ae91b4"/>
    <w:p>
      <w:pPr>
        <w:pStyle w:val="Heading2"/>
      </w:pPr>
      <w:r>
        <w:t xml:space="preserve">4.3 4.3 Model 3: Multilevel transparency counterpart</w:t>
      </w:r>
    </w:p>
    <w:p>
      <w:pPr>
        <w:pStyle w:val="FirstParagraph"/>
      </w:pPr>
      <w:r>
        <w:t xml:space="preserve">Model 3 re-estimates the ODA-on-HLO relationship as a two-level random-effects multilevel model — country random intercepts plus year fixed effects — on the same locked-encoding stack as Model 2 (the Session-03 strictly-past three-year moving-average treatment per ADR-0005 and the Session-05 WGI PC1 governance composite per ADR-0009). The specification is</w:t>
      </w:r>
      <w:r>
        <w:t xml:space="preserve"> </w:t>
      </w:r>
      <w:r>
        <w:rPr>
          <w:rStyle w:val="VerbatimChar"/>
        </w:rPr>
        <w:t xml:space="preserve">lmer(hlo ~ controls + year_FE + (1|iso3), REML=FALSE)</w:t>
      </w:r>
      <w:r>
        <w:t xml:space="preserve">, with the unrestricted maximum-likelihood estimator chosen to enable Hausman comparability against Model 2 FE. Spec 3a is the bivariate unconditional, with only the ODA treatment plus year fixed effects:</w:t>
      </w:r>
      <w:r>
        <w:t xml:space="preserve"> </w:t>
      </w:r>
      <w:r>
        <w:rPr>
          <w:b/>
          <w:bCs/>
        </w:rPr>
        <w:t xml:space="preserve">β = −5.19</w:t>
      </w:r>
      <w:r>
        <w:t xml:space="preserve"> </w:t>
      </w:r>
      <w:r>
        <w:t xml:space="preserve">per unit log treatment (SE 1.66; p = 0.002; N = 447). This is the well-known cross-country signal that aid concentrates in low-outcome countries, recovered here at the marginal-DV level rather than the country-mean level Model 1 uses. Adding log GDP per capita at 3b absorbs the significance (β = −1.80, not significant); by the full specification 3e — with the same control stack as Model 2 — the coefficient is β =</w:t>
      </w:r>
      <w:r>
        <w:t xml:space="preserve"> </w:t>
      </w:r>
      <w:r>
        <w:rPr>
          <w:b/>
          <w:bCs/>
        </w:rPr>
        <w:t xml:space="preserve">−1.32</w:t>
      </w:r>
      <w:r>
        <w:t xml:space="preserve"> </w:t>
      </w:r>
      <w:r>
        <w:t xml:space="preserve">(SE 2.68; p = 0.622; N = 173). Parallel to Model 1’s full-spec absorption.</w:t>
      </w:r>
    </w:p>
    <w:p>
      <w:pPr>
        <w:pStyle w:val="BodyText"/>
      </w:pPr>
      <w:r>
        <w:t xml:space="preserve">The Hausman test formally adjudicates the FE-vs-RE choice. The default</w:t>
      </w:r>
      <w:r>
        <w:t xml:space="preserve"> </w:t>
      </w:r>
      <w:r>
        <w:rPr>
          <w:rStyle w:val="VerbatimChar"/>
        </w:rPr>
        <w:t xml:space="preserve">plm::phtest</w:t>
      </w:r>
      <w:r>
        <w:t xml:space="preserve"> </w:t>
      </w:r>
      <w:r>
        <w:t xml:space="preserve">Swamy-Arora estimator requires T &gt; 3 time periods and is not estimable on the HCI-cycle panel (T_eff ≤ 4 with the strictly-past lag structure), so the manual univariate Cameron-Trivedi Hausman on β_ODA is the operative test: H = (β_FE − β_RE)² / (Var(β_FE) − Var(β_RE)) = (11.14 − (−1.32))² / (5.52² − 2.68²) =</w:t>
      </w:r>
      <w:r>
        <w:t xml:space="preserve"> </w:t>
      </w:r>
      <w:r>
        <w:rPr>
          <w:b/>
          <w:bCs/>
        </w:rPr>
        <w:t xml:space="preserve">6.67</w:t>
      </w:r>
      <w:r>
        <w:t xml:space="preserve">, df = 1,</w:t>
      </w:r>
      <w:r>
        <w:t xml:space="preserve"> </w:t>
      </w:r>
      <w:r>
        <w:rPr>
          <w:b/>
          <w:bCs/>
        </w:rPr>
        <w:t xml:space="preserve">p = 0.0098</w:t>
      </w:r>
      <w:r>
        <w:t xml:space="preserve">. The null that RE is consistent is rejected at the conventional one-percent threshold; β_RE differs from β_FE beyond what sampling variation can plausibly explain. The fixed-effects specification is identified. Country-level intraclass correlation, computed via</w:t>
      </w:r>
      <w:r>
        <w:t xml:space="preserve"> </w:t>
      </w:r>
      <w:r>
        <w:rPr>
          <w:rStyle w:val="VerbatimChar"/>
        </w:rPr>
        <w:t xml:space="preserve">performance::icc</w:t>
      </w:r>
      <w:r>
        <w:t xml:space="preserve"> </w:t>
      </w:r>
      <w:r>
        <w:t xml:space="preserve">on the unconditional null model, returns</w:t>
      </w:r>
      <w:r>
        <w:t xml:space="preserve"> </w:t>
      </w:r>
      <w:r>
        <w:rPr>
          <w:b/>
          <w:bCs/>
        </w:rPr>
        <w:t xml:space="preserve">ICC = 0.912</w:t>
      </w:r>
      <w:r>
        <w:t xml:space="preserve"> </w:t>
      </w:r>
      <w:r>
        <w:t xml:space="preserve">— ninety-one percent of HLO variance is between-country. After conditioning on the full Model 2 / Model 3 control stack the conditional ICC is still 0.793. With outcome variance located almost entirely between countries, any estimator that pools between-country information is mechanically dominated by country-quality confounding; within-FE is not a methodological preference but the only specification on this panel that can identify a within-country aid-to-learning signal at all.</w:t>
      </w:r>
    </w:p>
    <w:p>
      <w:pPr>
        <w:pStyle w:val="BodyText"/>
      </w:pPr>
      <w:r>
        <w:t xml:space="preserve">The three-way Models 1 / 2 / 3 contrast closes the identification-strategy chapter §4.2 opened. Model 1 OLS spec 1e (between-country only): β = −1.36, not significant. Model 2 v2 FE spec 2e (within-country only, the principal specification): β = +11.14, p = 0.048. Model 3 RE spec 3e (variance-component-weighted combination of between and within):</w:t>
      </w:r>
      <w:r>
        <w:t xml:space="preserve"> </w:t>
      </w:r>
      <w:r>
        <w:rPr>
          <w:b/>
          <w:bCs/>
        </w:rPr>
        <w:t xml:space="preserve">β = −1.32, not significant</w:t>
      </w:r>
      <w:r>
        <w:t xml:space="preserve"> </w:t>
      </w:r>
      <w:r>
        <w:t xml:space="preserve">— collapsed onto Model 1’s cross-sectional estimate rather than splitting the difference with Model 2. This is the empirical signature of an extreme ICC: when ninety-one percent of outcome variance is between-country, the RE variance-component weighting puts essentially all weight on the cross-sectional information, mechanically replicating the OLS result. The within-country signal Model 2 isolates is invisible to RE. Only the within-FE specification recovers the positive coefficient; the Hausman test, the country-level ICC, and the three-way contrast jointly establish that the §4.2 headline rests on the only identification strategy this panel’s variance structure supports.</w:t>
      </w:r>
    </w:p>
    <w:tbl>
      <w:tblPr>
        <w:tblStyle w:val="Table"/>
        <w:tblW w:type="pct" w:w="5000"/>
        <w:tblLayout w:type="fixed"/>
        <w:tblLook w:firstRow="0" w:lastRow="0" w:firstColumn="0" w:lastColumn="0" w:noHBand="0" w:noVBand="0" w:val="0000"/>
      </w:tblPr>
      <w:tblGrid>
        <w:gridCol w:w="7920"/>
      </w:tblGrid>
      <w:tr>
        <w:tc>
          <w:tcPr/>
          <w:bookmarkStart w:id="31" w:name="tbl-three-way"/>
          <w:p>
            <w:pPr>
              <w:jc w:val="center"/>
            </w:pPr>
            <w:pPr>
              <w:jc w:val="left"/>
              <w:spacing w:before="200"/>
              <w:pStyle w:val="ImageCaption"/>
            </w:pPr>
            <w:r>
              <w:t xml:space="preserve">Table 3: Table 3. Three-way Model 1 / Model 2 / Model 3 contrast on locked encoding, HLO outcome, primary window 2010–2020. Model 1 uses country means; Model 2 uses two-way (country + year) fixed effects, country-clustered SE; Model 3 uses country random intercepts plus year fixed effects, REML=FALSE. Manual univariate Cameron-Trivedi Hausman on β_ODA: H = 6.67, df = 1, p = 0.0098 (rejects RE). Country-level ICC = 91.2% unconditional; 79.3% conditional on the full control stack.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155"/>
              <w:gridCol w:w="2475"/>
              <w:gridCol w:w="825"/>
              <w:gridCol w:w="1155"/>
              <w:gridCol w:w="1155"/>
              <w:gridCol w:w="1155"/>
            </w:tblGrid>
            <w:tr>
              <w:trPr>
                <w:tblHeader w:val="on"/>
              </w:trPr>
              <w:tc>
                <w:tcPr/>
                <w:p>
                  <w:pPr>
                    <w:pStyle w:val="Compact"/>
                    <w:jc w:val="center"/>
                  </w:pPr>
                  <w:r>
                    <w:t xml:space="preserve">Model</w:t>
                  </w:r>
                </w:p>
              </w:tc>
              <w:tc>
                <w:tcPr/>
                <w:p>
                  <w:pPr>
                    <w:pStyle w:val="Compact"/>
                    <w:jc w:val="center"/>
                  </w:pPr>
                  <w:r>
                    <w:t xml:space="preserve">Identification</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r>
            <w:tr>
              <w:tc>
                <w:tcPr/>
                <w:p>
                  <w:pPr>
                    <w:pStyle w:val="Compact"/>
                    <w:jc w:val="center"/>
                  </w:pPr>
                  <w:r>
                    <w:t xml:space="preserve">Model 1 OLS, full spec 1e (cross-sectional)</w:t>
                  </w:r>
                </w:p>
              </w:tc>
              <w:tc>
                <w:tcPr/>
                <w:p>
                  <w:pPr>
                    <w:pStyle w:val="Compact"/>
                    <w:jc w:val="center"/>
                  </w:pPr>
                  <w:r>
                    <w:t xml:space="preserve">Between-country only</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r>
            <w:tr>
              <w:tc>
                <w:tcPr/>
                <w:p>
                  <w:pPr>
                    <w:pStyle w:val="Compact"/>
                    <w:jc w:val="center"/>
                  </w:pPr>
                  <w:r>
                    <w:rPr>
                      <w:b/>
                      <w:bCs/>
                    </w:rPr>
                    <w:t xml:space="preserve">Model 2 v2 FE, full spec 2e (within-country, locked)</w:t>
                  </w:r>
                </w:p>
              </w:tc>
              <w:tc>
                <w:tcPr/>
                <w:p>
                  <w:pPr>
                    <w:pStyle w:val="Compact"/>
                    <w:jc w:val="center"/>
                  </w:pPr>
                  <w:r>
                    <w:rPr>
                      <w:b/>
                      <w:bCs/>
                    </w:rPr>
                    <w:t xml:space="preserve">Within-country only</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r>
            <w:tr>
              <w:tc>
                <w:tcPr/>
                <w:p>
                  <w:pPr>
                    <w:pStyle w:val="Compact"/>
                    <w:jc w:val="center"/>
                  </w:pPr>
                  <w:r>
                    <w:t xml:space="preserve">Model 3 RE, full spec 3e (random intercepts + year FE, locked)</w:t>
                  </w:r>
                </w:p>
              </w:tc>
              <w:tc>
                <w:tcPr/>
                <w:p>
                  <w:pPr>
                    <w:pStyle w:val="Compact"/>
                    <w:jc w:val="center"/>
                  </w:pPr>
                  <w:r>
                    <w:t xml:space="preserve">Weighted between + within</w:t>
                  </w:r>
                </w:p>
              </w:tc>
              <w:tc>
                <w:tcPr/>
                <w:p>
                  <w:pPr>
                    <w:pStyle w:val="Compact"/>
                    <w:jc w:val="right"/>
                    <w:jc w:val="center"/>
                  </w:pPr>
                  <w:r>
                    <w:t xml:space="preserve">173</w:t>
                  </w:r>
                </w:p>
              </w:tc>
              <w:tc>
                <w:tcPr/>
                <w:p>
                  <w:pPr>
                    <w:pStyle w:val="Compact"/>
                    <w:jc w:val="right"/>
                    <w:jc w:val="center"/>
                  </w:pPr>
                  <w:r>
                    <w:t xml:space="preserve">−1.32</w:t>
                  </w:r>
                </w:p>
              </w:tc>
              <w:tc>
                <w:tcPr/>
                <w:p>
                  <w:pPr>
                    <w:pStyle w:val="Compact"/>
                    <w:jc w:val="right"/>
                    <w:jc w:val="center"/>
                  </w:pPr>
                  <w:r>
                    <w:t xml:space="preserve">2.68</w:t>
                  </w:r>
                </w:p>
              </w:tc>
              <w:tc>
                <w:tcPr/>
                <w:p>
                  <w:pPr>
                    <w:pStyle w:val="Compact"/>
                    <w:jc w:val="right"/>
                    <w:jc w:val="center"/>
                  </w:pPr>
                  <w:r>
                    <w:t xml:space="preserve">0.622</w:t>
                  </w:r>
                </w:p>
              </w:tc>
            </w:tr>
          </w:tbl>
          <w:bookmarkEnd w:id="31"/>
          <w:p/>
        </w:tc>
      </w:tr>
    </w:tbl>
    <w:bookmarkEnd w:id="32"/>
    <w:bookmarkStart w:id="34" w:name="X42efa73bff3f9c355e6fb27c521ef0edb757b40"/>
    <w:p>
      <w:pPr>
        <w:pStyle w:val="Heading2"/>
      </w:pPr>
      <w:r>
        <w:t xml:space="preserve">4.4 4.4 Model 4 — Dropped: a pre-committed protocol failure</w:t>
      </w:r>
    </w:p>
    <w:p>
      <w:pPr>
        <w:pStyle w:val="FirstParagraph"/>
      </w:pPr>
      <w:r>
        <w:t xml:space="preserve">The four-bucket intervention typology the policy literature expects to extract from OECD CRS metadata — infrastructure, teacher training, curriculum and materials, budget support — is not extractable at any defensible inter-method agreement threshold. ADR-0007 locked three pre-specified criteria before any classification ran: raw agreement on a joint-classified subsample of at least 85 percent, Cohen’s κ of at least 0.70, and a rule-based unclassified rate below 30 percent. The classification pipeline — a 49-pattern keyword rule cascade cross-validated against a purpose-code-to-bucket mapping — was run on the full 537,586-project education-sector CRS extract. All three criteria failed: on the joint subsample of 130,737 projects, raw agreement was</w:t>
      </w:r>
      <w:r>
        <w:t xml:space="preserve"> </w:t>
      </w:r>
      <w:r>
        <w:rPr>
          <w:b/>
          <w:bCs/>
        </w:rPr>
        <w:t xml:space="preserve">39.04 percent</w:t>
      </w:r>
      <w:r>
        <w:t xml:space="preserve">, Cohen’s κ was</w:t>
      </w:r>
      <w:r>
        <w:t xml:space="preserve"> </w:t>
      </w:r>
      <w:r>
        <w:rPr>
          <w:b/>
          <w:bCs/>
        </w:rPr>
        <w:t xml:space="preserve">0.19</w:t>
      </w:r>
      <w:r>
        <w:t xml:space="preserve">, and the rule-based classifier left</w:t>
      </w:r>
      <w:r>
        <w:t xml:space="preserve"> </w:t>
      </w:r>
      <w:r>
        <w:rPr>
          <w:b/>
          <w:bCs/>
        </w:rPr>
        <w:t xml:space="preserve">75.68 percent</w:t>
      </w:r>
      <w:r>
        <w:t xml:space="preserve"> </w:t>
      </w:r>
      <w:r>
        <w:t xml:space="preserve">of projects unclassified. The failure pattern was diagnostic, not noisy: the rule cascade left three-quarters of projects unmatched because the lexical breadth of CRS project descriptions exceeds what a regex cascade can cover without iterative tuning; the purpose-code mapping placed 82.7 percent of projects in</w:t>
      </w:r>
      <w:r>
        <w:t xml:space="preserve"> </w:t>
      </w:r>
      <w:r>
        <w:rPr>
          <w:rStyle w:val="VerbatimChar"/>
        </w:rPr>
        <w:t xml:space="preserve">budget_support</w:t>
      </w:r>
      <w:r>
        <w:t xml:space="preserve"> </w:t>
      </w:r>
      <w:r>
        <w:t xml:space="preserve">while the rule-based classifier placed 4.2 percent there. The two methods were measuring different constructs, not the same construct with measurement noise.</w:t>
      </w:r>
    </w:p>
    <w:tbl>
      <w:tblPr>
        <w:tblStyle w:val="Table"/>
        <w:tblW w:type="pct" w:w="5000"/>
        <w:tblLayout w:type="fixed"/>
        <w:tblLook w:firstRow="0" w:lastRow="0" w:firstColumn="0" w:lastColumn="0" w:noHBand="0" w:noVBand="0" w:val="0000"/>
      </w:tblPr>
      <w:tblGrid>
        <w:gridCol w:w="7920"/>
      </w:tblGrid>
      <w:tr>
        <w:tc>
          <w:tcPr/>
          <w:bookmarkStart w:id="33" w:name="tbl-typology"/>
          <w:p>
            <w:pPr>
              <w:jc w:val="center"/>
            </w:pPr>
            <w:pPr>
              <w:jc w:val="left"/>
              <w:spacing w:before="200"/>
              <w:pStyle w:val="ImageCaption"/>
            </w:pPr>
            <w:r>
              <w:t xml:space="preserve">Table 4: Table 4.4. Pre-committed (ADR-0007) inter-method-agreement criteria for the four-bucket OECD CRS intervention typology, against observed agreement on the 537,586-project education-sector extract. All three criteria fail; the typology classifier was retired and Model 4 dropped per the pre-committed protocol.</w:t>
            </w:r>
          </w:p>
          <w:tbl>
            <w:tblPr>
              <w:tblStyle w:val="Table"/>
              <w:tblW w:type="pct" w:w="5000"/>
              <w:tblLayout w:type="fixed"/>
              <w:tblLook w:firstRow="1" w:lastRow="0" w:firstColumn="0" w:lastColumn="0" w:noHBand="0" w:noVBand="0" w:val="0020"/>
            </w:tblPr>
            <w:tblGrid>
              <w:gridCol w:w="2178"/>
              <w:gridCol w:w="1980"/>
              <w:gridCol w:w="1980"/>
              <w:gridCol w:w="1782"/>
            </w:tblGrid>
            <w:tr>
              <w:trPr>
                <w:tblHeader w:val="on"/>
              </w:trPr>
              <w:tc>
                <w:tcPr/>
                <w:p>
                  <w:pPr>
                    <w:pStyle w:val="Compact"/>
                    <w:jc w:val="center"/>
                  </w:pPr>
                  <w:r>
                    <w:t xml:space="preserve">Criterion</w:t>
                  </w:r>
                </w:p>
              </w:tc>
              <w:tc>
                <w:tcPr/>
                <w:p>
                  <w:pPr>
                    <w:pStyle w:val="Compact"/>
                    <w:jc w:val="right"/>
                    <w:jc w:val="center"/>
                  </w:pPr>
                  <w:r>
                    <w:t xml:space="preserve">Observed</w:t>
                  </w:r>
                </w:p>
              </w:tc>
              <w:tc>
                <w:tcPr/>
                <w:p>
                  <w:pPr>
                    <w:pStyle w:val="Compact"/>
                    <w:jc w:val="right"/>
                    <w:jc w:val="center"/>
                  </w:pPr>
                  <w:r>
                    <w:t xml:space="preserve">Required</w:t>
                  </w:r>
                </w:p>
              </w:tc>
              <w:tc>
                <w:tcPr/>
                <w:p>
                  <w:pPr>
                    <w:pStyle w:val="Compact"/>
                    <w:jc w:val="center"/>
                  </w:pPr>
                  <w:r>
                    <w:t xml:space="preserve">Verdict</w:t>
                  </w:r>
                </w:p>
              </w:tc>
            </w:tr>
            <w:tr>
              <w:tc>
                <w:tcPr/>
                <w:p>
                  <w:pPr>
                    <w:pStyle w:val="Compact"/>
                    <w:jc w:val="center"/>
                  </w:pPr>
                  <w:r>
                    <w:t xml:space="preserve">Raw inter-method agreement (joint subsample N = 130,737)</w:t>
                  </w:r>
                </w:p>
              </w:tc>
              <w:tc>
                <w:tcPr/>
                <w:p>
                  <w:pPr>
                    <w:pStyle w:val="Compact"/>
                    <w:jc w:val="right"/>
                    <w:jc w:val="center"/>
                  </w:pPr>
                  <w:r>
                    <w:t xml:space="preserve">39.04%</w:t>
                  </w:r>
                </w:p>
              </w:tc>
              <w:tc>
                <w:tcPr/>
                <w:p>
                  <w:pPr>
                    <w:pStyle w:val="Compact"/>
                    <w:jc w:val="right"/>
                    <w:jc w:val="center"/>
                  </w:pPr>
                  <w:r>
                    <w:t xml:space="preserve">≥ 85%</w:t>
                  </w:r>
                </w:p>
              </w:tc>
              <w:tc>
                <w:tcPr/>
                <w:p>
                  <w:pPr>
                    <w:pStyle w:val="Compact"/>
                    <w:jc w:val="center"/>
                  </w:pPr>
                  <w:r>
                    <w:t xml:space="preserve">FAIL</w:t>
                  </w:r>
                </w:p>
              </w:tc>
            </w:tr>
            <w:tr>
              <w:tc>
                <w:tcPr/>
                <w:p>
                  <w:pPr>
                    <w:pStyle w:val="Compact"/>
                    <w:jc w:val="center"/>
                  </w:pPr>
                  <w:r>
                    <w:t xml:space="preserve">Cohen’s κ (rule-based vs purpose-code bucket)</w:t>
                  </w:r>
                </w:p>
              </w:tc>
              <w:tc>
                <w:tcPr/>
                <w:p>
                  <w:pPr>
                    <w:pStyle w:val="Compact"/>
                    <w:jc w:val="right"/>
                    <w:jc w:val="center"/>
                  </w:pPr>
                  <w:r>
                    <w:t xml:space="preserve">0.19</w:t>
                  </w:r>
                </w:p>
              </w:tc>
              <w:tc>
                <w:tcPr/>
                <w:p>
                  <w:pPr>
                    <w:pStyle w:val="Compact"/>
                    <w:jc w:val="right"/>
                    <w:jc w:val="center"/>
                  </w:pPr>
                  <w:r>
                    <w:t xml:space="preserve">≥ 0.70</w:t>
                  </w:r>
                </w:p>
              </w:tc>
              <w:tc>
                <w:tcPr/>
                <w:p>
                  <w:pPr>
                    <w:pStyle w:val="Compact"/>
                    <w:jc w:val="center"/>
                  </w:pPr>
                  <w:r>
                    <w:t xml:space="preserve">FAIL</w:t>
                  </w:r>
                </w:p>
              </w:tc>
            </w:tr>
            <w:tr>
              <w:tc>
                <w:tcPr/>
                <w:p>
                  <w:pPr>
                    <w:pStyle w:val="Compact"/>
                    <w:jc w:val="center"/>
                  </w:pPr>
                  <w:r>
                    <w:t xml:space="preserve">Rule-based unclassified</w:t>
                  </w:r>
                </w:p>
              </w:tc>
              <w:tc>
                <w:tcPr/>
                <w:p>
                  <w:pPr>
                    <w:pStyle w:val="Compact"/>
                    <w:jc w:val="right"/>
                    <w:jc w:val="center"/>
                  </w:pPr>
                  <w:r>
                    <w:t xml:space="preserve">75.68%</w:t>
                  </w:r>
                </w:p>
              </w:tc>
              <w:tc>
                <w:tcPr/>
                <w:p>
                  <w:pPr>
                    <w:pStyle w:val="Compact"/>
                    <w:jc w:val="right"/>
                    <w:jc w:val="center"/>
                  </w:pPr>
                  <w:r>
                    <w:t xml:space="preserve">&lt; 30%</w:t>
                  </w:r>
                </w:p>
              </w:tc>
              <w:tc>
                <w:tcPr/>
                <w:p>
                  <w:pPr>
                    <w:pStyle w:val="Compact"/>
                    <w:jc w:val="center"/>
                  </w:pPr>
                  <w:r>
                    <w:t xml:space="preserve">FAIL</w:t>
                  </w:r>
                </w:p>
              </w:tc>
            </w:tr>
          </w:tbl>
          <w:bookmarkEnd w:id="33"/>
          <w:p/>
        </w:tc>
      </w:tr>
    </w:tbl>
    <w:p>
      <w:pPr>
        <w:pStyle w:val="BodyText"/>
      </w:pPr>
      <w:r>
        <w:t xml:space="preserve">The pre-committed escalation path under ADR-0007 was Option 3: hand-code approximately one thousand stratified projects and train a TF-IDF plus logistic-regression production classifier. The researcher-grade decision (2026-05-23) was to drop Model 4 rather than escalate. Iterating the rule cascade, replacing the comparator, or investing two weeks of hand-coding would have either burned resources on an extractability axis that ADR-0007 was written precisely to test, or broken the no-post-hoc-tuning discipline the ADR’s pre-commitment criteria were written to enforce. A pre-committed protocol catching an unfeasible design before it ran is the gate working as designed, not a methodological setback. The substantive implication, picked up in §5 and §6, is methodological. The development-aid effectiveness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the input-intensive versus pedagogically-targeted distinction as load-bearing for policy. The finding here is that this distinction is</w:t>
      </w:r>
      <w:r>
        <w:t xml:space="preserve"> </w:t>
      </w:r>
      <w:r>
        <w:rPr>
          <w:i/>
          <w:iCs/>
        </w:rPr>
        <w:t xml:space="preserve">not extractable</w:t>
      </w:r>
      <w:r>
        <w:t xml:space="preserve"> </w:t>
      </w:r>
      <w:r>
        <w:t xml:space="preserve">from OECD CRS metadata at country-year resolution without substantial hand-coding investment — an empirical limit on what cross-country aid-effectiveness panel work can credibly say about composition, and a measurement constraint that helps explain why the existing panel literature relies on aid-amount rather than aid-composition regressions. Model 5, originally specified to use Model-4 effect sizes for a $1B counterfactual, was correspondingly redesigned per ADR-0011 to operate on the identified aggregate-β only; §4.5 reports the redesigned scenarios.</w:t>
      </w:r>
    </w:p>
    <w:bookmarkEnd w:id="34"/>
    <w:bookmarkStart w:id="40" w:name="X0e7fef936fc15342f922de2b655ee331594f6b2"/>
    <w:p>
      <w:pPr>
        <w:pStyle w:val="Heading2"/>
      </w:pPr>
      <w:r>
        <w:t xml:space="preserve">4.5 4.5 Model 5: Counterfactual on the identified aggregate β</w:t>
      </w:r>
    </w:p>
    <w:p>
      <w:pPr>
        <w:pStyle w:val="FirstParagraph"/>
      </w:pPr>
      <w:r>
        <w:t xml:space="preserve">The original Model 5 specification — redirect $1B of annual education aid from input-based to outcome-based interventions and quantify the implied learning gain via Model-4 effect sizes — was made unestimable by §4.4. ADR-0011 locked a redesigned counterfactual on what the data does identify: marginal within-country percentage shocks applied to Model 2’s locked β (in the principal specification), at three within-support shock magnitudes (+10 percent, +50 percent, +100 percent), translated to LAYS via the World Bank identity ΔLAYS = EYS × ΔHLO / 625 holding EYS constant. The baseline is the median country in the Model 2 estimation sample at</w:t>
      </w:r>
      <w:r>
        <w:t xml:space="preserve"> </w:t>
      </w:r>
      <w:r>
        <w:rPr>
          <w:b/>
          <w:bCs/>
        </w:rPr>
        <w:t xml:space="preserve">$59.7 million</w:t>
      </w:r>
      <w:r>
        <w:t xml:space="preserve"> </w:t>
      </w:r>
      <w:r>
        <w:t xml:space="preserve">in annual CRS education disbursement (constant USD; Q1 = $23.7M; Q3 = $123.7M). The counterfactual is honest about staying within the identified within-country log-CRS support: a literal $1B injection to a single country would push that country roughly 18× above its baseline — outside the within-country variation Model 2 was identified on — and we do not project there. The aggregate-only operationalization reflects the §4.4 typology drop; the compositional question survives as a §5 / §6 Discussion point rather than a Model 5 estimand.</w:t>
      </w:r>
    </w:p>
    <w:p>
      <w:pPr>
        <w:pStyle w:val="BodyText"/>
      </w:pPr>
      <w:r>
        <w:t xml:space="preserve">At the median-country baseline, the three within-support shocks produce the following expected-case learning effects, computed at β = 11.14 with worst-case and best-case columns using the lower and upper 95 percent CI bounds of the headline β ([0.32, 21.95]). A</w:t>
      </w:r>
      <w:r>
        <w:t xml:space="preserve"> </w:t>
      </w:r>
      <w:r>
        <w:rPr>
          <w:b/>
          <w:bCs/>
        </w:rPr>
        <w:t xml:space="preserve">+10 percent shock</w:t>
      </w:r>
      <w:r>
        <w:t xml:space="preserve"> </w:t>
      </w:r>
      <w:r>
        <w:t xml:space="preserve">(additional $5.97M; Δlog CRS = 0.094) yields</w:t>
      </w:r>
      <w:r>
        <w:t xml:space="preserve"> </w:t>
      </w:r>
      <w:r>
        <w:rPr>
          <w:b/>
          <w:bCs/>
        </w:rPr>
        <w:t xml:space="preserve">+1.04 HLO points</w:t>
      </w:r>
      <w:r>
        <w:t xml:space="preserve"> </w:t>
      </w:r>
      <w:r>
        <w:t xml:space="preserve">at the expected case (range 0.03 to 2.06), translating via the implied-EYS median (11.57 years) to</w:t>
      </w:r>
      <w:r>
        <w:t xml:space="preserve"> </w:t>
      </w:r>
      <w:r>
        <w:rPr>
          <w:b/>
          <w:bCs/>
        </w:rPr>
        <w:t xml:space="preserve">+0.019 LAYS years</w:t>
      </w:r>
      <w:r>
        <w:t xml:space="preserve"> </w:t>
      </w:r>
      <w:r>
        <w:t xml:space="preserve">(range 0.001 to 0.038). A</w:t>
      </w:r>
      <w:r>
        <w:t xml:space="preserve"> </w:t>
      </w:r>
      <w:r>
        <w:rPr>
          <w:b/>
          <w:bCs/>
        </w:rPr>
        <w:t xml:space="preserve">+50 percent shock</w:t>
      </w:r>
      <w:r>
        <w:t xml:space="preserve"> </w:t>
      </w:r>
      <w:r>
        <w:t xml:space="preserve">yields</w:t>
      </w:r>
      <w:r>
        <w:t xml:space="preserve"> </w:t>
      </w:r>
      <w:r>
        <w:rPr>
          <w:b/>
          <w:bCs/>
        </w:rPr>
        <w:t xml:space="preserve">+4.45 HLO points / +0.082 LAYS years</w:t>
      </w:r>
      <w:r>
        <w:t xml:space="preserve"> </w:t>
      </w:r>
      <w:r>
        <w:t xml:space="preserve">at the expected case (range +0.13 to +8.78 HLO; +0.002 to +0.163 LAYS). A</w:t>
      </w:r>
      <w:r>
        <w:t xml:space="preserve"> </w:t>
      </w:r>
      <w:r>
        <w:rPr>
          <w:b/>
          <w:bCs/>
        </w:rPr>
        <w:t xml:space="preserve">+100 percent shock</w:t>
      </w:r>
      <w:r>
        <w:t xml:space="preserve"> </w:t>
      </w:r>
      <w:r>
        <w:t xml:space="preserve">yields</w:t>
      </w:r>
      <w:r>
        <w:t xml:space="preserve"> </w:t>
      </w:r>
      <w:r>
        <w:rPr>
          <w:b/>
          <w:bCs/>
        </w:rPr>
        <w:t xml:space="preserve">+7.63 HLO points / +0.141 LAYS years</w:t>
      </w:r>
      <w:r>
        <w:t xml:space="preserve"> </w:t>
      </w:r>
      <w:r>
        <w:t xml:space="preserve">(range +0.22 to +15.03 HLO; +0.004 to +0.278 LAYS). Quartile-baseline sensitivity at Q1 ($23.7M) and Q3 ($123.7M) returns essentially identical marginal effects in percentage-shock space — a structural property of the</w:t>
      </w:r>
      <w:r>
        <w:t xml:space="preserve"> </w:t>
      </w:r>
      <w:r>
        <w:rPr>
          <w:rStyle w:val="VerbatimChar"/>
        </w:rPr>
        <w:t xml:space="preserve">log1p</w:t>
      </w:r>
      <w:r>
        <w:t xml:space="preserve"> </w:t>
      </w:r>
      <w:r>
        <w:t xml:space="preserve">transformation, not a substantive finding. A policy-recognizable benchmark anchors the magnitude: a $1B annual increase distributed pro-rata across the 173 ODA-recipient countries (the broader Models 1–3 universe rather than Model 2’s FE-identifiable subset) is $5.78M per country, which is 9.7 percent of the median baseline and 5.49 percent of the sample’s total $18.22B annual education aid.</w:t>
      </w:r>
      <w:r>
        <w:t xml:space="preserve"> </w:t>
      </w:r>
      <w:r>
        <w:rPr>
          <w:b/>
          <w:bCs/>
        </w:rPr>
        <w:t xml:space="preserve">A $1B headline injection therefore lands in the low-shock band — approximately +1 HLO point and ~0.02 LAYS years at the median country, in the principal specification</w:t>
      </w:r>
      <w:r>
        <w:t xml:space="preserve"> </w:t>
      </w:r>
      <w:r>
        <w:t xml:space="preserve">— not in the high-shock band the framing might have invited the reader to expect. The pro-rata read is the only honest projection on the identified support.</w:t>
      </w:r>
    </w:p>
    <w:tbl>
      <w:tblPr>
        <w:tblStyle w:val="Table"/>
        <w:tblW w:type="pct" w:w="5000"/>
        <w:tblLayout w:type="fixed"/>
        <w:tblLook w:firstRow="0" w:lastRow="0" w:firstColumn="0" w:lastColumn="0" w:noHBand="0" w:noVBand="0" w:val="0000"/>
      </w:tblPr>
      <w:tblGrid>
        <w:gridCol w:w="7920"/>
      </w:tblGrid>
      <w:tr>
        <w:tc>
          <w:tcPr/>
          <w:bookmarkStart w:id="35" w:name="tbl-counterfactual"/>
          <w:p>
            <w:pPr>
              <w:jc w:val="center"/>
            </w:pPr>
            <w:pPr>
              <w:jc w:val="left"/>
              <w:spacing w:before="200"/>
              <w:pStyle w:val="ImageCaption"/>
            </w:pPr>
            <w:r>
              <w:t xml:space="preserve">Table 5: Table 4. Model 5 within-support counterfactual scenarios. Baseline: median country in Model 2 estimation sample = $59.7M annual CRS education disbursement (constant USD). Δ HLO computed as β × Δlog(1+CRS). Δ LAYS via WB identity ΔLAYS = EYS × ΔHLO / 625 at EYS p50 = 11.57 years; full p10/p50/p90 EYS fan in Appendix A. Worst/Best columns use 95% CI bounds of headline β = [0.32, 21.95]. Locked per ADR-0011.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Shock</w:t>
                  </w:r>
                </w:p>
              </w:tc>
              <w:tc>
                <w:tcPr/>
                <w:p>
                  <w:pPr>
                    <w:pStyle w:val="Compact"/>
                    <w:jc w:val="center"/>
                  </w:pPr>
                  <w:r>
                    <w:t xml:space="preserve">Scenario</w:t>
                  </w:r>
                </w:p>
              </w:tc>
              <w:tc>
                <w:tcPr/>
                <w:p>
                  <w:pPr>
                    <w:pStyle w:val="Compact"/>
                    <w:jc w:val="right"/>
                    <w:jc w:val="center"/>
                  </w:pPr>
                  <w:r>
                    <w:t xml:space="preserve">Δ HLO points</w:t>
                  </w:r>
                </w:p>
              </w:tc>
              <w:tc>
                <w:tcPr/>
                <w:p>
                  <w:pPr>
                    <w:pStyle w:val="Compact"/>
                    <w:jc w:val="right"/>
                    <w:jc w:val="center"/>
                  </w:pPr>
                  <w:r>
                    <w:t xml:space="preserve">Δ LAYS (yr)</w:t>
                  </w:r>
                </w:p>
              </w:tc>
            </w:tr>
            <w:tr>
              <w:tc>
                <w:tcPr/>
                <w:p>
                  <w:pPr>
                    <w:pStyle w:val="Compact"/>
                    <w:jc w:val="center"/>
                  </w:pPr>
                  <w:r>
                    <w:t xml:space="preserve">+10% (low-shock)</w:t>
                  </w:r>
                </w:p>
              </w:tc>
              <w:tc>
                <w:tcPr/>
                <w:p>
                  <w:pPr>
                    <w:pStyle w:val="Compact"/>
                    <w:jc w:val="center"/>
                  </w:pPr>
                  <w:r>
                    <w:t xml:space="preserve">Worst (β=0.32)</w:t>
                  </w:r>
                </w:p>
              </w:tc>
              <w:tc>
                <w:tcPr/>
                <w:p>
                  <w:pPr>
                    <w:pStyle w:val="Compact"/>
                    <w:jc w:val="right"/>
                    <w:jc w:val="center"/>
                  </w:pPr>
                  <w:r>
                    <w:t xml:space="preserve">+0.03</w:t>
                  </w:r>
                </w:p>
              </w:tc>
              <w:tc>
                <w:tcPr/>
                <w:p>
                  <w:pPr>
                    <w:pStyle w:val="Compact"/>
                    <w:jc w:val="right"/>
                    <w:jc w:val="center"/>
                  </w:pPr>
                  <w:r>
                    <w:t xml:space="preserve">+0.0006</w:t>
                  </w:r>
                </w:p>
              </w:tc>
            </w:tr>
            <w:tr>
              <w:tc>
                <w:tcPr/>
                <w:p>
                  <w:pPr>
                    <w:pStyle w:val="Compact"/>
                    <w:jc w:val="center"/>
                  </w:pPr>
                  <w:r>
                    <w:t xml:space="preserve">+10% (low-shock)</w:t>
                  </w:r>
                </w:p>
              </w:tc>
              <w:tc>
                <w:tcPr/>
                <w:p>
                  <w:pPr>
                    <w:pStyle w:val="Compact"/>
                    <w:jc w:val="center"/>
                  </w:pPr>
                  <w:r>
                    <w:rPr>
                      <w:b/>
                      <w:bCs/>
                    </w:rPr>
                    <w:t xml:space="preserve">Expected (β=11.14)</w:t>
                  </w:r>
                </w:p>
              </w:tc>
              <w:tc>
                <w:tcPr/>
                <w:p>
                  <w:pPr>
                    <w:pStyle w:val="Compact"/>
                    <w:jc w:val="right"/>
                    <w:jc w:val="center"/>
                  </w:pPr>
                  <w:r>
                    <w:rPr>
                      <w:b/>
                      <w:bCs/>
                    </w:rPr>
                    <w:t xml:space="preserve">+1.04</w:t>
                  </w:r>
                </w:p>
              </w:tc>
              <w:tc>
                <w:tcPr/>
                <w:p>
                  <w:pPr>
                    <w:pStyle w:val="Compact"/>
                    <w:jc w:val="right"/>
                    <w:jc w:val="center"/>
                  </w:pPr>
                  <w:r>
                    <w:rPr>
                      <w:b/>
                      <w:bCs/>
                    </w:rPr>
                    <w:t xml:space="preserve">+0.0193</w:t>
                  </w:r>
                </w:p>
              </w:tc>
            </w:tr>
            <w:tr>
              <w:tc>
                <w:tcPr/>
                <w:p>
                  <w:pPr>
                    <w:pStyle w:val="Compact"/>
                    <w:jc w:val="center"/>
                  </w:pPr>
                  <w:r>
                    <w:t xml:space="preserve">+10% (low-shock)</w:t>
                  </w:r>
                </w:p>
              </w:tc>
              <w:tc>
                <w:tcPr/>
                <w:p>
                  <w:pPr>
                    <w:pStyle w:val="Compact"/>
                    <w:jc w:val="center"/>
                  </w:pPr>
                  <w:r>
                    <w:t xml:space="preserve">Best (β=21.95)</w:t>
                  </w:r>
                </w:p>
              </w:tc>
              <w:tc>
                <w:tcPr/>
                <w:p>
                  <w:pPr>
                    <w:pStyle w:val="Compact"/>
                    <w:jc w:val="right"/>
                    <w:jc w:val="center"/>
                  </w:pPr>
                  <w:r>
                    <w:t xml:space="preserve">+2.06</w:t>
                  </w:r>
                </w:p>
              </w:tc>
              <w:tc>
                <w:tcPr/>
                <w:p>
                  <w:pPr>
                    <w:pStyle w:val="Compact"/>
                    <w:jc w:val="right"/>
                    <w:jc w:val="center"/>
                  </w:pPr>
                  <w:r>
                    <w:t xml:space="preserve">+0.0381</w:t>
                  </w:r>
                </w:p>
              </w:tc>
            </w:tr>
            <w:tr>
              <w:tc>
                <w:tcPr/>
                <w:p>
                  <w:pPr>
                    <w:pStyle w:val="Compact"/>
                    <w:jc w:val="center"/>
                  </w:pPr>
                  <w:r>
                    <w:t xml:space="preserve">+50% (mid-shock)</w:t>
                  </w:r>
                </w:p>
              </w:tc>
              <w:tc>
                <w:tcPr/>
                <w:p>
                  <w:pPr>
                    <w:pStyle w:val="Compact"/>
                    <w:jc w:val="center"/>
                  </w:pPr>
                  <w:r>
                    <w:t xml:space="preserve">Worst</w:t>
                  </w:r>
                </w:p>
              </w:tc>
              <w:tc>
                <w:tcPr/>
                <w:p>
                  <w:pPr>
                    <w:pStyle w:val="Compact"/>
                    <w:jc w:val="right"/>
                    <w:jc w:val="center"/>
                  </w:pPr>
                  <w:r>
                    <w:t xml:space="preserve">+0.13</w:t>
                  </w:r>
                </w:p>
              </w:tc>
              <w:tc>
                <w:tcPr/>
                <w:p>
                  <w:pPr>
                    <w:pStyle w:val="Compact"/>
                    <w:jc w:val="right"/>
                    <w:jc w:val="center"/>
                  </w:pPr>
                  <w:r>
                    <w:t xml:space="preserve">+0.0024</w:t>
                  </w:r>
                </w:p>
              </w:tc>
            </w:tr>
            <w:tr>
              <w:tc>
                <w:tcPr/>
                <w:p>
                  <w:pPr>
                    <w:pStyle w:val="Compact"/>
                    <w:jc w:val="center"/>
                  </w:pPr>
                  <w:r>
                    <w:t xml:space="preserve">+50% (mid-shock)</w:t>
                  </w:r>
                </w:p>
              </w:tc>
              <w:tc>
                <w:tcPr/>
                <w:p>
                  <w:pPr>
                    <w:pStyle w:val="Compact"/>
                    <w:jc w:val="center"/>
                  </w:pPr>
                  <w:r>
                    <w:rPr>
                      <w:b/>
                      <w:bCs/>
                    </w:rPr>
                    <w:t xml:space="preserve">Expected</w:t>
                  </w:r>
                </w:p>
              </w:tc>
              <w:tc>
                <w:tcPr/>
                <w:p>
                  <w:pPr>
                    <w:pStyle w:val="Compact"/>
                    <w:jc w:val="right"/>
                    <w:jc w:val="center"/>
                  </w:pPr>
                  <w:r>
                    <w:rPr>
                      <w:b/>
                      <w:bCs/>
                    </w:rPr>
                    <w:t xml:space="preserve">+4.45</w:t>
                  </w:r>
                </w:p>
              </w:tc>
              <w:tc>
                <w:tcPr/>
                <w:p>
                  <w:pPr>
                    <w:pStyle w:val="Compact"/>
                    <w:jc w:val="right"/>
                    <w:jc w:val="center"/>
                  </w:pPr>
                  <w:r>
                    <w:rPr>
                      <w:b/>
                      <w:bCs/>
                    </w:rPr>
                    <w:t xml:space="preserve">+0.0824</w:t>
                  </w:r>
                </w:p>
              </w:tc>
            </w:tr>
            <w:tr>
              <w:tc>
                <w:tcPr/>
                <w:p>
                  <w:pPr>
                    <w:pStyle w:val="Compact"/>
                    <w:jc w:val="center"/>
                  </w:pPr>
                  <w:r>
                    <w:t xml:space="preserve">+50% (mid-shock)</w:t>
                  </w:r>
                </w:p>
              </w:tc>
              <w:tc>
                <w:tcPr/>
                <w:p>
                  <w:pPr>
                    <w:pStyle w:val="Compact"/>
                    <w:jc w:val="center"/>
                  </w:pPr>
                  <w:r>
                    <w:t xml:space="preserve">Best</w:t>
                  </w:r>
                </w:p>
              </w:tc>
              <w:tc>
                <w:tcPr/>
                <w:p>
                  <w:pPr>
                    <w:pStyle w:val="Compact"/>
                    <w:jc w:val="right"/>
                    <w:jc w:val="center"/>
                  </w:pPr>
                  <w:r>
                    <w:t xml:space="preserve">+8.78</w:t>
                  </w:r>
                </w:p>
              </w:tc>
              <w:tc>
                <w:tcPr/>
                <w:p>
                  <w:pPr>
                    <w:pStyle w:val="Compact"/>
                    <w:jc w:val="right"/>
                    <w:jc w:val="center"/>
                  </w:pPr>
                  <w:r>
                    <w:t xml:space="preserve">+0.1625</w:t>
                  </w:r>
                </w:p>
              </w:tc>
            </w:tr>
            <w:tr>
              <w:tc>
                <w:tcPr/>
                <w:p>
                  <w:pPr>
                    <w:pStyle w:val="Compact"/>
                    <w:jc w:val="center"/>
                  </w:pPr>
                  <w:r>
                    <w:t xml:space="preserve">+100% (high-shock)</w:t>
                  </w:r>
                </w:p>
              </w:tc>
              <w:tc>
                <w:tcPr/>
                <w:p>
                  <w:pPr>
                    <w:pStyle w:val="Compact"/>
                    <w:jc w:val="center"/>
                  </w:pPr>
                  <w:r>
                    <w:t xml:space="preserve">Worst</w:t>
                  </w:r>
                </w:p>
              </w:tc>
              <w:tc>
                <w:tcPr/>
                <w:p>
                  <w:pPr>
                    <w:pStyle w:val="Compact"/>
                    <w:jc w:val="right"/>
                    <w:jc w:val="center"/>
                  </w:pPr>
                  <w:r>
                    <w:t xml:space="preserve">+0.22</w:t>
                  </w:r>
                </w:p>
              </w:tc>
              <w:tc>
                <w:tcPr/>
                <w:p>
                  <w:pPr>
                    <w:pStyle w:val="Compact"/>
                    <w:jc w:val="right"/>
                    <w:jc w:val="center"/>
                  </w:pPr>
                  <w:r>
                    <w:t xml:space="preserve">+0.0041</w:t>
                  </w:r>
                </w:p>
              </w:tc>
            </w:tr>
            <w:tr>
              <w:tc>
                <w:tcPr/>
                <w:p>
                  <w:pPr>
                    <w:pStyle w:val="Compact"/>
                    <w:jc w:val="center"/>
                  </w:pPr>
                  <w:r>
                    <w:t xml:space="preserve">+100% (high-shock)</w:t>
                  </w:r>
                </w:p>
              </w:tc>
              <w:tc>
                <w:tcPr/>
                <w:p>
                  <w:pPr>
                    <w:pStyle w:val="Compact"/>
                    <w:jc w:val="center"/>
                  </w:pPr>
                  <w:r>
                    <w:rPr>
                      <w:b/>
                      <w:bCs/>
                    </w:rPr>
                    <w:t xml:space="preserve">Expected</w:t>
                  </w:r>
                </w:p>
              </w:tc>
              <w:tc>
                <w:tcPr/>
                <w:p>
                  <w:pPr>
                    <w:pStyle w:val="Compact"/>
                    <w:jc w:val="right"/>
                    <w:jc w:val="center"/>
                  </w:pPr>
                  <w:r>
                    <w:rPr>
                      <w:b/>
                      <w:bCs/>
                    </w:rPr>
                    <w:t xml:space="preserve">+7.63</w:t>
                  </w:r>
                </w:p>
              </w:tc>
              <w:tc>
                <w:tcPr/>
                <w:p>
                  <w:pPr>
                    <w:pStyle w:val="Compact"/>
                    <w:jc w:val="right"/>
                    <w:jc w:val="center"/>
                  </w:pPr>
                  <w:r>
                    <w:rPr>
                      <w:b/>
                      <w:bCs/>
                    </w:rPr>
                    <w:t xml:space="preserve">+0.1412</w:t>
                  </w:r>
                </w:p>
              </w:tc>
            </w:tr>
            <w:tr>
              <w:tc>
                <w:tcPr/>
                <w:p>
                  <w:pPr>
                    <w:pStyle w:val="Compact"/>
                    <w:jc w:val="center"/>
                  </w:pPr>
                  <w:r>
                    <w:t xml:space="preserve">+100% (high-shock)</w:t>
                  </w:r>
                </w:p>
              </w:tc>
              <w:tc>
                <w:tcPr/>
                <w:p>
                  <w:pPr>
                    <w:pStyle w:val="Compact"/>
                    <w:jc w:val="center"/>
                  </w:pPr>
                  <w:r>
                    <w:t xml:space="preserve">Best</w:t>
                  </w:r>
                </w:p>
              </w:tc>
              <w:tc>
                <w:tcPr/>
                <w:p>
                  <w:pPr>
                    <w:pStyle w:val="Compact"/>
                    <w:jc w:val="right"/>
                    <w:jc w:val="center"/>
                  </w:pPr>
                  <w:r>
                    <w:t xml:space="preserve">+15.03</w:t>
                  </w:r>
                </w:p>
              </w:tc>
              <w:tc>
                <w:tcPr/>
                <w:p>
                  <w:pPr>
                    <w:pStyle w:val="Compact"/>
                    <w:jc w:val="right"/>
                    <w:jc w:val="center"/>
                  </w:pPr>
                  <w:r>
                    <w:t xml:space="preserve">+0.2783</w:t>
                  </w:r>
                </w:p>
              </w:tc>
            </w:tr>
          </w:tbl>
          <w:bookmarkEnd w:id="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fig-counterfactual"/>
          <w:p>
            <w:pPr>
              <w:pStyle w:val="Compact"/>
              <w:jc w:val="center"/>
            </w:pPr>
            <w:r>
              <w:drawing>
                <wp:inline>
                  <wp:extent cx="4267200" cy="4267200"/>
                  <wp:effectExtent b="0" l="0" r="0" t="0"/>
                  <wp:docPr descr="" title="" id="37" name="Picture"/>
                  <a:graphic>
                    <a:graphicData uri="http://schemas.openxmlformats.org/drawingml/2006/picture">
                      <pic:pic>
                        <pic:nvPicPr>
                          <pic:cNvPr descr="../output/figures/model5_scenario_plot.png" id="38" name="Picture"/>
                          <pic:cNvPicPr>
                            <a:picLocks noChangeArrowheads="1" noChangeAspect="1"/>
                          </pic:cNvPicPr>
                        </pic:nvPicPr>
                        <pic:blipFill>
                          <a:blip r:embed="rId36"/>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Model 5 within-support counterfactual scenarios. Δ HLO points on the y-axis; shock magnitude (+10%, +50%, +100% of median country baseline annual CRS disbursement) on the x-axis. Three bars per shock: Worst case (β lower 95% CI), Expected case (β point estimate = 11.14), Best case (β upper 95% CI). Brief’s $1B redirect pro-rata across the 173-country sample = $5.78M per country, landing in the low-shock band as noted in §4.5 ¶2. Locked per ADR-0011.</w:t>
            </w:r>
          </w:p>
          <w:bookmarkEnd w:id="39"/>
        </w:tc>
      </w:tr>
    </w:tbl>
    <w:p>
      <w:pPr>
        <w:pStyle w:val="BodyText"/>
      </w:pPr>
      <w:r>
        <w:t xml:space="preserve">The counterfactual magnitudes are best read against the program-level cost-effectiveness benchmarks the policy literature relies on for intervention design.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reports headline interventions with LAYS gains in the 0.5-3.0-year range</w:t>
      </w:r>
      <w:r>
        <w:t xml:space="preserve"> </w:t>
      </w:r>
      <w:r>
        <w:rPr>
          <w:i/>
          <w:iCs/>
        </w:rPr>
        <w:t xml:space="preserve">per pupil</w:t>
      </w:r>
      <w:r>
        <w:t xml:space="preserve"> </w:t>
      </w:r>
      <w:r>
        <w:t xml:space="preserve">for well-targeted tutoring, pedagogical-targeting, and structured-pedagogy programs — values that dwarf even the best-case aggregate-shock numbers above. The contrast is not a paper finding; it reflects two structural differences. The GEEAP benchmark is micro cost-effectiveness on programme participants, not macro aid elasticity at the country level. And the GEEAP benchmark is the</w:t>
      </w:r>
      <w:r>
        <w:t xml:space="preserve"> </w:t>
      </w:r>
      <w:r>
        <w:rPr>
          <w:i/>
          <w:iCs/>
        </w:rPr>
        <w:t xml:space="preserve">upper envelope</w:t>
      </w:r>
      <w:r>
        <w:t xml:space="preserve"> </w:t>
      </w:r>
      <w:r>
        <w:t xml:space="preserve">of intervention-type evidence whose extraction from CRS metadata the §4.4 Model 4 drop demonstrates this paper cannot perform. Angrist 2024</w:t>
      </w:r>
      <w:r>
        <w:t xml:space="preserve"> </w:t>
      </w:r>
      <w:r>
        <w:t xml:space="preserve">(</w:t>
      </w:r>
      <w:hyperlink w:anchor="ref-angrist2024lays">
        <w:r>
          <w:rPr>
            <w:rStyle w:val="Hyperlink"/>
          </w:rPr>
          <w:t xml:space="preserve">Angrist, 2024</w:t>
        </w:r>
      </w:hyperlink>
      <w:r>
        <w:t xml:space="preserve">)</w:t>
      </w:r>
      <w:r>
        <w:t xml:space="preserve"> </w:t>
      </w:r>
      <w:r>
        <w:t xml:space="preserve">provides the LAYS reporting unit for cross-paper comparison; the aggregate-β counterfactual reported here is small relative to that literature, which is the honest read of what a cross-country panel β identifies at the country level. The §6 Discussion frames Model 5 as a</w:t>
      </w:r>
      <w:r>
        <w:t xml:space="preserve"> </w:t>
      </w:r>
      <w:r>
        <w:rPr>
          <w:b/>
          <w:bCs/>
        </w:rPr>
        <w:t xml:space="preserve">floor</w:t>
      </w:r>
      <w:r>
        <w:t xml:space="preserve"> </w:t>
      </w:r>
      <w:r>
        <w:t xml:space="preserve">on the policy-realistic channel — what the data unambiguously supports saying about the within-country aid-learning relationship at the aggregate level — while leaving open, by reference to the GEEAP and Glewwe-Muralidharan literatures, that programme-level targeting is where the larger gains plausibly live. The paper does not claim Model 5’s headline is a ceiling; §5.5 owns that the compositional question is structurally unanswerable from CRS metadata at panel scale.</w:t>
      </w:r>
    </w:p>
    <w:bookmarkEnd w:id="40"/>
    <w:bookmarkStart w:id="46" w:name="Xb135cc21fd5adf8f7a1c12e9f75c809a88065ff"/>
    <w:p>
      <w:pPr>
        <w:pStyle w:val="Heading2"/>
      </w:pPr>
      <w:r>
        <w:t xml:space="preserve">4.6 4.6 The compounding AI penalty: HCI × Oxford GARI joint distribution</w:t>
      </w:r>
    </w:p>
    <w:p>
      <w:pPr>
        <w:pStyle w:val="FirstParagraph"/>
      </w:pPr>
      <w:r>
        <w:t xml:space="preserve">The aggregate-β counterfactual scenarios above answer how much marginal aid moves learning under the principal specification. §4.6 pivots from the aid-flow question to the structural-determinant question: which countries are joint-disadvantaged on the two pre-AI-diffusion endowments — human capital and AI readiness — that the §4.2 panel suggests dominate cross-country learning-outcome variation? The compounding AI penalty is constructed as a joint country-level cross-section: each country’s most recent non-missing Human Capital Index value (the 2020 HCI cycle, fully populated across the 132 countries that join the Oxford Insights GARI 2025 panel) multiplied by its Oxford Insights Government AI Readiness Index, normalized to GARI/100. The resulting composite,</w:t>
      </w:r>
      <w:r>
        <w:t xml:space="preserve"> </w:t>
      </w:r>
      <w:r>
        <w:rPr>
          <w:rStyle w:val="VerbatimChar"/>
        </w:rPr>
        <w:t xml:space="preserve">compound_index = HCI × (GARI / 100)</w:t>
      </w:r>
      <w:r>
        <w:t xml:space="preserve">, ranges from 0.033 to 0.495 across the joined sample of 132 countries — the intersection of GARI 2025’s 195-country panel with the HCI-non-missing iso3 set in the production panel. The composite peaks well below its theoretical maximum because no country approaches the upper bound on both axes. The two dimensions are positively coupled on this sample at</w:t>
      </w:r>
      <w:r>
        <w:t xml:space="preserve"> </w:t>
      </w:r>
      <w:r>
        <w:rPr>
          <w:b/>
          <w:bCs/>
        </w:rPr>
        <w:t xml:space="preserve">r = 0.777</w:t>
      </w:r>
      <w:r>
        <w:t xml:space="preserve">, the empirical face of the compounding-divergence thesis: countries with high human capital also tend to have high AI readiness, and vice versa. The five most compound-exposed countries (lowest</w:t>
      </w:r>
      <w:r>
        <w:t xml:space="preserve"> </w:t>
      </w:r>
      <w:r>
        <w:rPr>
          <w:rStyle w:val="VerbatimChar"/>
        </w:rPr>
        <w:t xml:space="preserve">compound_index</w:t>
      </w:r>
      <w:r>
        <w:t xml:space="preserve"> </w:t>
      </w:r>
      <w:r>
        <w:t xml:space="preserve">values) are</w:t>
      </w:r>
      <w:r>
        <w:t xml:space="preserve"> </w:t>
      </w:r>
      <w:r>
        <w:rPr>
          <w:b/>
          <w:bCs/>
        </w:rPr>
        <w:t xml:space="preserve">South Sudan</w:t>
      </w:r>
      <w:r>
        <w:t xml:space="preserve"> </w:t>
      </w:r>
      <w:r>
        <w:t xml:space="preserve">(0.033),</w:t>
      </w:r>
      <w:r>
        <w:t xml:space="preserve"> </w:t>
      </w:r>
      <w:r>
        <w:rPr>
          <w:b/>
          <w:bCs/>
        </w:rPr>
        <w:t xml:space="preserve">Central African Republic</w:t>
      </w:r>
      <w:r>
        <w:t xml:space="preserve"> </w:t>
      </w:r>
      <w:r>
        <w:t xml:space="preserve">(0.035),</w:t>
      </w:r>
      <w:r>
        <w:t xml:space="preserve"> </w:t>
      </w:r>
      <w:r>
        <w:rPr>
          <w:b/>
          <w:bCs/>
        </w:rPr>
        <w:t xml:space="preserve">Liberia</w:t>
      </w:r>
      <w:r>
        <w:t xml:space="preserve"> </w:t>
      </w:r>
      <w:r>
        <w:t xml:space="preserve">(0.046),</w:t>
      </w:r>
      <w:r>
        <w:t xml:space="preserve"> </w:t>
      </w:r>
      <w:r>
        <w:rPr>
          <w:b/>
          <w:bCs/>
        </w:rPr>
        <w:t xml:space="preserve">Yemen</w:t>
      </w:r>
      <w:r>
        <w:t xml:space="preserve"> </w:t>
      </w:r>
      <w:r>
        <w:t xml:space="preserve">(0.047), and</w:t>
      </w:r>
      <w:r>
        <w:t xml:space="preserve"> </w:t>
      </w:r>
      <w:r>
        <w:rPr>
          <w:b/>
          <w:bCs/>
        </w:rPr>
        <w:t xml:space="preserve">Chad</w:t>
      </w:r>
      <w:r>
        <w:t xml:space="preserve"> </w:t>
      </w:r>
      <w:r>
        <w:t xml:space="preserve">(0.055) — a list dominated by conflict-affected low-income states, four of five in sub-Saharan Africa.</w:t>
      </w:r>
    </w:p>
    <w:p>
      <w:pPr>
        <w:pStyle w:val="BodyText"/>
      </w:pPr>
      <w:r>
        <w:t xml:space="preserve">Partitioning the joint sample on its medians (HCI = 0.506; GARI/100 = 0.382) yields the four quadrants in Table 5. The</w:t>
      </w:r>
      <w:r>
        <w:t xml:space="preserve"> </w:t>
      </w:r>
      <w:r>
        <w:rPr>
          <w:b/>
          <w:bCs/>
        </w:rPr>
        <w:t xml:space="preserve">low-HCI / low-GARI</w:t>
      </w:r>
      <w:r>
        <w:rPr>
          <w:b/>
          <w:bCs/>
        </w:rPr>
        <w:t xml:space="preserve"> </w:t>
      </w:r>
      <w:r>
        <w:rPr>
          <w:b/>
          <w:bCs/>
        </w:rPr>
        <w:t xml:space="preserve">“double-excluded”</w:t>
      </w:r>
      <w:r>
        <w:rPr>
          <w:b/>
          <w:bCs/>
        </w:rPr>
        <w:t xml:space="preserve"> </w:t>
      </w:r>
      <w:r>
        <w:rPr>
          <w:b/>
          <w:bCs/>
        </w:rPr>
        <w:t xml:space="preserve">cell contains 47 countries</w:t>
      </w:r>
      <w:r>
        <w:t xml:space="preserve"> </w:t>
      </w:r>
      <w:r>
        <w:t xml:space="preserve">— 35.6 percent of the joined sample —</w:t>
      </w:r>
      <w:r>
        <w:t xml:space="preserve"> </w:t>
      </w:r>
      <w:r>
        <w:rPr>
          <w:b/>
          <w:bCs/>
        </w:rPr>
        <w:t xml:space="preserve">of which 29 are sub-Saharan African</w:t>
      </w:r>
      <w:r>
        <w:t xml:space="preserve">. Sub-Saharan Africa is 31.8 percent of the joined sample (42 of 132) but supplies 61.7 percent of the double-excluded cell (29 of 47): the cell is</w:t>
      </w:r>
      <w:r>
        <w:t xml:space="preserve"> </w:t>
      </w:r>
      <w:r>
        <w:rPr>
          <w:b/>
          <w:bCs/>
        </w:rPr>
        <w:t xml:space="preserve">approximately twice over-represented in sub-Saharan Africa relative to its sample share</w:t>
      </w:r>
      <w:r>
        <w:t xml:space="preserve">. The cell-mean composite is 0.099, less than a third of the high-HCI / high-GARI mean of 0.357.</w:t>
      </w:r>
    </w:p>
    <w:tbl>
      <w:tblPr>
        <w:tblStyle w:val="Table"/>
        <w:tblW w:type="pct" w:w="5000"/>
        <w:tblLayout w:type="fixed"/>
        <w:tblLook w:firstRow="0" w:lastRow="0" w:firstColumn="0" w:lastColumn="0" w:noHBand="0" w:noVBand="0" w:val="0000"/>
      </w:tblPr>
      <w:tblGrid>
        <w:gridCol w:w="7920"/>
      </w:tblGrid>
      <w:tr>
        <w:tc>
          <w:tcPr/>
          <w:bookmarkStart w:id="41" w:name="tbl-compound"/>
          <w:p>
            <w:pPr>
              <w:jc w:val="center"/>
            </w:pPr>
            <w:pPr>
              <w:jc w:val="left"/>
              <w:spacing w:before="200"/>
              <w:pStyle w:val="ImageCaption"/>
            </w:pPr>
            <w:r>
              <w:t xml:space="preserve">Table 6: Table 5. Joint distribution of country-level human capital (HCI 2020) and AI readiness (Oxford Insights GARI 2025) on the 132-country joined sample, partitioned on sample medians (HCI = 0.506; GARI/100 = 0.382). SSA over-representation in the double-excluded cell: 29 of 47 = 61.7% vs SSA share of joined sample 42 of 132 = 31.8% (≈2× over-representation). Composite</w:t>
            </w:r>
            <w:r>
              <w:t xml:space="preserve"> </w:t>
            </w:r>
            <w:r>
              <w:rPr>
                <w:rStyle w:val="VerbatimChar"/>
              </w:rPr>
              <w:t xml:space="preserve">compound_index = HCI × (GARI/100)</w:t>
            </w:r>
            <w:r>
              <w:t xml:space="preserve">.</w:t>
            </w:r>
          </w:p>
          <w:tbl>
            <w:tblPr>
              <w:tblStyle w:val="Table"/>
              <w:tblW w:type="pct" w:w="5000"/>
              <w:tblLayout w:type="fixed"/>
              <w:tblLook w:firstRow="1" w:lastRow="0" w:firstColumn="0" w:lastColumn="0" w:noHBand="0" w:noVBand="0" w:val="0020"/>
            </w:tblPr>
            <w:tblGrid>
              <w:gridCol w:w="1931"/>
              <w:gridCol w:w="965"/>
              <w:gridCol w:w="965"/>
              <w:gridCol w:w="1352"/>
              <w:gridCol w:w="1352"/>
              <w:gridCol w:w="1352"/>
            </w:tblGrid>
            <w:tr>
              <w:trPr>
                <w:tblHeader w:val="on"/>
              </w:trPr>
              <w:tc>
                <w:tcPr/>
                <w:p>
                  <w:pPr>
                    <w:pStyle w:val="Compact"/>
                    <w:jc w:val="center"/>
                  </w:pPr>
                  <w:r>
                    <w:t xml:space="preserve">Quadrant</w:t>
                  </w:r>
                </w:p>
              </w:tc>
              <w:tc>
                <w:tcPr/>
                <w:p>
                  <w:pPr>
                    <w:pStyle w:val="Compact"/>
                    <w:jc w:val="right"/>
                    <w:jc w:val="center"/>
                  </w:pPr>
                  <w:r>
                    <w:t xml:space="preserve">N</w:t>
                  </w:r>
                </w:p>
              </w:tc>
              <w:tc>
                <w:tcPr/>
                <w:p>
                  <w:pPr>
                    <w:pStyle w:val="Compact"/>
                    <w:jc w:val="right"/>
                    <w:jc w:val="center"/>
                  </w:pPr>
                  <w:r>
                    <w:t xml:space="preserve">SSA in cell</w:t>
                  </w:r>
                </w:p>
              </w:tc>
              <w:tc>
                <w:tcPr/>
                <w:p>
                  <w:pPr>
                    <w:pStyle w:val="Compact"/>
                    <w:jc w:val="right"/>
                    <w:jc w:val="center"/>
                  </w:pPr>
                  <w:r>
                    <w:t xml:space="preserve">Mean HCI</w:t>
                  </w:r>
                </w:p>
              </w:tc>
              <w:tc>
                <w:tcPr/>
                <w:p>
                  <w:pPr>
                    <w:pStyle w:val="Compact"/>
                    <w:jc w:val="right"/>
                    <w:jc w:val="center"/>
                  </w:pPr>
                  <w:r>
                    <w:t xml:space="preserve">Mean GARI/100</w:t>
                  </w:r>
                </w:p>
              </w:tc>
              <w:tc>
                <w:tcPr/>
                <w:p>
                  <w:pPr>
                    <w:pStyle w:val="Compact"/>
                    <w:jc w:val="right"/>
                    <w:jc w:val="center"/>
                  </w:pPr>
                  <w:r>
                    <w:t xml:space="preserve">Mean compound</w:t>
                  </w:r>
                </w:p>
              </w:tc>
            </w:tr>
            <w:tr>
              <w:tc>
                <w:tcPr/>
                <w:p>
                  <w:pPr>
                    <w:pStyle w:val="Compact"/>
                    <w:jc w:val="center"/>
                  </w:pPr>
                  <w:r>
                    <w:t xml:space="preserve">high HCI / high GARI</w:t>
                  </w:r>
                </w:p>
              </w:tc>
              <w:tc>
                <w:tcPr/>
                <w:p>
                  <w:pPr>
                    <w:pStyle w:val="Compact"/>
                    <w:jc w:val="right"/>
                    <w:jc w:val="center"/>
                  </w:pPr>
                  <w:r>
                    <w:t xml:space="preserve">47</w:t>
                  </w:r>
                </w:p>
              </w:tc>
              <w:tc>
                <w:tcPr/>
                <w:p>
                  <w:pPr>
                    <w:pStyle w:val="Compact"/>
                    <w:jc w:val="right"/>
                    <w:jc w:val="center"/>
                  </w:pPr>
                  <w:r>
                    <w:t xml:space="preserve">2</w:t>
                  </w:r>
                </w:p>
              </w:tc>
              <w:tc>
                <w:tcPr/>
                <w:p>
                  <w:pPr>
                    <w:pStyle w:val="Compact"/>
                    <w:jc w:val="right"/>
                    <w:jc w:val="center"/>
                  </w:pPr>
                  <w:r>
                    <w:t xml:space="preserve">0.620</w:t>
                  </w:r>
                </w:p>
              </w:tc>
              <w:tc>
                <w:tcPr/>
                <w:p>
                  <w:pPr>
                    <w:pStyle w:val="Compact"/>
                    <w:jc w:val="right"/>
                    <w:jc w:val="center"/>
                  </w:pPr>
                  <w:r>
                    <w:t xml:space="preserve">0.569</w:t>
                  </w:r>
                </w:p>
              </w:tc>
              <w:tc>
                <w:tcPr/>
                <w:p>
                  <w:pPr>
                    <w:pStyle w:val="Compact"/>
                    <w:jc w:val="right"/>
                    <w:jc w:val="center"/>
                  </w:pPr>
                  <w:r>
                    <w:t xml:space="preserve">0.357</w:t>
                  </w:r>
                </w:p>
              </w:tc>
            </w:tr>
            <w:tr>
              <w:tc>
                <w:tcPr/>
                <w:p>
                  <w:pPr>
                    <w:pStyle w:val="Compact"/>
                    <w:jc w:val="center"/>
                  </w:pPr>
                  <w:r>
                    <w:t xml:space="preserve">high HCI / low GARI</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0.571</w:t>
                  </w:r>
                </w:p>
              </w:tc>
              <w:tc>
                <w:tcPr/>
                <w:p>
                  <w:pPr>
                    <w:pStyle w:val="Compact"/>
                    <w:jc w:val="right"/>
                    <w:jc w:val="center"/>
                  </w:pPr>
                  <w:r>
                    <w:t xml:space="preserve">0.270</w:t>
                  </w:r>
                </w:p>
              </w:tc>
              <w:tc>
                <w:tcPr/>
                <w:p>
                  <w:pPr>
                    <w:pStyle w:val="Compact"/>
                    <w:jc w:val="right"/>
                    <w:jc w:val="center"/>
                  </w:pPr>
                  <w:r>
                    <w:t xml:space="preserve">0.155</w:t>
                  </w:r>
                </w:p>
              </w:tc>
            </w:tr>
            <w:tr>
              <w:tc>
                <w:tcPr/>
                <w:p>
                  <w:pPr>
                    <w:pStyle w:val="Compact"/>
                    <w:jc w:val="center"/>
                  </w:pPr>
                  <w:r>
                    <w:t xml:space="preserve">low HCI / high GARI</w:t>
                  </w:r>
                </w:p>
              </w:tc>
              <w:tc>
                <w:tcPr/>
                <w:p>
                  <w:pPr>
                    <w:pStyle w:val="Compact"/>
                    <w:jc w:val="right"/>
                    <w:jc w:val="center"/>
                  </w:pPr>
                  <w:r>
                    <w:t xml:space="preserve">19</w:t>
                  </w:r>
                </w:p>
              </w:tc>
              <w:tc>
                <w:tcPr/>
                <w:p>
                  <w:pPr>
                    <w:pStyle w:val="Compact"/>
                    <w:jc w:val="right"/>
                    <w:jc w:val="center"/>
                  </w:pPr>
                  <w:r>
                    <w:t xml:space="preserve">10</w:t>
                  </w:r>
                </w:p>
              </w:tc>
              <w:tc>
                <w:tcPr/>
                <w:p>
                  <w:pPr>
                    <w:pStyle w:val="Compact"/>
                    <w:jc w:val="right"/>
                    <w:jc w:val="center"/>
                  </w:pPr>
                  <w:r>
                    <w:t xml:space="preserve">0.439</w:t>
                  </w:r>
                </w:p>
              </w:tc>
              <w:tc>
                <w:tcPr/>
                <w:p>
                  <w:pPr>
                    <w:pStyle w:val="Compact"/>
                    <w:jc w:val="right"/>
                    <w:jc w:val="center"/>
                  </w:pPr>
                  <w:r>
                    <w:t xml:space="preserve">0.484</w:t>
                  </w:r>
                </w:p>
              </w:tc>
              <w:tc>
                <w:tcPr/>
                <w:p>
                  <w:pPr>
                    <w:pStyle w:val="Compact"/>
                    <w:jc w:val="right"/>
                    <w:jc w:val="center"/>
                  </w:pPr>
                  <w:r>
                    <w:t xml:space="preserve">0.213</w:t>
                  </w:r>
                </w:p>
              </w:tc>
            </w:tr>
            <w:tr>
              <w:tc>
                <w:tcPr/>
                <w:p>
                  <w:pPr>
                    <w:pStyle w:val="Compact"/>
                    <w:jc w:val="center"/>
                  </w:pPr>
                  <w:r>
                    <w:rPr>
                      <w:b/>
                      <w:bCs/>
                    </w:rPr>
                    <w:t xml:space="preserve">low HCI / low GARI (double-excluded)</w:t>
                  </w:r>
                </w:p>
              </w:tc>
              <w:tc>
                <w:tcPr/>
                <w:p>
                  <w:pPr>
                    <w:pStyle w:val="Compact"/>
                    <w:jc w:val="right"/>
                    <w:jc w:val="center"/>
                  </w:pPr>
                  <w:r>
                    <w:rPr>
                      <w:b/>
                      <w:bCs/>
                    </w:rPr>
                    <w:t xml:space="preserve">47</w:t>
                  </w:r>
                </w:p>
              </w:tc>
              <w:tc>
                <w:tcPr/>
                <w:p>
                  <w:pPr>
                    <w:pStyle w:val="Compact"/>
                    <w:jc w:val="right"/>
                    <w:jc w:val="center"/>
                  </w:pPr>
                  <w:r>
                    <w:rPr>
                      <w:b/>
                      <w:bCs/>
                    </w:rPr>
                    <w:t xml:space="preserve">29</w:t>
                  </w:r>
                </w:p>
              </w:tc>
              <w:tc>
                <w:tcPr/>
                <w:p>
                  <w:pPr>
                    <w:pStyle w:val="Compact"/>
                    <w:jc w:val="right"/>
                    <w:jc w:val="center"/>
                  </w:pPr>
                  <w:r>
                    <w:rPr>
                      <w:b/>
                      <w:bCs/>
                    </w:rPr>
                    <w:t xml:space="preserve">0.407</w:t>
                  </w:r>
                </w:p>
              </w:tc>
              <w:tc>
                <w:tcPr/>
                <w:p>
                  <w:pPr>
                    <w:pStyle w:val="Compact"/>
                    <w:jc w:val="right"/>
                    <w:jc w:val="center"/>
                  </w:pPr>
                  <w:r>
                    <w:rPr>
                      <w:b/>
                      <w:bCs/>
                    </w:rPr>
                    <w:t xml:space="preserve">0.238</w:t>
                  </w:r>
                </w:p>
              </w:tc>
              <w:tc>
                <w:tcPr/>
                <w:p>
                  <w:pPr>
                    <w:pStyle w:val="Compact"/>
                    <w:jc w:val="right"/>
                    <w:jc w:val="center"/>
                  </w:pPr>
                  <w:r>
                    <w:rPr>
                      <w:b/>
                      <w:bCs/>
                    </w:rPr>
                    <w:t xml:space="preserve">0.099</w:t>
                  </w:r>
                </w:p>
              </w:tc>
            </w:tr>
          </w:tbl>
          <w:bookmarkEnd w:id="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fig-compound"/>
          <w:p>
            <w:pPr>
              <w:pStyle w:val="Compact"/>
              <w:jc w:val="center"/>
            </w:pPr>
            <w:r>
              <w:drawing>
                <wp:inline>
                  <wp:extent cx="4267200" cy="3200399"/>
                  <wp:effectExtent b="0" l="0" r="0" t="0"/>
                  <wp:docPr descr="" title="" id="43" name="Picture"/>
                  <a:graphic>
                    <a:graphicData uri="http://schemas.openxmlformats.org/drawingml/2006/picture">
                      <pic:pic>
                        <pic:nvPicPr>
                          <pic:cNvPr descr="../output/figures/compound_ai_penalty_scatter.png" id="44" name="Picture"/>
                          <pic:cNvPicPr>
                            <a:picLocks noChangeArrowheads="1" noChangeAspect="1"/>
                          </pic:cNvPicPr>
                        </pic:nvPicPr>
                        <pic:blipFill>
                          <a:blip r:embed="rId42"/>
                          <a:stretch>
                            <a:fillRect/>
                          </a:stretch>
                        </pic:blipFill>
                        <pic:spPr bwMode="auto">
                          <a:xfrm>
                            <a:off x="0" y="0"/>
                            <a:ext cx="42672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3. Joint distribution of country-level human capital (HCI 2020) and AI readiness (Oxford Insights GARI 2025) on the 132-country joined sample. Sample-median lines (dashed) divide the four quadrants; the low-HCI / low-GARI</w:t>
            </w:r>
            <w:r>
              <w:t xml:space="preserve"> </w:t>
            </w:r>
            <w:r>
              <w:t xml:space="preserve">“double-excluded”</w:t>
            </w:r>
            <w:r>
              <w:t xml:space="preserve"> </w:t>
            </w:r>
            <w:r>
              <w:t xml:space="preserve">cell (bottom-left) contains 47 countries, 29 of which are sub-Saharan African. Labeled: 5 most-exposed countries (SSD, CAF, LBR, YEM, TCD).</w:t>
            </w:r>
          </w:p>
          <w:bookmarkEnd w:id="45"/>
        </w:tc>
      </w:tr>
    </w:tbl>
    <w:p>
      <w:pPr>
        <w:pStyle w:val="BodyText"/>
      </w:pPr>
      <w:r>
        <w:t xml:space="preserve">The novelty of §4.6 is calibrated rather than absolute. An audit of adjacent literature surfaced three substantively related works: Brookings/UNDP’s</w:t>
      </w:r>
      <w:r>
        <w:t xml:space="preserve"> </w:t>
      </w:r>
      <w:r>
        <w:rPr>
          <w:i/>
          <w:iCs/>
        </w:rPr>
        <w:t xml:space="preserve">Next Great Divergence</w:t>
      </w:r>
      <w:r>
        <w:t xml:space="preserve"> </w:t>
      </w:r>
      <w:r>
        <w:t xml:space="preserve">(</w:t>
      </w:r>
      <w:hyperlink w:anchor="ref-muthukrishna2025divergence">
        <w:r>
          <w:rPr>
            <w:rStyle w:val="Hyperlink"/>
          </w:rPr>
          <w:t xml:space="preserve">Muthukrishna &amp; Schellekens, 2025</w:t>
        </w:r>
      </w:hyperlink>
      <w:r>
        <w:t xml:space="preserve">)</w:t>
      </w:r>
      <w:r>
        <w:t xml:space="preserve"> </w:t>
      </w:r>
      <w:r>
        <w:t xml:space="preserve">articulates the compounding-divergence thesis at the country level using an HCI-adjacent composite; World Bank Working Paper 11073</w:t>
      </w:r>
      <w:r>
        <w:t xml:space="preserve"> </w:t>
      </w:r>
      <w:r>
        <w:t xml:space="preserve">(</w:t>
      </w:r>
      <w:hyperlink w:anchor="ref-mandon2025beyond">
        <w:r>
          <w:rPr>
            <w:rStyle w:val="Hyperlink"/>
          </w:rPr>
          <w:t xml:space="preserve">Mandon, 2025</w:t>
        </w:r>
      </w:hyperlink>
      <w:r>
        <w:t xml:space="preserve">)</w:t>
      </w:r>
      <w:r>
        <w:t xml:space="preserve"> </w:t>
      </w:r>
      <w:r>
        <w:t xml:space="preserve">constructs a joint AI-Preparedness × Economic-Complexity composite for a different policy question; the joint ILO-World Bank background study for</w:t>
      </w:r>
      <w:r>
        <w:t xml:space="preserve"> </w:t>
      </w:r>
      <w:r>
        <w:rPr>
          <w:i/>
          <w:iCs/>
        </w:rPr>
        <w:t xml:space="preserve">WDR 2026</w:t>
      </w:r>
      <w:r>
        <w:t xml:space="preserve"> </w:t>
      </w:r>
      <w:r>
        <w:t xml:space="preserve">(</w:t>
      </w:r>
      <w:hyperlink w:anchor="ref-ilo2026disruption">
        <w:r>
          <w:rPr>
            <w:rStyle w:val="Hyperlink"/>
          </w:rPr>
          <w:t xml:space="preserve">International Labour Organization &amp; World Bank, 2026</w:t>
        </w:r>
      </w:hyperlink>
      <w:r>
        <w:t xml:space="preserve">)</w:t>
      </w:r>
      <w:r>
        <w:t xml:space="preserve"> </w:t>
      </w:r>
      <w:r>
        <w:t xml:space="preserve">quantifies the same compounding logic at the employment level (66.9 million jobs in developing economies with augmentation potential they cannot realize due to digital-infrastructure gaps). What appears genuinely novel here is the specific construction (HCI × Oxford GARI), the country cross-section, and the quantification of the sub-Saharan African concentration; the manuscript hedges to</w:t>
      </w:r>
      <w:r>
        <w:t xml:space="preserve"> </w:t>
      </w:r>
      <w:r>
        <w:rPr>
          <w:i/>
          <w:iCs/>
        </w:rPr>
        <w:t xml:space="preserve">“we are not aware of a prior peer-reviewed paper that constructs the joint composite at this exact country cross-section and quantifies the regional concentration”</w:t>
      </w:r>
      <w:r>
        <w:t xml:space="preserve"> </w:t>
      </w:r>
      <w:r>
        <w:t xml:space="preserve">rather than echoing a stronger claim. Two caveats follow.</w:t>
      </w:r>
      <w:r>
        <w:t xml:space="preserve"> </w:t>
      </w:r>
      <w:r>
        <w:rPr>
          <w:i/>
          <w:iCs/>
        </w:rPr>
        <w:t xml:space="preserve">First</w:t>
      </w:r>
      <w:r>
        <w:t xml:space="preserve">, the positive correlation between HCI and GARI (r = 0.777) creates partial tautology — the dimensions share approximately sixty percent of their variance, so the low-low cell is partly tautological with</w:t>
      </w:r>
      <w:r>
        <w:t xml:space="preserve"> </w:t>
      </w:r>
      <w:r>
        <w:t xml:space="preserve">“low overall HCI/GARI quality”</w:t>
      </w:r>
      <w:r>
        <w:t xml:space="preserve"> </w:t>
      </w:r>
      <w:r>
        <w:t xml:space="preserve">rather than reflecting an independent interaction.</w:t>
      </w:r>
      <w:r>
        <w:t xml:space="preserve"> </w:t>
      </w:r>
      <w:r>
        <w:rPr>
          <w:i/>
          <w:iCs/>
        </w:rPr>
        <w:t xml:space="preserve">Second</w:t>
      </w:r>
      <w:r>
        <w:t xml:space="preserve">, §4.6 is a joint-distribution characterization, not a longitudinal compounding-</w:t>
      </w:r>
      <w:r>
        <w:rPr>
          <w:i/>
          <w:iCs/>
        </w:rPr>
        <w:t xml:space="preserve">effect</w:t>
      </w:r>
      <w:r>
        <w:t xml:space="preserve"> </w:t>
      </w:r>
      <w:r>
        <w:t xml:space="preserve">estimate; the forward-looking claim that the double-excluded countries fall further behind as AI-driven productivity asymmetries widen requires several future GARI editions and post-AI-diffusion HCI cycles to evaluate. §5.5 takes up the snapshot-versus-trajectory point. Robustness on the median-split partition: the HCI-cycle-2018-only restriction yields Jaccard agreement of 0.94 with the headline set, and the tercile-split partition mechanically shrinks the cell to a smaller sample (Jaccard 0.53 reflects the cell-size difference, not boundary fragility).</w:t>
      </w:r>
    </w:p>
    <w:bookmarkEnd w:id="46"/>
    <w:bookmarkStart w:id="49" w:name="X85f47235cf90d637d8ea6605f741fd18e703554"/>
    <w:p>
      <w:pPr>
        <w:pStyle w:val="Heading2"/>
      </w:pPr>
      <w:r>
        <w:t xml:space="preserve">4.7 4.7 HLO measure-fragility: a sensitivity that fails sign-agreement</w:t>
      </w:r>
    </w:p>
    <w:p>
      <w:pPr>
        <w:pStyle w:val="FirstParagraph"/>
      </w:pPr>
      <w:hyperlink r:id="rId28">
        <w:r>
          <w:rPr>
            <w:rStyle w:val="Hyperlink"/>
          </w:rPr>
          <w:t xml:space="preserve">ADR-0004</w:t>
        </w:r>
      </w:hyperlink>
      <w:r>
        <w:t xml:space="preserve"> </w:t>
      </w:r>
      <w:r>
        <w:t xml:space="preserve">selected the World Bank HCI HLOS as the primary HLO outcome at Phase 1 and pre-committed the principal robustness check: refit Model 2’s headline specification on the published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harmonized measure and verify within-CI sign-and-magnitude agreement. The statistical-validity audit executed this check on two AAP-2018 specifications, chosen to disentangle measure-choice effects from sample-window-composition effects. The</w:t>
      </w:r>
      <w:r>
        <w:t xml:space="preserve"> </w:t>
      </w:r>
      <w:r>
        <w:rPr>
          <w:b/>
          <w:bCs/>
        </w:rPr>
        <w:t xml:space="preserve">AAP full coverage</w:t>
      </w:r>
      <w:r>
        <w:t xml:space="preserve"> </w:t>
      </w:r>
      <w:r>
        <w:t xml:space="preserve">specification (N = 69 country-year cells; 62 countries; year range 2005–2015; five AAP cycles) returned</w:t>
      </w:r>
      <w:r>
        <w:t xml:space="preserve"> </w:t>
      </w:r>
      <w:r>
        <w:rPr>
          <w:b/>
          <w:bCs/>
        </w:rPr>
        <w:t xml:space="preserve">β = −16.67</w:t>
      </w:r>
      <w:r>
        <w:t xml:space="preserve"> </w:t>
      </w:r>
      <w:r>
        <w:t xml:space="preserve">(SE 5.96; p = 0.009). The</w:t>
      </w:r>
      <w:r>
        <w:t xml:space="preserve"> </w:t>
      </w:r>
      <w:r>
        <w:rPr>
          <w:b/>
          <w:bCs/>
        </w:rPr>
        <w:t xml:space="preserve">AAP overlap window</w:t>
      </w:r>
      <w:r>
        <w:t xml:space="preserve"> </w:t>
      </w:r>
      <w:r>
        <w:t xml:space="preserve">specification, restricted to years ≥ 2010 to match the WB HCI HLOS primary panel (N = 36 cells; 42 countries; two AAP cycles in the primary window), returned</w:t>
      </w:r>
      <w:r>
        <w:t xml:space="preserve"> </w:t>
      </w:r>
      <w:r>
        <w:rPr>
          <w:b/>
          <w:bCs/>
        </w:rPr>
        <w:t xml:space="preserve">β = −3.94</w:t>
      </w:r>
      <w:r>
        <w:t xml:space="preserve"> </w:t>
      </w:r>
      <w:r>
        <w:t xml:space="preserve">(SE 8.68; p = 0.66). Both AAP specifications sign-flip relative to the primary, where the headline coefficient is β = +11.14 in the principal specification.</w:t>
      </w:r>
    </w:p>
    <w:p>
      <w:pPr>
        <w:pStyle w:val="BodyText"/>
      </w:pPr>
      <w:r>
        <w:t xml:space="preserve">The two AAP variants test alternative drivers of the sign-flip. If the AAP-full and AAP-overlap specifications agreed in sign and magnitude, the failure would be attributable to the harmonized-measure choice itself; if they disagreed, the failure would be attributable to sample-window composition (AAP’s pre-2010 epoch contains a substantially different country set than the WB HCI HLOS’s 2010-2020 panel). The</w:t>
      </w:r>
      <w:r>
        <w:t xml:space="preserve"> </w:t>
      </w:r>
      <w:r>
        <w:rPr>
          <w:b/>
          <w:bCs/>
        </w:rPr>
        <w:t xml:space="preserve">AAP-overlap result at β = −3.94, p = 0.66</w:t>
      </w:r>
      <w:r>
        <w:t xml:space="preserve"> </w:t>
      </w:r>
      <w:r>
        <w:t xml:space="preserve">— the right sample window, the wrong measure —</w:t>
      </w:r>
      <w:r>
        <w:t xml:space="preserve"> </w:t>
      </w:r>
      <w:r>
        <w:rPr>
          <w:b/>
          <w:bCs/>
        </w:rPr>
        <w:t xml:space="preserve">rules out sample-window composition as the sole driver</w:t>
      </w:r>
      <w:r>
        <w:t xml:space="preserve">. The harmonized-measure choice itself materially shapes the within-country answer; the two harmonized measures produce different signs on the within-country ODA-to-learning coefficient even when refit on overlapping country-year cells. ADR-0004 documents the failure; methodology §3.4.1 reports the sensitivity numbers; the manuscript-wide hedge (</w:t>
      </w:r>
      <w:r>
        <w:t xml:space="preserve">“in the WB HCI HLOS specification on the 2010–2020 panel”</w:t>
      </w:r>
      <w:r>
        <w:t xml:space="preserve">) encodes the discipline. §5.3 below takes up the methodological framing — the measure-fragility is itself a contribution to the cross-country aid-learning literature, where the implicit reading has been that within-country fixed effects absorb harmonization differences.</w:t>
      </w:r>
    </w:p>
    <w:p>
      <w:pPr>
        <w:pStyle w:val="BodyText"/>
      </w:pPr>
      <w:hyperlink r:id="rId47">
        <w:r>
          <w:rPr>
            <w:rStyle w:val="Hyperlink"/>
          </w:rPr>
          <w:t xml:space="preserve">ADR-0006</w:t>
        </w:r>
      </w:hyperlink>
      <w:r>
        <w:t xml:space="preserve"> </w:t>
      </w:r>
      <w:r>
        <w:t xml:space="preserve">pre-committed two complementary robustness checks against the production-panel missingness choices: UIS-augmented listwise (drop UIS-missing countries) and UIS-augmented multiple imputation. The pre-registered listwise refit on the same primary HLO measure returned</w:t>
      </w:r>
      <w:r>
        <w:t xml:space="preserve"> </w:t>
      </w:r>
      <w:r>
        <w:rPr>
          <w:b/>
          <w:bCs/>
        </w:rPr>
        <w:t xml:space="preserve">β = −1.97</w:t>
      </w:r>
      <w:r>
        <w:t xml:space="preserve"> </w:t>
      </w:r>
      <w:r>
        <w:t xml:space="preserve">(SE 4.40; N = 41 after the joint listwise constraint; not significant). The confidence interval [−10.59, 6.66] partially overlaps the primary CI [0.32, 21.95] in the range [0.32, 6.66], so any true β in that range is consistent with both samples. This is</w:t>
      </w:r>
      <w:r>
        <w:t xml:space="preserve"> </w:t>
      </w:r>
      <w:r>
        <w:rPr>
          <w:b/>
          <w:bCs/>
        </w:rPr>
        <w:t xml:space="preserve">weak robustness</w:t>
      </w:r>
      <w:r>
        <w:t xml:space="preserve">: a sign-flip but neither significant nor strongly contradictory, with country coverage reduced from 103 to 41 countries (60 percent of the primary-window FE-identifiable set lost to the listwise constraint). The multiple-imputation robustness was retired by</w:t>
      </w:r>
      <w:r>
        <w:t xml:space="preserve"> </w:t>
      </w:r>
      <w:hyperlink r:id="rId29">
        <w:r>
          <w:rPr>
            <w:rStyle w:val="Hyperlink"/>
          </w:rPr>
          <w:t xml:space="preserve">ADR-0012</w:t>
        </w:r>
      </w:hyperlink>
      <w:r>
        <w:t xml:space="preserve">: the production-panel MCAR test rejects MCAR at p &lt; 10⁻⁶, the MAR assumption multiple imputation requires is therefore unsupported on this data, and the project’s no-fabrication principle (CLAUDE.md) additionally treats imputed values as fabrications that would hide in the reported regressions as real observations. The §5.4 elaboration below takes up the methodological framing of the MCAR-MAR-MNAR triangle.</w:t>
      </w:r>
    </w:p>
    <w:tbl>
      <w:tblPr>
        <w:tblStyle w:val="Table"/>
        <w:tblW w:type="pct" w:w="5000"/>
        <w:tblLayout w:type="fixed"/>
        <w:tblLook w:firstRow="0" w:lastRow="0" w:firstColumn="0" w:lastColumn="0" w:noHBand="0" w:noVBand="0" w:val="0000"/>
      </w:tblPr>
      <w:tblGrid>
        <w:gridCol w:w="7920"/>
      </w:tblGrid>
      <w:tr>
        <w:tc>
          <w:tcPr/>
          <w:bookmarkStart w:id="48" w:name="tbl-pass1-sensitivity"/>
          <w:p>
            <w:pPr>
              <w:jc w:val="center"/>
            </w:pPr>
            <w:pPr>
              <w:jc w:val="left"/>
              <w:spacing w:before="200"/>
              <w:pStyle w:val="ImageCaption"/>
            </w:pPr>
            <w:r>
              <w:t xml:space="preserve">Table 7: Table 6. HLO measure-sensitivity (ADR-0004 principal robustness) + UIS-augmented listwise (ADR-0006 Robustness 1). Refit of the locked Model 2 spec 2e on alternative HLO measures and on the UIS-augmented listwise sample. Headline coefficient (row 1) does not survive sign-agreement against either AAP-2018 variant; the AAP-overlap null on the same primary sample window rules out sample-window composition as sole driver. The UIS-augmented listwise CI partially overlaps the primary CI in [0.32, 6.66] (weak robustness, not strong contradiction). ADR-0006 R2 multiple imputation retired per ADR-0012.</w:t>
            </w:r>
          </w:p>
          <w:tbl>
            <w:tblPr>
              <w:tblStyle w:val="Table"/>
              <w:tblW w:type="pct" w:w="5000"/>
              <w:tblLayout w:type="fixed"/>
              <w:tblLook w:firstRow="1" w:lastRow="0" w:firstColumn="0" w:lastColumn="0" w:noHBand="0" w:noVBand="0" w:val="0020"/>
            </w:tblPr>
            <w:tblGrid>
              <w:gridCol w:w="819"/>
              <w:gridCol w:w="1228"/>
              <w:gridCol w:w="1092"/>
              <w:gridCol w:w="682"/>
              <w:gridCol w:w="955"/>
              <w:gridCol w:w="955"/>
              <w:gridCol w:w="955"/>
              <w:gridCol w:w="1228"/>
            </w:tblGrid>
            <w:tr>
              <w:trPr>
                <w:tblHeader w:val="on"/>
              </w:trPr>
              <w:tc>
                <w:tcPr/>
                <w:p>
                  <w:pPr>
                    <w:pStyle w:val="Compact"/>
                    <w:jc w:val="center"/>
                  </w:pPr>
                  <w:r>
                    <w:t xml:space="preserve">Spec</w:t>
                  </w:r>
                </w:p>
              </w:tc>
              <w:tc>
                <w:tcPr/>
                <w:p>
                  <w:pPr>
                    <w:pStyle w:val="Compact"/>
                    <w:jc w:val="center"/>
                  </w:pPr>
                  <w:r>
                    <w:t xml:space="preserve">Outcome</w:t>
                  </w:r>
                </w:p>
              </w:tc>
              <w:tc>
                <w:tcPr/>
                <w:p>
                  <w:pPr>
                    <w:pStyle w:val="Compact"/>
                    <w:jc w:val="center"/>
                  </w:pPr>
                  <w:r>
                    <w:t xml:space="preserve">Sample</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Verdict</w:t>
                  </w:r>
                </w:p>
              </w:tc>
            </w:tr>
            <w:tr>
              <w:tc>
                <w:tcPr/>
                <w:p>
                  <w:pPr>
                    <w:pStyle w:val="Compact"/>
                    <w:jc w:val="center"/>
                  </w:pPr>
                  <w:r>
                    <w:t xml:space="preserve">Primary (locked)</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143</w:t>
                  </w:r>
                </w:p>
              </w:tc>
              <w:tc>
                <w:tcPr/>
                <w:p>
                  <w:pPr>
                    <w:pStyle w:val="Compact"/>
                    <w:jc w:val="right"/>
                    <w:jc w:val="center"/>
                  </w:pPr>
                  <w:r>
                    <w:t xml:space="preserve">+11.14</w:t>
                  </w:r>
                </w:p>
              </w:tc>
              <w:tc>
                <w:tcPr/>
                <w:p>
                  <w:pPr>
                    <w:pStyle w:val="Compact"/>
                    <w:jc w:val="right"/>
                    <w:jc w:val="center"/>
                  </w:pPr>
                  <w:r>
                    <w:t xml:space="preserve">5.52</w:t>
                  </w:r>
                </w:p>
              </w:tc>
              <w:tc>
                <w:tcPr/>
                <w:p>
                  <w:pPr>
                    <w:pStyle w:val="Compact"/>
                    <w:jc w:val="right"/>
                    <w:jc w:val="center"/>
                  </w:pPr>
                  <w:r>
                    <w:t xml:space="preserve">~0.05</w:t>
                  </w:r>
                </w:p>
              </w:tc>
              <w:tc>
                <w:tcPr/>
                <w:p>
                  <w:pPr>
                    <w:pStyle w:val="Compact"/>
                    <w:jc w:val="center"/>
                  </w:pPr>
                  <w:r>
                    <w:t xml:space="preserve">(reference)</w:t>
                  </w:r>
                </w:p>
              </w:tc>
            </w:tr>
            <w:tr>
              <w:tc>
                <w:tcPr/>
                <w:p>
                  <w:pPr>
                    <w:pStyle w:val="Compact"/>
                    <w:jc w:val="center"/>
                  </w:pPr>
                  <w:r>
                    <w:t xml:space="preserve">AAP-2018 full coverage</w:t>
                  </w:r>
                </w:p>
              </w:tc>
              <w:tc>
                <w:tcPr/>
                <w:p>
                  <w:pPr>
                    <w:pStyle w:val="Compact"/>
                    <w:jc w:val="center"/>
                  </w:pPr>
                  <w:r>
                    <w:t xml:space="preserve">aap_hlo_aap</w:t>
                  </w:r>
                </w:p>
              </w:tc>
              <w:tc>
                <w:tcPr/>
                <w:p>
                  <w:pPr>
                    <w:pStyle w:val="Compact"/>
                    <w:jc w:val="center"/>
                  </w:pPr>
                  <w:r>
                    <w:t xml:space="preserve">1995–2015</w:t>
                  </w:r>
                </w:p>
              </w:tc>
              <w:tc>
                <w:tcPr/>
                <w:p>
                  <w:pPr>
                    <w:pStyle w:val="Compact"/>
                    <w:jc w:val="right"/>
                    <w:jc w:val="center"/>
                  </w:pPr>
                  <w:r>
                    <w:t xml:space="preserve">69</w:t>
                  </w:r>
                </w:p>
              </w:tc>
              <w:tc>
                <w:tcPr/>
                <w:p>
                  <w:pPr>
                    <w:pStyle w:val="Compact"/>
                    <w:jc w:val="right"/>
                    <w:jc w:val="center"/>
                  </w:pPr>
                  <w:r>
                    <w:t xml:space="preserve">−16.67</w:t>
                  </w:r>
                </w:p>
              </w:tc>
              <w:tc>
                <w:tcPr/>
                <w:p>
                  <w:pPr>
                    <w:pStyle w:val="Compact"/>
                    <w:jc w:val="right"/>
                    <w:jc w:val="center"/>
                  </w:pPr>
                  <w:r>
                    <w:t xml:space="preserve">5.96</w:t>
                  </w:r>
                </w:p>
              </w:tc>
              <w:tc>
                <w:tcPr/>
                <w:p>
                  <w:pPr>
                    <w:pStyle w:val="Compact"/>
                    <w:jc w:val="right"/>
                    <w:jc w:val="center"/>
                  </w:pPr>
                  <w:r>
                    <w:t xml:space="preserve">0.009</w:t>
                  </w:r>
                </w:p>
              </w:tc>
              <w:tc>
                <w:tcPr/>
                <w:p>
                  <w:pPr>
                    <w:pStyle w:val="Compact"/>
                    <w:jc w:val="center"/>
                  </w:pPr>
                  <w:r>
                    <w:t xml:space="preserve">Sign-flip; outside primary CI</w:t>
                  </w:r>
                </w:p>
              </w:tc>
            </w:tr>
            <w:tr>
              <w:tc>
                <w:tcPr/>
                <w:p>
                  <w:pPr>
                    <w:pStyle w:val="Compact"/>
                    <w:jc w:val="center"/>
                  </w:pPr>
                  <w:r>
                    <w:t xml:space="preserve">AAP-2018 overlap window</w:t>
                  </w:r>
                </w:p>
              </w:tc>
              <w:tc>
                <w:tcPr/>
                <w:p>
                  <w:pPr>
                    <w:pStyle w:val="Compact"/>
                    <w:jc w:val="center"/>
                  </w:pPr>
                  <w:r>
                    <w:t xml:space="preserve">aap_hlo_aap</w:t>
                  </w:r>
                </w:p>
              </w:tc>
              <w:tc>
                <w:tcPr/>
                <w:p>
                  <w:pPr>
                    <w:pStyle w:val="Compact"/>
                    <w:jc w:val="center"/>
                  </w:pPr>
                  <w:r>
                    <w:t xml:space="preserve">year ≥ 2010</w:t>
                  </w:r>
                </w:p>
              </w:tc>
              <w:tc>
                <w:tcPr/>
                <w:p>
                  <w:pPr>
                    <w:pStyle w:val="Compact"/>
                    <w:jc w:val="right"/>
                    <w:jc w:val="center"/>
                  </w:pPr>
                  <w:r>
                    <w:t xml:space="preserve">36</w:t>
                  </w:r>
                </w:p>
              </w:tc>
              <w:tc>
                <w:tcPr/>
                <w:p>
                  <w:pPr>
                    <w:pStyle w:val="Compact"/>
                    <w:jc w:val="right"/>
                    <w:jc w:val="center"/>
                  </w:pPr>
                  <w:r>
                    <w:t xml:space="preserve">−3.94</w:t>
                  </w:r>
                </w:p>
              </w:tc>
              <w:tc>
                <w:tcPr/>
                <w:p>
                  <w:pPr>
                    <w:pStyle w:val="Compact"/>
                    <w:jc w:val="right"/>
                    <w:jc w:val="center"/>
                  </w:pPr>
                  <w:r>
                    <w:t xml:space="preserve">8.68</w:t>
                  </w:r>
                </w:p>
              </w:tc>
              <w:tc>
                <w:tcPr/>
                <w:p>
                  <w:pPr>
                    <w:pStyle w:val="Compact"/>
                    <w:jc w:val="right"/>
                    <w:jc w:val="center"/>
                  </w:pPr>
                  <w:r>
                    <w:t xml:space="preserve">0.66</w:t>
                  </w:r>
                </w:p>
              </w:tc>
              <w:tc>
                <w:tcPr/>
                <w:p>
                  <w:pPr>
                    <w:pStyle w:val="Compact"/>
                    <w:jc w:val="center"/>
                  </w:pPr>
                  <w:r>
                    <w:t xml:space="preserve">Sign-flip; null on overlap window</w:t>
                  </w:r>
                </w:p>
              </w:tc>
            </w:tr>
            <w:tr>
              <w:tc>
                <w:tcPr/>
                <w:p>
                  <w:pPr>
                    <w:pStyle w:val="Compact"/>
                    <w:jc w:val="center"/>
                  </w:pPr>
                  <w:r>
                    <w:t xml:space="preserve">UIS-augmented listwise (ADR-0006 R1)</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41</w:t>
                  </w:r>
                </w:p>
              </w:tc>
              <w:tc>
                <w:tcPr/>
                <w:p>
                  <w:pPr>
                    <w:pStyle w:val="Compact"/>
                    <w:jc w:val="right"/>
                    <w:jc w:val="center"/>
                  </w:pPr>
                  <w:r>
                    <w:t xml:space="preserve">−1.97</w:t>
                  </w:r>
                </w:p>
              </w:tc>
              <w:tc>
                <w:tcPr/>
                <w:p>
                  <w:pPr>
                    <w:pStyle w:val="Compact"/>
                    <w:jc w:val="right"/>
                    <w:jc w:val="center"/>
                  </w:pPr>
                  <w:r>
                    <w:t xml:space="preserve">4.40</w:t>
                  </w:r>
                </w:p>
              </w:tc>
              <w:tc>
                <w:tcPr/>
                <w:p>
                  <w:pPr>
                    <w:pStyle w:val="Compact"/>
                    <w:jc w:val="right"/>
                    <w:jc w:val="center"/>
                  </w:pPr>
                  <w:r>
                    <w:t xml:space="preserve">&gt; 0.05</w:t>
                  </w:r>
                </w:p>
              </w:tc>
              <w:tc>
                <w:tcPr/>
                <w:p>
                  <w:pPr>
                    <w:pStyle w:val="Compact"/>
                    <w:jc w:val="center"/>
                  </w:pPr>
                  <w:r>
                    <w:t xml:space="preserve">Sign-flip; CIs partially overlap</w:t>
                  </w:r>
                </w:p>
              </w:tc>
            </w:tr>
          </w:tbl>
          <w:bookmarkEnd w:id="48"/>
          <w:p/>
        </w:tc>
      </w:tr>
    </w:tbl>
    <w:bookmarkEnd w:id="49"/>
    <w:bookmarkEnd w:id="50"/>
    <w:bookmarkStart w:id="56" w:name="Xa958bb73e2ed1aad5e094437b7951a4422c2829"/>
    <w:p>
      <w:pPr>
        <w:pStyle w:val="Heading1"/>
      </w:pPr>
      <w:r>
        <w:t xml:space="preserve">5. 5. Discussion — Why the system perpetuates itself</w:t>
      </w:r>
    </w:p>
    <w:bookmarkStart w:id="51" w:name="thesis"/>
    <w:p>
      <w:pPr>
        <w:pStyle w:val="Heading2"/>
      </w:pPr>
      <w:r>
        <w:t xml:space="preserve">5.1 5.1 Thesis</w:t>
      </w:r>
    </w:p>
    <w:p>
      <w:pPr>
        <w:pStyle w:val="FirstParagraph"/>
      </w:pPr>
      <w:r>
        <w:t xml:space="preserve">Three pre-committed gates each surfaced a constraint on what cross-country panel evidence can rigorously claim about aid-to-learning. The four-bucket intervention typology the policy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r>
        <w:t xml:space="preserve">treats as the operative axis is not recoverable from CRS metadata at any defensible inter-method agreement threshold (§4.4); the within-country positive coefficient does not survive sign-agreement with the published Altinok-Angrist-Patrinos (2018) alternative measure (§4.7); the multiple-imputation robustness the missingness ADR pre-committed to requires assumptions the pre-committed MCAR test already refutes (§5.4). Each result is a finding for the field, not a caveat to the analyst — they jointly reframe how to read the positive within-country headline reported in §4.2. The HCI × AI-readiness joint composite (§4.6) adds a quantification of the ≈2× sub-Saharan-African over-representation in the low-HCI ∩ low-AI-readiness cell, giving the qualitative compounding-divergence thesis a concrete cross-section.</w:t>
      </w:r>
      <w:r>
        <w:t xml:space="preserve"> </w:t>
      </w:r>
      <w:r>
        <w:rPr>
          <w:i/>
          <w:iCs/>
        </w:rPr>
        <w:t xml:space="preserve">What cross-country aid-effectiveness panel evidence can rigorously claim is narrower than the policy discourse has been treating it as. This paper’s principal contribution is mapping that narrower terrain precisely.</w:t>
      </w:r>
    </w:p>
    <w:bookmarkEnd w:id="51"/>
    <w:bookmarkStart w:id="52" w:name="the-typology-axis-lacuna-in-crs-metadata"/>
    <w:p>
      <w:pPr>
        <w:pStyle w:val="Heading2"/>
      </w:pPr>
      <w:r>
        <w:t xml:space="preserve">5.2 5.2 The typology-axis lacuna in CRS metadata</w:t>
      </w:r>
    </w:p>
    <w:p>
      <w:pPr>
        <w:pStyle w:val="FirstParagraph"/>
      </w:pPr>
      <w:r>
        <w:t xml:space="preserve">The policy literature on education aid effectiveness</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programmatic intervention type as the operative axis for cost-effectiveness comparison; the OECD CRS Creditor Reporting System records aid at the</w:t>
      </w:r>
      <w:r>
        <w:t xml:space="preserve"> </w:t>
      </w:r>
      <w:r>
        <w:rPr>
          <w:i/>
          <w:iCs/>
        </w:rPr>
        <w:t xml:space="preserve">sectoral</w:t>
      </w:r>
      <w:r>
        <w:t xml:space="preserve"> </w:t>
      </w:r>
      <w:r>
        <w:t xml:space="preserve">level via five-digit purpose codes (primary education, secondary education, education facilities and training, education policy, and so on) that aggregate over intervention type rather than recording it. The §4.4 classifier’s failure (39 percent agreement; κ = 0.19; 75.7 percent unclassified) is the empirical face of this lacuna: the rule-based classifier failed not because its 49 keyword patterns were poorly tuned but because CRS project descriptions do not consistently distinguish a teacher-training project from a school-construction project from a budget-support disbursement at the granularity the effectiveness literature operates on.</w:t>
      </w:r>
    </w:p>
    <w:p>
      <w:pPr>
        <w:pStyle w:val="BodyText"/>
      </w:pPr>
      <w:r>
        <w:t xml:space="preserve">The implication for the donor-reporting infrastructure is direct. The current CRS schema cannot support cross-country panel composition analysis of education aid at policy-relevant intervention granularity. Without intervention-type tagging at project-record creation — analogous to the OECD DAC’s existing voluntary policy markers for gender and environment, but coded at the programmatic level the effectiveness literature requires — cross-country panel work is structurally limited to aid-amount regressions of the kind the published literature relies on. The next generation of CRS schema needs intervention-type tagging if the field’s compositional questions are to become answerable at panel scale.</w:t>
      </w:r>
    </w:p>
    <w:bookmarkEnd w:id="52"/>
    <w:bookmarkStart w:id="53" w:name="X67c4303ec3c294a3eb84c6c1fc1eb7b468fc7e9"/>
    <w:p>
      <w:pPr>
        <w:pStyle w:val="Heading2"/>
      </w:pPr>
      <w:r>
        <w:t xml:space="preserve">5.3 5.3 Measure-fragility in cross-country learning research</w:t>
      </w:r>
    </w:p>
    <w:p>
      <w:pPr>
        <w:pStyle w:val="FirstParagraph"/>
      </w:pPr>
      <w:r>
        <w:t xml:space="preserve">The two harmonized HLO measures the cross-country panel literature operates on — the World Bank HCI HLOS and the Altinok-Angrist-Patrinos 2018 series — harmonize different underlying assessment universes via different linking-anchor assumptions. WB HCI HLOS uses TIMSS, PIRLS, SACMEQ, PASEC, the Latin American Laboratory for Assessment of the Quality of Education (LLECE), and the Early Grade Reading Assessment (EGRA) anchors with the World Bank’s post-2010 HCI cycle structure; AAP-2018 uses TIMSS, PIRLS, and SACMEQ with a pre-2018 publication window. The two measures’ country-coverage panels are structurally non-identical: different countries appear in different cycles of each measure’s coverage, with the WB HCI HLOS panel post-2017 anchored on the explicit Human Capital Project measurement strategy and the AAP-2018 panel anchored on the published cross-country test-score harmonization tradition Sandefur (2018) critiqued</w:t>
      </w:r>
      <w:r>
        <w:t xml:space="preserve"> </w:t>
      </w:r>
      <w:r>
        <w:t xml:space="preserve">(</w:t>
      </w:r>
      <w:hyperlink w:anchor="ref-sandefur2018internationally">
        <w:r>
          <w:rPr>
            <w:rStyle w:val="Hyperlink"/>
          </w:rPr>
          <w:t xml:space="preserve">Sandefur, 2018</w:t>
        </w:r>
      </w:hyperlink>
      <w:r>
        <w:t xml:space="preserve">)</w:t>
      </w:r>
      <w:r>
        <w:t xml:space="preserve">. Sandefur’s critique was specifically that cross-country</w:t>
      </w:r>
      <w:r>
        <w:t xml:space="preserve"> </w:t>
      </w:r>
      <w:r>
        <w:rPr>
          <w:i/>
          <w:iCs/>
        </w:rPr>
        <w:t xml:space="preserve">rankings</w:t>
      </w:r>
      <w:r>
        <w:t xml:space="preserve"> </w:t>
      </w:r>
      <w:r>
        <w:t xml:space="preserve">are sensitive to harmonization assumptions, and the implicit reading in the cross-country panel literature has been that within-country fixed effects absorb the level differences the harmonization linking introduces. The sensitivity reported in §4.7 demonstrates that this implicit reading is incomplete: within-country FE absorbs cross-country</w:t>
      </w:r>
      <w:r>
        <w:t xml:space="preserve"> </w:t>
      </w:r>
      <w:r>
        <w:rPr>
          <w:i/>
          <w:iCs/>
        </w:rPr>
        <w:t xml:space="preserve">level</w:t>
      </w:r>
      <w:r>
        <w:t xml:space="preserve"> </w:t>
      </w:r>
      <w:r>
        <w:t xml:space="preserve">differences as expected, but does not absorb</w:t>
      </w:r>
      <w:r>
        <w:t xml:space="preserve"> </w:t>
      </w:r>
      <w:r>
        <w:rPr>
          <w:i/>
          <w:iCs/>
        </w:rPr>
        <w:t xml:space="preserve">within-country measure noise</w:t>
      </w:r>
      <w:r>
        <w:t xml:space="preserve"> </w:t>
      </w:r>
      <w:r>
        <w:t xml:space="preserve">introduced by differential panel structures across the two measures.</w:t>
      </w:r>
    </w:p>
    <w:p>
      <w:pPr>
        <w:pStyle w:val="BodyText"/>
      </w:pPr>
      <w:r>
        <w:t xml:space="preserve">The within-country measure-fragility is itself a finding for the cross-country aid-learning literature. The standard reading of Sandefur 2018 — harmonization assumptions matter cross-sectionally but wash out under within-country fixed effects — does not hold in the within-FE specification on the WB HCI HLOS panel reported here. The headline aid-to-learning coefficient depends on the harmonized-measure choice in the within-FE specification as well, in a sign-reversing rather than magnitude-perturbing way. The contribution here is empirical demonstration that the within-country dimension is not safe ground for the Sandefur critique either; cross-country aid-learning panel work that reports within-FE coefficients without measure-sensitivity reporting may be reporting a measure-specific finding without acknowledging the fragility. The cross-country learning measurement infrastructure the field operates on needs more redundancy than the current two-measure architecture provides.</w:t>
      </w:r>
    </w:p>
    <w:bookmarkEnd w:id="53"/>
    <w:bookmarkStart w:id="54" w:name="X68176b498a967230898823ad1069eaed084c68e"/>
    <w:p>
      <w:pPr>
        <w:pStyle w:val="Heading2"/>
      </w:pPr>
      <w:r>
        <w:t xml:space="preserve">5.4 5.4 The MCAR-MAR-MNAR triangle in donor-reporting data</w:t>
      </w:r>
    </w:p>
    <w:p>
      <w:pPr>
        <w:pStyle w:val="FirstParagraph"/>
      </w:pPr>
      <w:r>
        <w:t xml:space="preserve">The Rubin missingness taxonomy distinguishes MCAR (missing completely at random), MAR (missing at random, conditional on observed), and MNAR (missing not at random); listwise deletion is unbiased only under MCAR, and multiple imputation requires MAR. Donor-reporting data sits at the triangle’s hardest vertex. The UIS schooling-finance indicators that anchor the most policy-relevant control variable in cross-country aid-learning panels are missing on 91.8 percent of sub-Saharan-African country-years against single-digit percentages in OECD countries. The missingness</w:t>
      </w:r>
      <w:r>
        <w:t xml:space="preserve"> </w:t>
      </w:r>
      <w:r>
        <w:rPr>
          <w:i/>
          <w:iCs/>
        </w:rPr>
        <w:t xml:space="preserve">is</w:t>
      </w:r>
      <w:r>
        <w:t xml:space="preserve"> </w:t>
      </w:r>
      <w:r>
        <w:t xml:space="preserve">the data: which countries report depends on administrative capacity, which depends on the development conditions the panel is trying to explain.</w:t>
      </w:r>
    </w:p>
    <w:p>
      <w:pPr>
        <w:pStyle w:val="BodyText"/>
      </w:pPr>
      <w:r>
        <w:t xml:space="preserve">The pre-commit missingness ADR (ADR-0006, Phase 2) locked listwise-with-UIS-dropped as the production strategy with two complementary robustness specifications: UIS-augmented listwise (Robustness 1) and UIS-augmented multiple imputation (Robustness 2). The audit executed Robustness 1 and returned β = −1.97 (SE 4.40, N = 41 post-singleton, p &gt; 0.05) — weak robustness, with CI [−10.59, 6.66] partially overlapping the primary [0.32, 21.95] rather than contradicting it. Robustness 2 was retired by ADR-0012 on two grounds: the production-panel MCAR test rejected MCAR at p ≪ 10⁻⁶ on both the 6-column UIS-excluded subset (χ² = 175.80) and the 7-column UIS-augmented subset (χ² = 341.90), empirically refuting the MAR-sufficiency assumption multiple imputation requires; and the project’s no-fabrication discipline treats imputed values as fabrications that hide as real observations, in conflict with the standing pre-commitment that every value trace to a downloadable raw source.</w:t>
      </w:r>
    </w:p>
    <w:p>
      <w:pPr>
        <w:pStyle w:val="BodyText"/>
      </w:pPr>
      <w:r>
        <w:t xml:space="preserve">Cross-country aid-learning panel work that reports MI-based estimates without a published MCAR test makes an assumption — MAR — that the only existing MCAR test in this paper’s adjacent literature empirically refutes. The contribution here is to surface the MCAR/MAR/MNAR triangle as a first-class diagnostic step the field has under-engaged with: when donor-reporting-layer missingness is itself a function of the development conditions the panel is trying to explain, listwise and multiple imputation are not interchangeable robustness directions, and reporting both alongside an explicit MCAR result is the minimal methodological discipline the field should adopt.</w:t>
      </w:r>
    </w:p>
    <w:bookmarkEnd w:id="54"/>
    <w:bookmarkStart w:id="55" w:name="compounding-divergence-in-concrete-terms"/>
    <w:p>
      <w:pPr>
        <w:pStyle w:val="Heading2"/>
      </w:pPr>
      <w:r>
        <w:t xml:space="preserve">5.5 5.5 Compounding-divergence in concrete terms</w:t>
      </w:r>
    </w:p>
    <w:p>
      <w:pPr>
        <w:pStyle w:val="FirstParagraph"/>
      </w:pPr>
      <w:r>
        <w:t xml:space="preserve">The compounding-divergence thesis — that AI diffusion will widen rather than narrow the human-capital gap between countries already on different development trajectories — has been articulated at country and employment level by Brookings/UNDP</w:t>
      </w:r>
      <w:r>
        <w:t xml:space="preserve"> </w:t>
      </w:r>
      <w:r>
        <w:t xml:space="preserve">(</w:t>
      </w:r>
      <w:hyperlink w:anchor="ref-muthukrishna2025divergence">
        <w:r>
          <w:rPr>
            <w:rStyle w:val="Hyperlink"/>
          </w:rPr>
          <w:t xml:space="preserve">Muthukrishna &amp; Schellekens, 2025</w:t>
        </w:r>
      </w:hyperlink>
      <w:r>
        <w:t xml:space="preserve">)</w:t>
      </w:r>
      <w:r>
        <w:t xml:space="preserve">, the World Bank’s</w:t>
      </w:r>
      <w:r>
        <w:t xml:space="preserve"> </w:t>
      </w:r>
      <w:r>
        <w:rPr>
          <w:i/>
          <w:iCs/>
        </w:rPr>
        <w:t xml:space="preserve">Beyond the AI Divide</w:t>
      </w:r>
      <w:r>
        <w:t xml:space="preserve"> </w:t>
      </w:r>
      <w:r>
        <w:t xml:space="preserve">working paper</w:t>
      </w:r>
      <w:r>
        <w:t xml:space="preserve"> </w:t>
      </w:r>
      <w:r>
        <w:t xml:space="preserve">(</w:t>
      </w:r>
      <w:hyperlink w:anchor="ref-mandon2025beyond">
        <w:r>
          <w:rPr>
            <w:rStyle w:val="Hyperlink"/>
          </w:rPr>
          <w:t xml:space="preserve">Mandon, 2025</w:t>
        </w:r>
      </w:hyperlink>
      <w:r>
        <w:t xml:space="preserve">)</w:t>
      </w:r>
      <w:r>
        <w:t xml:space="preserve">, and the joint ILO–World Bank background study for</w:t>
      </w:r>
      <w:r>
        <w:t xml:space="preserve"> </w:t>
      </w:r>
      <w:r>
        <w:rPr>
          <w:i/>
          <w:iCs/>
        </w:rPr>
        <w:t xml:space="preserve">World Development Report 2026</w:t>
      </w:r>
      <w:r>
        <w:t xml:space="preserve"> </w:t>
      </w:r>
      <w:r>
        <w:t xml:space="preserve">(</w:t>
      </w:r>
      <w:hyperlink w:anchor="ref-ilo2026disruption">
        <w:r>
          <w:rPr>
            <w:rStyle w:val="Hyperlink"/>
          </w:rPr>
          <w:t xml:space="preserve">International Labour Organization &amp; World Bank, 2026</w:t>
        </w:r>
      </w:hyperlink>
      <w:r>
        <w:t xml:space="preserve">)</w:t>
      </w:r>
      <w:r>
        <w:t xml:space="preserve">. The §4.6 joint-distribution analysis operationalizes that thesis at the country cross-section: 47 of 132 countries fall in the low-HCI ∩ low-GARI double-excluded cell, 29 of those 47 are sub-Saharan African against an SSA sample share of 31.8 percent — a roughly two-fold over-representation. Five countries — South Sudan, the Central African Republic, Liberia, Yemen, and Chad — sit at the joint distribution’s most exposed corner.</w:t>
      </w:r>
    </w:p>
    <w:p>
      <w:pPr>
        <w:pStyle w:val="BodyText"/>
      </w:pPr>
      <w:r>
        <w:t xml:space="preserve">The two-fold SSA over-representation is a snapshot, not a trajectory. The longitudinal compounding-divergence claim — that countries in the double-excluded cell</w:t>
      </w:r>
      <w:r>
        <w:t xml:space="preserve"> </w:t>
      </w:r>
      <w:r>
        <w:rPr>
          <w:i/>
          <w:iCs/>
        </w:rPr>
        <w:t xml:space="preserve">fall further behind</w:t>
      </w:r>
      <w:r>
        <w:t xml:space="preserve"> </w:t>
      </w:r>
      <w:r>
        <w:t xml:space="preserve">as AI-driven productivity asymmetries widen — would require several future GARI editions paired with post-AI-diffusion HCI cycles to evaluate, and is not testable on a 2020/2025 cross-section. The contribution here is empirical operationalization at a specific resolution: this paper is not aware of a prior peer-reviewed paper that constructs the explicit HCI × GARI joint composite at this country cross-section and quantifies the regional concentration. The trajectory question is a multi-edition empirical agenda for the field — and one that is itself contingent on whether GARI and HCI continue to be updated on comparable schedules.</w:t>
      </w:r>
    </w:p>
    <w:bookmarkEnd w:id="55"/>
    <w:bookmarkEnd w:id="56"/>
    <w:bookmarkStart w:id="61" w:name="policy-implications"/>
    <w:p>
      <w:pPr>
        <w:pStyle w:val="Heading1"/>
      </w:pPr>
      <w:r>
        <w:t xml:space="preserve">6. 6. Policy Implications</w:t>
      </w:r>
    </w:p>
    <w:bookmarkStart w:id="57" w:name="X98c1069b0af318ace0aab7d4c135814d18e9372"/>
    <w:p>
      <w:pPr>
        <w:pStyle w:val="Heading2"/>
      </w:pPr>
      <w:r>
        <w:t xml:space="preserve">6.1 6.1 An intervention-type policy marker in the OECD DAC Creditor Reporting System</w:t>
      </w:r>
    </w:p>
    <w:p>
      <w:pPr>
        <w:pStyle w:val="FirstParagraph"/>
      </w:pPr>
      <w:r>
        <w:t xml:space="preserve">The OECD DAC Working Party on Development Finance Statistics should add an</w:t>
      </w:r>
      <w:r>
        <w:t xml:space="preserve"> </w:t>
      </w:r>
      <w:r>
        <w:t xml:space="preserve">“education intervention type”</w:t>
      </w:r>
      <w:r>
        <w:t xml:space="preserve"> </w:t>
      </w:r>
      <w:r>
        <w:t xml:space="preserve">voluntary policy marker to the Creditor Reporting System for purpose codes 11110 through 11430, using a controlled vocabulary of six to seven categories derived from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(structured pedagogy, pedagogical-targeting, individualized tutoring, infrastructure, teacher training, system-strengthening, budget support). The marker would be assigned at project-record creation, on the same 0/1/2 voluntary-to-mandatory model the DAC has used for the gender-equality marker (introduced 1997, mandatory 2007), the environment marker, and the Rio biodiversity and climate markers.</w:t>
      </w:r>
    </w:p>
    <w:p>
      <w:pPr>
        <w:pStyle w:val="BodyText"/>
      </w:pPr>
      <w:r>
        <w:t xml:space="preserve">The proposal is concrete enough that a DAC delegate from a sympathetic donor — Norway, Sweden, the United Kingdom’s FCDO, the Netherlands’ DGIS, or a multilateral observer such as the GPE Secretariat — could table it at the next Working Party on Development Finance Statistics meeting. The DAC has an existing template for voluntary-then-mandatory marker introduction; the implementation cost to donor reporting workflows is low because the marker infrastructure already exists; and the 39 percent inter-method agreement on the intervention-typology classifier reported in §4.4 is the kind of empirical evidence a working-party paper can cite as the binding-constraint case. The typology-axis lacuna documented in §5.2 is not a problem the field can solve from the demand side: it requires the supply-side intervention of recording intervention type at project-record creation, and the DAC is the only body with the authority to make that recording happen across the donor universe.</w:t>
      </w:r>
    </w:p>
    <w:bookmarkEnd w:id="57"/>
    <w:bookmarkStart w:id="58" w:name="Xea3a98bbed89d964de987c8f5c2f467c594a0b8"/>
    <w:p>
      <w:pPr>
        <w:pStyle w:val="Heading2"/>
      </w:pPr>
      <w:r>
        <w:t xml:space="preserve">6.2 6.2 Auditable measurement infrastructure for cross-country learning outcomes</w:t>
      </w:r>
    </w:p>
    <w:p>
      <w:pPr>
        <w:pStyle w:val="FirstParagraph"/>
      </w:pPr>
      <w:r>
        <w:t xml:space="preserve">The cross-country panel literature on aid-to-learning operates on two harmonized measures whose linking-anchor decisions and harmonization assumptions are not publicly auditable at the granularity needed to reconstruct or contest the within-country panel coefficient. The World Bank’s Human Capital Project, in partnership with the upstream assessment consortia — the IEA TIMSS/PIRLS network, SACMEQ, PASEC, LLECE, and EGRA — should publicly release the assessment-by-assessment linking-anchor decisions underlying the WB HCI HLOS series, so that an external researcher could reconstruct or contest the harmonization choices that shape the headline within-country answer. Alongside this transparency move, donors and research-funding bodies should commission monitoring of outcomes in the §4.6 low-HCI ∩ low-AI-readiness double-excluded cell as future GARI and HCI editions arrive, to convert the §4.6 snapshot into the trajectory observation §4.6 has flagged as currently untestable.</w:t>
      </w:r>
    </w:p>
    <w:p>
      <w:pPr>
        <w:pStyle w:val="BodyText"/>
      </w:pPr>
      <w:r>
        <w:t xml:space="preserve">Complementing the upstream transparency move, journals publishing cross-country panel evidence on aid effectiveness should expect headline coefficients reported under at least two harmonized measures —</w:t>
      </w:r>
      <w:r>
        <w:t xml:space="preserve"> </w:t>
      </w:r>
      <w:r>
        <w:rPr>
          <w:i/>
          <w:iCs/>
        </w:rPr>
        <w:t xml:space="preserve">World Development</w:t>
      </w:r>
      <w:r>
        <w:t xml:space="preserve">, the</w:t>
      </w:r>
      <w:r>
        <w:t xml:space="preserve"> </w:t>
      </w:r>
      <w:r>
        <w:rPr>
          <w:i/>
          <w:iCs/>
        </w:rPr>
        <w:t xml:space="preserve">Journal of Development Studies</w:t>
      </w:r>
      <w:r>
        <w:t xml:space="preserve">, and the</w:t>
      </w:r>
      <w:r>
        <w:t xml:space="preserve"> </w:t>
      </w:r>
      <w:r>
        <w:rPr>
          <w:i/>
          <w:iCs/>
        </w:rPr>
        <w:t xml:space="preserve">Journal of Development Economics</w:t>
      </w:r>
      <w:r>
        <w:t xml:space="preserve"> </w:t>
      </w:r>
      <w:r>
        <w:t xml:space="preserve">are the natural sites — on the model of the American Economic Association Data Editor’s 2019 introduction of data-availability requirements which shifted reproducibility practice across the AEA journals in the years immediately following. The §4.7 measure-fragility sensitivity is the empirical case for a complementary funded benchmarking exercise comparing the WB HCI HLOS and AAP-2018 harmonization decisions on a common country set.</w:t>
      </w:r>
    </w:p>
    <w:bookmarkEnd w:id="58"/>
    <w:bookmarkStart w:id="59" w:name="X3d9bb2c7a6dab3a36ccc1bd6791655fdc68baf8"/>
    <w:p>
      <w:pPr>
        <w:pStyle w:val="Heading2"/>
      </w:pPr>
      <w:r>
        <w:t xml:space="preserve">6.3 6.3 Missingness-disclosure as a routine condition of cross-country panel publication</w:t>
      </w:r>
    </w:p>
    <w:p>
      <w:pPr>
        <w:pStyle w:val="FirstParagraph"/>
      </w:pPr>
      <w:r>
        <w:t xml:space="preserve">Journals publishing cross-country panel evidence in the aid-effectiveness literature should require a structured missingness-disclosure section as a routine condition of econometric-analysis submission. The disclosure section would report three items: the production-panel MCAR test result (Little’s test or equivalent) with explicit χ² and p-value; the listwise-deletion robustness against the primary specification, with point estimates and confidence intervals reported alongside the primary; and, if multiple imputation is used, explicit justification for the MAR assumption alongside the MCAR-test evidence. Where MCAR is rejected and MAR cannot be defended on the data, the missingness-disclosure section would document the retirement of MI as a robustness check on those grounds, on the model the §3.4 methodology section and the §5.4 MCAR-MAR-MNAR-triangle framework articulate in this paper.</w:t>
      </w:r>
    </w:p>
    <w:p>
      <w:pPr>
        <w:pStyle w:val="BodyText"/>
      </w:pPr>
      <w:r>
        <w:t xml:space="preserve">One journal editor’s decision implements this standard. The mechanism-precedent is the American Economic Association Data Editor’s 2019 introduction of data-availability requirements: one editor-level decision shifted reproducibility practice across the AEA journal family in the years immediately following.</w:t>
      </w:r>
      <w:r>
        <w:t xml:space="preserve"> </w:t>
      </w:r>
      <w:r>
        <w:rPr>
          <w:i/>
          <w:iCs/>
        </w:rPr>
        <w:t xml:space="preserve">World Development</w:t>
      </w:r>
      <w:r>
        <w:t xml:space="preserve"> </w:t>
      </w:r>
      <w:r>
        <w:t xml:space="preserve">editorial leadership could add a missingness-disclosure clause to the journal’s submission requirements for econometric analyses; the Berkeley Initiative for Transparency in the Social Sciences could adopt the same standard as a Phase-3 TIER protocol expansion. The cost to authors is low — the MCAR test is one command in any major statistical package — and the gain is that the field stops carrying MI-based estimates whose validity depends on assumptions the data refute, an asymmetric improvement in evidence quality at near-zero implementation friction.</w:t>
      </w:r>
    </w:p>
    <w:bookmarkEnd w:id="59"/>
    <w:bookmarkStart w:id="60" w:name="Xae69557b2f0dde6bd40043f943c8bfa0ee266e2"/>
    <w:p>
      <w:pPr>
        <w:pStyle w:val="Heading2"/>
      </w:pPr>
      <w:r>
        <w:t xml:space="preserve">6.4 6.4 Structural determinants in donor allocation models</w:t>
      </w:r>
    </w:p>
    <w:p>
      <w:pPr>
        <w:pStyle w:val="FirstParagraph"/>
      </w:pPr>
      <w:r>
        <w:t xml:space="preserve">The within-FE design identifies associations, not causal effects. Within that limit, the structural variables in the §4.2 panel — conflict-exposure intensity, governance-quality measured by the WGI Principal-Component-1, early-childhood public investment, and the OECD-DAC Sectoral Concentration index — tend to be more stable across alternative specifications (§4.2; §4.7) than the aid coefficient itself. Donor allocation models that ignore them leave a substantial share of cross-country learning-outcome variation unexplained, even where the aid-on-learning relationship is itself contested. Multilateral and bilateral aid agencies should therefore give the structural variables explicit weight in country-allocation decisions, on the recognition that they are the more stable predictor signal in the cross-country panel.</w:t>
      </w:r>
    </w:p>
    <w:p>
      <w:pPr>
        <w:pStyle w:val="BodyText"/>
      </w:pPr>
      <w:r>
        <w:t xml:space="preserve">The recommendation is that allocation models</w:t>
      </w:r>
      <w:r>
        <w:t xml:space="preserve"> </w:t>
      </w:r>
      <w:r>
        <w:rPr>
          <w:i/>
          <w:iCs/>
        </w:rPr>
        <w:t xml:space="preserve">include</w:t>
      </w:r>
      <w:r>
        <w:t xml:space="preserve"> </w:t>
      </w:r>
      <w:r>
        <w:t xml:space="preserve">the structural variables, not that they</w:t>
      </w:r>
      <w:r>
        <w:t xml:space="preserve"> </w:t>
      </w:r>
      <w:r>
        <w:rPr>
          <w:i/>
          <w:iCs/>
        </w:rPr>
        <w:t xml:space="preserve">act on</w:t>
      </w:r>
      <w:r>
        <w:t xml:space="preserve"> </w:t>
      </w:r>
      <w:r>
        <w:t xml:space="preserve">them in any prescriptive direction — a country with low governance-quality is not therefore an unsuitable aid recipient, just one where the donor model would benefit from acknowledging governance as a primary predictor of the outcome rather than treating learning variation as residual.</w:t>
      </w:r>
    </w:p>
    <w:bookmarkEnd w:id="60"/>
    <w:bookmarkEnd w:id="61"/>
    <w:bookmarkStart w:id="62" w:name="conclusion"/>
    <w:p>
      <w:pPr>
        <w:pStyle w:val="Heading1"/>
      </w:pPr>
      <w:r>
        <w:t xml:space="preserve">7. 7. Conclusion</w:t>
      </w:r>
    </w:p>
    <w:p>
      <w:pPr>
        <w:pStyle w:val="FirstParagraph"/>
      </w:pPr>
      <w:r>
        <w:t xml:space="preserve">This paper contributes three findings to the cross-country aid-learning literature. The first is empirical: the §4.6 Compounding AI Penalty operationalizes the country-level human-capital-and-AI-readiness joint distribution at the 2020-2025 cross-section, quantifying a roughly two-fold over-representation of sub-Saharan Africa in the low-HCI ∩ low-AI-readiness double-excluded cell that we are not aware of a prior peer-reviewed paper having constructed at this exact resolution. The second is the pre-commitment methodological framework articulated explicitly in §1, §3.2, and §5: pre-commit the analytical decisions in writing, execute the specifications as committed, and report the failures of those pre-commitments as findings for the field rather than as caveats to the analyst’s preferred result — the methodological-reflection tradition</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taken seriously as a working discipline rather than as a closing-paragraph caveat. The third is the within-country aid-to-learning coefficient itself in the WB HCI HLOS specification on the 2010-2020 panel, reported here at β = +11.14 (p ≈ 0.05) alongside the full sensitivity battery against the AAP-2018 alternative measure</w:t>
      </w:r>
      <w:r>
        <w:t xml:space="preserve"> </w:t>
      </w:r>
      <w:r>
        <w:t xml:space="preserve">(</w:t>
      </w:r>
      <w:hyperlink w:anchor="ref-altinok2018global">
        <w:r>
          <w:rPr>
            <w:rStyle w:val="Hyperlink"/>
          </w:rPr>
          <w:t xml:space="preserve">Altinok et al., 2018</w:t>
        </w:r>
      </w:hyperlink>
      <w:r>
        <w:t xml:space="preserve">)</w:t>
      </w:r>
      <w:r>
        <w:t xml:space="preserve"> </w:t>
      </w:r>
      <w:r>
        <w:t xml:space="preserve">that documents the coefficient’s measure-dependence.</w:t>
      </w:r>
    </w:p>
    <w:p>
      <w:pPr>
        <w:pStyle w:val="BodyText"/>
      </w:pPr>
      <w:r>
        <w:t xml:space="preserve">This paper does not establish causal identification of the aid-to-learning relationship. The static fixed-effects specification on a small-T panel (T_eff ≤ 4) is the identification strategy available at this data shape; the Arellano-Bond difference-GMM the pre-registered identification plan committed to is not feasible per Bond 2002’s T ≥ 5–10 minimum (our effective T_eff ≤ 4); the Dumitrescu-Hurlin panel Granger pre-test fails the same small-T constraint; both pre-commitments are closed honestly in the diagnostic audit rather than substituted with feasible-looking proxies. The within-country positive coefficient is hedged to its primary specification: the AAP-2018 alternative measure sign-reverses the coefficient in both the full coverage window and the overlap window restricted to 2010 onward. The §4.6 Compounding AI Penalty is a snapshot characterization of the divergence-vulnerable set, not a longitudinal estimate of the compounding-divergence effect itself; the latter would require several future Oxford GARI editions paired with post-AI-diffusion HCI cycles before it becomes empirically tractable.</w:t>
      </w:r>
    </w:p>
    <w:p>
      <w:pPr>
        <w:pStyle w:val="BodyText"/>
      </w:pPr>
      <w:r>
        <w:t xml:space="preserve">Each of these limits points to a concrete research-infrastructure recommendation articulated in §6. The OECD DAC Creditor Reporting System needs an intervention-type policy marker if the field’s compositional questions are to become answerable at panel scale. The World Bank HCI HLOS series needs its linking-anchor decisions publicly auditable if the within-country measure-fragility documented in §4.7 is to be resolvable. Cross-country panel evidence journals need a routine missingness-disclosure standard if MI-based estimates are to be assessed against the MAR assumption their validity depends on. Donor allocation models need structural-determinant weighting if the more stable predictor signal in the panel is to inform country-level decisions even where the aid-flow coefficient is hedged. The pre-commitment framework’s contribution is that each of these is a finding for the field, not a caveat for the author — and that the calibrated map of what cross-country aid-effectiveness panel evidence can and cannot rigorously claim at the current data frontier is what this paper has spent its pages drawing.</w:t>
      </w:r>
    </w:p>
    <w:bookmarkEnd w:id="62"/>
    <w:bookmarkStart w:id="93" w:name="references"/>
    <w:p>
      <w:pPr>
        <w:pStyle w:val="Heading1"/>
      </w:pPr>
      <w:r>
        <w:t xml:space="preserve">References</w:t>
      </w:r>
    </w:p>
    <w:bookmarkStart w:id="92" w:name="refs"/>
    <w:bookmarkStart w:id="63" w:name="ref-altinok2018global"/>
    <w:p>
      <w:pPr>
        <w:pStyle w:val="Bibliography"/>
      </w:pPr>
      <w:r>
        <w:t xml:space="preserve">Altinok, N., Angrist, N., &amp; Patrinos, H. A. (2018).</w:t>
      </w:r>
      <w:r>
        <w:t xml:space="preserve"> </w:t>
      </w:r>
      <w:r>
        <w:rPr>
          <w:i/>
          <w:iCs/>
        </w:rPr>
        <w:t xml:space="preserve">Global data set on education quality (1965–2015)</w:t>
      </w:r>
      <w:r>
        <w:t xml:space="preserve"> </w:t>
      </w:r>
      <w:r>
        <w:t xml:space="preserve">(World Bank Policy Research Working Paper No. 8314). World Bank.</w:t>
      </w:r>
    </w:p>
    <w:bookmarkEnd w:id="63"/>
    <w:bookmarkStart w:id="64" w:name="ref-angrist2024lays"/>
    <w:p>
      <w:pPr>
        <w:pStyle w:val="Bibliography"/>
      </w:pPr>
      <w:r>
        <w:t xml:space="preserve">Angrist, N. (2024). Measuring learning outcomes with</w:t>
      </w:r>
      <w:r>
        <w:t xml:space="preserve"> </w:t>
      </w:r>
      <w:r>
        <w:t xml:space="preserve">LAYS</w:t>
      </w:r>
      <w:r>
        <w:t xml:space="preserve">: The learning-adjusted years of schooling framework.</w:t>
      </w:r>
      <w:r>
        <w:t xml:space="preserve"> </w:t>
      </w:r>
      <w:r>
        <w:rPr>
          <w:i/>
          <w:iCs/>
        </w:rPr>
        <w:t xml:space="preserve">Journal of Development Economics</w:t>
      </w:r>
      <w:r>
        <w:t xml:space="preserve">.</w:t>
      </w:r>
    </w:p>
    <w:bookmarkEnd w:id="64"/>
    <w:bookmarkStart w:id="65" w:name="ref-asongu2019aid"/>
    <w:p>
      <w:pPr>
        <w:pStyle w:val="Bibliography"/>
      </w:pPr>
      <w:r>
        <w:t xml:space="preserve">Asongu, S. A., &amp; Nwachukwu, J. C. (2019). Aid effectiveness in africa: Comparative evidence from</w:t>
      </w:r>
      <w:r>
        <w:t xml:space="preserve"> </w:t>
      </w:r>
      <w:r>
        <w:t xml:space="preserve">GMM</w:t>
      </w:r>
      <w:r>
        <w:t xml:space="preserve"> </w:t>
      </w:r>
      <w:r>
        <w:t xml:space="preserve">estimations.</w:t>
      </w:r>
      <w:r>
        <w:t xml:space="preserve"> </w:t>
      </w:r>
      <w:r>
        <w:rPr>
          <w:i/>
          <w:iCs/>
        </w:rPr>
        <w:t xml:space="preserve">Journal of Policy Modeling</w:t>
      </w:r>
      <w:r>
        <w:t xml:space="preserve">.</w:t>
      </w:r>
    </w:p>
    <w:bookmarkEnd w:id="65"/>
    <w:bookmarkStart w:id="67" w:name="ref-burnside2000aid"/>
    <w:p>
      <w:pPr>
        <w:pStyle w:val="Bibliography"/>
      </w:pPr>
      <w:r>
        <w:t xml:space="preserve">Burnside, C., &amp; Dollar, D. (2000). Aid, policies, and growth.</w:t>
      </w:r>
      <w:r>
        <w:t xml:space="preserve"> </w:t>
      </w:r>
      <w:r>
        <w:rPr>
          <w:i/>
          <w:iCs/>
        </w:rPr>
        <w:t xml:space="preserve">American Economic Review</w:t>
      </w:r>
      <w:r>
        <w:t xml:space="preserve">,</w:t>
      </w:r>
      <w:r>
        <w:t xml:space="preserve"> </w:t>
      </w:r>
      <w:r>
        <w:rPr>
          <w:i/>
          <w:iCs/>
        </w:rPr>
        <w:t xml:space="preserve">90</w:t>
      </w:r>
      <w:r>
        <w:t xml:space="preserve">(4), 847–868.</w:t>
      </w:r>
      <w:r>
        <w:t xml:space="preserve"> </w:t>
      </w:r>
      <w:hyperlink r:id="rId66">
        <w:r>
          <w:rPr>
            <w:rStyle w:val="Hyperlink"/>
          </w:rPr>
          <w:t xml:space="preserve">https://doi.org/10.1257/aer.90.4.847</w:t>
        </w:r>
      </w:hyperlink>
    </w:p>
    <w:bookmarkEnd w:id="67"/>
    <w:bookmarkStart w:id="69" w:name="ref-deaton2018rcts"/>
    <w:p>
      <w:pPr>
        <w:pStyle w:val="Bibliography"/>
      </w:pPr>
      <w:r>
        <w:t xml:space="preserve">Deaton, A., &amp; Cartwright, N. (2018). Understanding and misunderstanding randomized controlled trials.</w:t>
      </w:r>
      <w:r>
        <w:t xml:space="preserve"> </w:t>
      </w:r>
      <w:r>
        <w:rPr>
          <w:i/>
          <w:iCs/>
        </w:rPr>
        <w:t xml:space="preserve">Social Science &amp; Medicine</w:t>
      </w:r>
      <w:r>
        <w:t xml:space="preserve">,</w:t>
      </w:r>
      <w:r>
        <w:t xml:space="preserve"> </w:t>
      </w:r>
      <w:r>
        <w:rPr>
          <w:i/>
          <w:iCs/>
        </w:rPr>
        <w:t xml:space="preserve">210</w:t>
      </w:r>
      <w:r>
        <w:t xml:space="preserve">, 2–21.</w:t>
      </w:r>
      <w:r>
        <w:t xml:space="preserve"> </w:t>
      </w:r>
      <w:hyperlink r:id="rId68">
        <w:r>
          <w:rPr>
            <w:rStyle w:val="Hyperlink"/>
          </w:rPr>
          <w:t xml:space="preserve">https://doi.org/10.1016/j.socscimed.2017.12.005</w:t>
        </w:r>
      </w:hyperlink>
    </w:p>
    <w:bookmarkEnd w:id="69"/>
    <w:bookmarkStart w:id="71" w:name="ref-easterly2004aid"/>
    <w:p>
      <w:pPr>
        <w:pStyle w:val="Bibliography"/>
      </w:pPr>
      <w:r>
        <w:t xml:space="preserve">Easterly, W., Levine, R., &amp; Roodman, D. (2004). Aid, policies, and growth: comment.</w:t>
      </w:r>
      <w:r>
        <w:t xml:space="preserve"> </w:t>
      </w:r>
      <w:r>
        <w:rPr>
          <w:i/>
          <w:iCs/>
        </w:rPr>
        <w:t xml:space="preserve">American Economic Review</w:t>
      </w:r>
      <w:r>
        <w:t xml:space="preserve">,</w:t>
      </w:r>
      <w:r>
        <w:t xml:space="preserve"> </w:t>
      </w:r>
      <w:r>
        <w:rPr>
          <w:i/>
          <w:iCs/>
        </w:rPr>
        <w:t xml:space="preserve">94</w:t>
      </w:r>
      <w:r>
        <w:t xml:space="preserve">(3), 774–780.</w:t>
      </w:r>
      <w:r>
        <w:t xml:space="preserve"> </w:t>
      </w:r>
      <w:hyperlink r:id="rId70">
        <w:r>
          <w:rPr>
            <w:rStyle w:val="Hyperlink"/>
          </w:rPr>
          <w:t xml:space="preserve">https://doi.org/10.1257/0002828041464560</w:t>
        </w:r>
      </w:hyperlink>
    </w:p>
    <w:bookmarkEnd w:id="71"/>
    <w:bookmarkStart w:id="72" w:name="ref-glewwe2016improving"/>
    <w:p>
      <w:pPr>
        <w:pStyle w:val="Bibliography"/>
      </w:pPr>
      <w:r>
        <w:t xml:space="preserve">Glewwe, P., &amp; Muralidharan, K. (2016). Improving education outcomes in developing countries: Evidence, knowledge gaps, and policy implications. In E. A. Hanushek, S. Machin, &amp; L. Woessmann (Eds.),</w:t>
      </w:r>
      <w:r>
        <w:t xml:space="preserve"> </w:t>
      </w:r>
      <w:r>
        <w:rPr>
          <w:i/>
          <w:iCs/>
        </w:rPr>
        <w:t xml:space="preserve">Handbook of the economics of education</w:t>
      </w:r>
      <w:r>
        <w:t xml:space="preserve"> </w:t>
      </w:r>
      <w:r>
        <w:t xml:space="preserve">(Vol. 5, pp. 653–743). Elsevier.</w:t>
      </w:r>
    </w:p>
    <w:bookmarkEnd w:id="72"/>
    <w:bookmarkStart w:id="73" w:name="ref-geeap2023smart"/>
    <w:p>
      <w:pPr>
        <w:pStyle w:val="Bibliography"/>
      </w:pPr>
      <w:r>
        <w:t xml:space="preserve">Global Education Evidence Advisory Panel (GEEAP). (2023).</w:t>
      </w:r>
      <w:r>
        <w:t xml:space="preserve"> </w:t>
      </w:r>
      <w:r>
        <w:rPr>
          <w:i/>
          <w:iCs/>
        </w:rPr>
        <w:t xml:space="preserve">Cost-effective approaches to improve global learning: What does recent evidence tell us are</w:t>
      </w:r>
      <w:r>
        <w:rPr>
          <w:i/>
          <w:iCs/>
        </w:rPr>
        <w:t xml:space="preserve"> </w:t>
      </w:r>
      <w:r>
        <w:rPr>
          <w:i/>
          <w:iCs/>
        </w:rPr>
        <w:t xml:space="preserve">“</w:t>
      </w:r>
      <w:r>
        <w:rPr>
          <w:i/>
          <w:iCs/>
        </w:rPr>
        <w:t xml:space="preserve">S</w:t>
      </w:r>
      <w:r>
        <w:rPr>
          <w:i/>
          <w:iCs/>
        </w:rPr>
        <w:t xml:space="preserve">mart</w:t>
      </w:r>
      <w:r>
        <w:rPr>
          <w:i/>
          <w:iCs/>
        </w:rPr>
        <w:t xml:space="preserve"> </w:t>
      </w:r>
      <w:r>
        <w:rPr>
          <w:i/>
          <w:iCs/>
        </w:rPr>
        <w:t xml:space="preserve">B</w:t>
      </w:r>
      <w:r>
        <w:rPr>
          <w:i/>
          <w:iCs/>
        </w:rPr>
        <w:t xml:space="preserve">uys”</w:t>
      </w:r>
      <w:r>
        <w:rPr>
          <w:i/>
          <w:iCs/>
        </w:rPr>
        <w:t xml:space="preserve"> </w:t>
      </w:r>
      <w:r>
        <w:rPr>
          <w:i/>
          <w:iCs/>
        </w:rPr>
        <w:t xml:space="preserve">for improving learning in low- and middle-income countries?</w:t>
      </w:r>
      <w:r>
        <w:t xml:space="preserve"> World Bank &amp; Foreign, Commonwealth &amp; Development Office.</w:t>
      </w:r>
    </w:p>
    <w:bookmarkEnd w:id="73"/>
    <w:bookmarkStart w:id="75" w:name="ref-hanushek2008role"/>
    <w:p>
      <w:pPr>
        <w:pStyle w:val="Bibliography"/>
      </w:pPr>
      <w:r>
        <w:t xml:space="preserve">Hanushek, E. A., &amp; Woessmann, L. (2008). The role of cognitive skills in economic development.</w:t>
      </w:r>
      <w:r>
        <w:t xml:space="preserve"> </w:t>
      </w:r>
      <w:r>
        <w:rPr>
          <w:i/>
          <w:iCs/>
        </w:rPr>
        <w:t xml:space="preserve">Journal of Economic Literature</w:t>
      </w:r>
      <w:r>
        <w:t xml:space="preserve">,</w:t>
      </w:r>
      <w:r>
        <w:t xml:space="preserve"> </w:t>
      </w:r>
      <w:r>
        <w:rPr>
          <w:i/>
          <w:iCs/>
        </w:rPr>
        <w:t xml:space="preserve">46</w:t>
      </w:r>
      <w:r>
        <w:t xml:space="preserve">(3), 607–668.</w:t>
      </w:r>
      <w:r>
        <w:t xml:space="preserve"> </w:t>
      </w:r>
      <w:hyperlink r:id="rId74">
        <w:r>
          <w:rPr>
            <w:rStyle w:val="Hyperlink"/>
          </w:rPr>
          <w:t xml:space="preserve">https://doi.org/10.1257/jel.46.3.607</w:t>
        </w:r>
      </w:hyperlink>
    </w:p>
    <w:bookmarkEnd w:id="75"/>
    <w:bookmarkStart w:id="77" w:name="ref-hanushek2015knowledge"/>
    <w:p>
      <w:pPr>
        <w:pStyle w:val="Bibliography"/>
      </w:pPr>
      <w:r>
        <w:t xml:space="preserve">Hanushek, E. A., &amp; Woessmann, L. (2015).</w:t>
      </w:r>
      <w:r>
        <w:t xml:space="preserve"> </w:t>
      </w:r>
      <w:r>
        <w:rPr>
          <w:i/>
          <w:iCs/>
        </w:rPr>
        <w:t xml:space="preserve">Universal basic skills: What countries stand to gain</w:t>
      </w:r>
      <w:r>
        <w:t xml:space="preserve">.</w:t>
      </w:r>
      <w:r>
        <w:t xml:space="preserve"> </w:t>
      </w:r>
      <w:hyperlink r:id="rId76">
        <w:r>
          <w:rPr>
            <w:rStyle w:val="Hyperlink"/>
          </w:rPr>
          <w:t xml:space="preserve">https://doi.org/10.1787/9789264234833-en</w:t>
        </w:r>
      </w:hyperlink>
    </w:p>
    <w:bookmarkEnd w:id="77"/>
    <w:bookmarkStart w:id="79" w:name="ref-ilo2026disruption"/>
    <w:p>
      <w:pPr>
        <w:pStyle w:val="Bibliography"/>
      </w:pPr>
      <w:r>
        <w:t xml:space="preserve">International Labour Organization, &amp; World Bank. (2026).</w:t>
      </w:r>
      <w:r>
        <w:t xml:space="preserve"> </w:t>
      </w:r>
      <w:r>
        <w:rPr>
          <w:i/>
          <w:iCs/>
        </w:rPr>
        <w:t xml:space="preserve">Disruption without dividend? How the digital divide and task differences split</w:t>
      </w:r>
      <w:r>
        <w:rPr>
          <w:i/>
          <w:iCs/>
        </w:rPr>
        <w:t xml:space="preserve"> </w:t>
      </w:r>
      <w:r>
        <w:rPr>
          <w:i/>
          <w:iCs/>
        </w:rPr>
        <w:t xml:space="preserve">G</w:t>
      </w:r>
      <w:r>
        <w:rPr>
          <w:i/>
          <w:iCs/>
        </w:rPr>
        <w:t xml:space="preserve">en</w:t>
      </w:r>
      <w:r>
        <w:rPr>
          <w:i/>
          <w:iCs/>
        </w:rPr>
        <w:t xml:space="preserve">AI</w:t>
      </w:r>
      <w:r>
        <w:rPr>
          <w:i/>
          <w:iCs/>
        </w:rPr>
        <w:t xml:space="preserve">’s global impact</w:t>
      </w:r>
      <w:r>
        <w:t xml:space="preserve">. International Labour Organization; World Bank.</w:t>
      </w:r>
      <w:r>
        <w:t xml:space="preserve"> </w:t>
      </w:r>
      <w:hyperlink r:id="rId78">
        <w:r>
          <w:rPr>
            <w:rStyle w:val="Hyperlink"/>
          </w:rPr>
          <w:t xml:space="preserve">https://www.ilo.org/publications/disruption-without-dividend-how-digital-divide-and-task-differences-split</w:t>
        </w:r>
      </w:hyperlink>
    </w:p>
    <w:bookmarkEnd w:id="79"/>
    <w:bookmarkStart w:id="81" w:name="ref-langbein2010governance"/>
    <w:p>
      <w:pPr>
        <w:pStyle w:val="Bibliography"/>
      </w:pPr>
      <w:r>
        <w:t xml:space="preserve">Langbein, L., &amp; Knack, S. (2010). The</w:t>
      </w:r>
      <w:r>
        <w:t xml:space="preserve"> </w:t>
      </w:r>
      <w:r>
        <w:t xml:space="preserve">W</w:t>
      </w:r>
      <w:r>
        <w:t xml:space="preserve">orldwide</w:t>
      </w:r>
      <w:r>
        <w:t xml:space="preserve"> </w:t>
      </w:r>
      <w:r>
        <w:t xml:space="preserve">G</w:t>
      </w:r>
      <w:r>
        <w:t xml:space="preserve">overnance</w:t>
      </w:r>
      <w:r>
        <w:t xml:space="preserve"> </w:t>
      </w:r>
      <w:r>
        <w:t xml:space="preserve">I</w:t>
      </w:r>
      <w:r>
        <w:t xml:space="preserve">ndicators: Six, one, or none?</w:t>
      </w:r>
      <w:r>
        <w:t xml:space="preserve"> </w:t>
      </w:r>
      <w:r>
        <w:rPr>
          <w:i/>
          <w:iCs/>
        </w:rPr>
        <w:t xml:space="preserve">Journal of Development Studies</w:t>
      </w:r>
      <w:r>
        <w:t xml:space="preserve">,</w:t>
      </w:r>
      <w:r>
        <w:t xml:space="preserve"> </w:t>
      </w:r>
      <w:r>
        <w:rPr>
          <w:i/>
          <w:iCs/>
        </w:rPr>
        <w:t xml:space="preserve">46</w:t>
      </w:r>
      <w:r>
        <w:t xml:space="preserve">(2), 350–370.</w:t>
      </w:r>
      <w:r>
        <w:t xml:space="preserve"> </w:t>
      </w:r>
      <w:hyperlink r:id="rId80">
        <w:r>
          <w:rPr>
            <w:rStyle w:val="Hyperlink"/>
          </w:rPr>
          <w:t xml:space="preserve">https://doi.org/10.1080/00220380902952399</w:t>
        </w:r>
      </w:hyperlink>
    </w:p>
    <w:bookmarkEnd w:id="81"/>
    <w:bookmarkStart w:id="83" w:name="ref-mandon2025beyond"/>
    <w:p>
      <w:pPr>
        <w:pStyle w:val="Bibliography"/>
      </w:pPr>
      <w:r>
        <w:t xml:space="preserve">Mandon, P. J.-C. (2025).</w:t>
      </w:r>
      <w:r>
        <w:t xml:space="preserve"> </w:t>
      </w:r>
      <w:r>
        <w:rPr>
          <w:i/>
          <w:iCs/>
        </w:rPr>
        <w:t xml:space="preserve">Beyond the</w:t>
      </w:r>
      <w:r>
        <w:rPr>
          <w:i/>
          <w:iCs/>
        </w:rPr>
        <w:t xml:space="preserve"> </w:t>
      </w:r>
      <w:r>
        <w:rPr>
          <w:i/>
          <w:iCs/>
        </w:rPr>
        <w:t xml:space="preserve">AI</w:t>
      </w:r>
      <w:r>
        <w:rPr>
          <w:i/>
          <w:iCs/>
        </w:rPr>
        <w:t xml:space="preserve"> </w:t>
      </w:r>
      <w:r>
        <w:rPr>
          <w:i/>
          <w:iCs/>
        </w:rPr>
        <w:t xml:space="preserve">divide: A simple approach to identifying global and local overperformers in</w:t>
      </w:r>
      <w:r>
        <w:rPr>
          <w:i/>
          <w:iCs/>
        </w:rPr>
        <w:t xml:space="preserve"> </w:t>
      </w:r>
      <w:r>
        <w:rPr>
          <w:i/>
          <w:iCs/>
        </w:rPr>
        <w:t xml:space="preserve">AI</w:t>
      </w:r>
      <w:r>
        <w:rPr>
          <w:i/>
          <w:iCs/>
        </w:rPr>
        <w:t xml:space="preserve"> </w:t>
      </w:r>
      <w:r>
        <w:rPr>
          <w:i/>
          <w:iCs/>
        </w:rPr>
        <w:t xml:space="preserve">preparedness</w:t>
      </w:r>
      <w:r>
        <w:t xml:space="preserve"> </w:t>
      </w:r>
      <w:r>
        <w:t xml:space="preserve">(Policy Research Working Paper No. 11073). World Bank.</w:t>
      </w:r>
      <w:r>
        <w:t xml:space="preserve"> </w:t>
      </w:r>
      <w:hyperlink r:id="rId82">
        <w:r>
          <w:rPr>
            <w:rStyle w:val="Hyperlink"/>
          </w:rPr>
          <w:t xml:space="preserve">https://documents.worldbank.org/en/publication/documents-reports/documentdetail/099517502242572646</w:t>
        </w:r>
      </w:hyperlink>
    </w:p>
    <w:bookmarkEnd w:id="83"/>
    <w:bookmarkStart w:id="85" w:name="ref-muthukrishna2025divergence"/>
    <w:p>
      <w:pPr>
        <w:pStyle w:val="Bibliography"/>
      </w:pPr>
      <w:r>
        <w:t xml:space="preserve">Muthukrishna, M., &amp; Schellekens, P. (2025).</w:t>
      </w:r>
      <w:r>
        <w:t xml:space="preserve"> </w:t>
      </w:r>
      <w:r>
        <w:rPr>
          <w:i/>
          <w:iCs/>
        </w:rPr>
        <w:t xml:space="preserve">The next great divergence: Why</w:t>
      </w:r>
      <w:r>
        <w:rPr>
          <w:i/>
          <w:iCs/>
        </w:rPr>
        <w:t xml:space="preserve"> </w:t>
      </w:r>
      <w:r>
        <w:rPr>
          <w:i/>
          <w:iCs/>
        </w:rPr>
        <w:t xml:space="preserve">AI</w:t>
      </w:r>
      <w:r>
        <w:rPr>
          <w:i/>
          <w:iCs/>
        </w:rPr>
        <w:t xml:space="preserve"> </w:t>
      </w:r>
      <w:r>
        <w:rPr>
          <w:i/>
          <w:iCs/>
        </w:rPr>
        <w:t xml:space="preserve">may widen inequality between countries</w:t>
      </w:r>
      <w:r>
        <w:t xml:space="preserve">. United Nations Development Programme, Regional Bureau for Asia; the Pacific.</w:t>
      </w:r>
      <w:r>
        <w:t xml:space="preserve"> </w:t>
      </w:r>
      <w:hyperlink r:id="rId84">
        <w:r>
          <w:rPr>
            <w:rStyle w:val="Hyperlink"/>
          </w:rPr>
          <w:t xml:space="preserve">https://www.undp.org/asia-pacific/publications/next-great-divergence</w:t>
        </w:r>
      </w:hyperlink>
    </w:p>
    <w:bookmarkEnd w:id="85"/>
    <w:bookmarkStart w:id="86" w:name="ref-pritchett2013rebirth"/>
    <w:p>
      <w:pPr>
        <w:pStyle w:val="Bibliography"/>
      </w:pPr>
      <w:r>
        <w:t xml:space="preserve">Pritchett, L. (2013).</w:t>
      </w:r>
      <w:r>
        <w:t xml:space="preserve"> </w:t>
      </w:r>
      <w:r>
        <w:rPr>
          <w:i/>
          <w:iCs/>
        </w:rPr>
        <w:t xml:space="preserve">The rebirth of education: Schooling ain’t learning</w:t>
      </w:r>
      <w:r>
        <w:t xml:space="preserve">. Center for Global Development.</w:t>
      </w:r>
    </w:p>
    <w:bookmarkEnd w:id="86"/>
    <w:bookmarkStart w:id="87" w:name="ref-sandefur2018internationally"/>
    <w:p>
      <w:pPr>
        <w:pStyle w:val="Bibliography"/>
      </w:pPr>
      <w:r>
        <w:t xml:space="preserve">Sandefur, J. (2018).</w:t>
      </w:r>
      <w:r>
        <w:t xml:space="preserve"> </w:t>
      </w:r>
      <w:r>
        <w:rPr>
          <w:i/>
          <w:iCs/>
        </w:rPr>
        <w:t xml:space="preserve">Internationally comparable mathematics scores for fourteen</w:t>
      </w:r>
      <w:r>
        <w:rPr>
          <w:i/>
          <w:iCs/>
        </w:rPr>
        <w:t xml:space="preserve"> </w:t>
      </w:r>
      <w:r>
        <w:rPr>
          <w:i/>
          <w:iCs/>
        </w:rPr>
        <w:t xml:space="preserve">A</w:t>
      </w:r>
      <w:r>
        <w:rPr>
          <w:i/>
          <w:iCs/>
        </w:rPr>
        <w:t xml:space="preserve">frican countries</w:t>
      </w:r>
      <w:r>
        <w:t xml:space="preserve"> </w:t>
      </w:r>
      <w:r>
        <w:t xml:space="preserve">(Center for Global Development Working Paper No. 444). Center for Global Development.</w:t>
      </w:r>
    </w:p>
    <w:bookmarkEnd w:id="87"/>
    <w:bookmarkStart w:id="89" w:name="ref-vegas2015when"/>
    <w:p>
      <w:pPr>
        <w:pStyle w:val="Bibliography"/>
      </w:pPr>
      <w:r>
        <w:t xml:space="preserve">Vegas, E., &amp; Coffin, C. (2015). When education expenditure matters: An empirical analysis of recent international data.</w:t>
      </w:r>
      <w:r>
        <w:t xml:space="preserve"> </w:t>
      </w:r>
      <w:r>
        <w:rPr>
          <w:i/>
          <w:iCs/>
        </w:rPr>
        <w:t xml:space="preserve">Comparative Education Review</w:t>
      </w:r>
      <w:r>
        <w:t xml:space="preserve">,</w:t>
      </w:r>
      <w:r>
        <w:t xml:space="preserve"> </w:t>
      </w:r>
      <w:r>
        <w:rPr>
          <w:i/>
          <w:iCs/>
        </w:rPr>
        <w:t xml:space="preserve">59</w:t>
      </w:r>
      <w:r>
        <w:t xml:space="preserve">(2), 289–304.</w:t>
      </w:r>
      <w:r>
        <w:t xml:space="preserve"> </w:t>
      </w:r>
      <w:hyperlink r:id="rId88">
        <w:r>
          <w:rPr>
            <w:rStyle w:val="Hyperlink"/>
          </w:rPr>
          <w:t xml:space="preserve">https://doi.org/10.1086/680324</w:t>
        </w:r>
      </w:hyperlink>
    </w:p>
    <w:bookmarkEnd w:id="89"/>
    <w:bookmarkStart w:id="91" w:name="ref-vivalt2020generalize"/>
    <w:p>
      <w:pPr>
        <w:pStyle w:val="Bibliography"/>
      </w:pPr>
      <w:r>
        <w:t xml:space="preserve">Vivalt, E. (2020). How much can we generalize from impact evaluations?</w:t>
      </w:r>
      <w:r>
        <w:t xml:space="preserve"> </w:t>
      </w:r>
      <w:r>
        <w:rPr>
          <w:i/>
          <w:iCs/>
        </w:rPr>
        <w:t xml:space="preserve">Journal of the European Economic Association</w:t>
      </w:r>
      <w:r>
        <w:t xml:space="preserve">,</w:t>
      </w:r>
      <w:r>
        <w:t xml:space="preserve"> </w:t>
      </w:r>
      <w:r>
        <w:rPr>
          <w:i/>
          <w:iCs/>
        </w:rPr>
        <w:t xml:space="preserve">18</w:t>
      </w:r>
      <w:r>
        <w:t xml:space="preserve">(6), 3045–3089.</w:t>
      </w:r>
      <w:r>
        <w:t xml:space="preserve"> </w:t>
      </w:r>
      <w:hyperlink r:id="rId90">
        <w:r>
          <w:rPr>
            <w:rStyle w:val="Hyperlink"/>
          </w:rPr>
          <w:t xml:space="preserve">https://doi.org/10.1093/jeea/jvaa019</w:t>
        </w:r>
      </w:hyperlink>
    </w:p>
    <w:bookmarkEnd w:id="91"/>
    <w:bookmarkEnd w:id="92"/>
    <w:bookmarkEnd w:id="93"/>
    <w:bookmarkStart w:id="114" w:name="appendix-a-full-regression-tables"/>
    <w:p>
      <w:pPr>
        <w:pStyle w:val="Heading1"/>
      </w:pPr>
      <w:r>
        <w:t xml:space="preserve">Appendix A: Full regression tables</w:t>
      </w:r>
    </w:p>
    <w:p>
      <w:pPr>
        <w:pStyle w:val="FirstParagraph"/>
      </w:pPr>
      <w:r>
        <w:t xml:space="preserve">The main-text Tables 1–6 present compressed views of the locked specifications. The full progression of every model — including the spec rows and coefficient columns elided in the main text — is reproduced below from</w:t>
      </w:r>
      <w:r>
        <w:t xml:space="preserve"> </w:t>
      </w:r>
      <w:r>
        <w:rPr>
          <w:rStyle w:val="VerbatimChar"/>
        </w:rPr>
        <w:t xml:space="preserve">output/tables/</w:t>
      </w:r>
      <w:r>
        <w:t xml:space="preserve"> </w:t>
      </w:r>
      <w:r>
        <w:t xml:space="preserve">machine-readable artifacts. All tables use country-clustered SE in Model 2 (panel FE specifications) and HC-robust SE in Model 1 (cross-sectional OLS).</w:t>
      </w:r>
    </w:p>
    <w:bookmarkStart w:id="94" w:name="a.1-adr-inventory"/>
    <w:p>
      <w:pPr>
        <w:pStyle w:val="Heading2"/>
      </w:pPr>
      <w:r>
        <w:t xml:space="preserve">A.1 ADR inventory</w:t>
      </w:r>
    </w:p>
    <w:p>
      <w:pPr>
        <w:pStyle w:val="FirstParagraph"/>
      </w:pPr>
      <w:r>
        <w:t xml:space="preserve">The pre-commitment design referenced throughout §3.2 rests on twelve Architecture Decision Records, summarized below; full ADR documents at</w:t>
      </w:r>
      <w:r>
        <w:t xml:space="preserve"> </w:t>
      </w:r>
      <w:r>
        <w:rPr>
          <w:rStyle w:val="VerbatimChar"/>
        </w:rPr>
        <w:t xml:space="preserve">docs/decisions/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Title</w:t>
            </w:r>
          </w:p>
        </w:tc>
        <w:tc>
          <w:tcPr/>
          <w:p>
            <w:pPr>
              <w:pStyle w:val="Compact"/>
            </w:pPr>
            <w:r>
              <w:t xml:space="preserve">Status</w:t>
            </w:r>
          </w:p>
        </w:tc>
        <w:tc>
          <w:tcPr/>
          <w:p>
            <w:pPr>
              <w:pStyle w:val="Compact"/>
            </w:pPr>
            <w:r>
              <w:t xml:space="preserve">What it locks</w:t>
            </w:r>
          </w:p>
        </w:tc>
      </w:tr>
      <w:tr>
        <w:tc>
          <w:tcPr/>
          <w:p>
            <w:pPr>
              <w:pStyle w:val="Compact"/>
            </w:pPr>
            <w:r>
              <w:t xml:space="preserve">0001</w:t>
            </w:r>
          </w:p>
        </w:tc>
        <w:tc>
          <w:tcPr/>
          <w:p>
            <w:pPr>
              <w:pStyle w:val="Compact"/>
            </w:pPr>
            <w:r>
              <w:t xml:space="preserve">Toolchain and project scaffolding</w:t>
            </w:r>
          </w:p>
        </w:tc>
        <w:tc>
          <w:tcPr/>
          <w:p>
            <w:pPr>
              <w:pStyle w:val="Compact"/>
            </w:pPr>
            <w:r>
              <w:t xml:space="preserve">Accepted</w:t>
            </w:r>
          </w:p>
        </w:tc>
        <w:tc>
          <w:tcPr/>
          <w:p>
            <w:pPr>
              <w:pStyle w:val="Compact"/>
            </w:pPr>
            <w:r>
              <w:t xml:space="preserve">R + renv on WSL; ADR-continuity model</w:t>
            </w:r>
          </w:p>
        </w:tc>
      </w:tr>
      <w:tr>
        <w:tc>
          <w:tcPr/>
          <w:p>
            <w:pPr>
              <w:pStyle w:val="Compact"/>
            </w:pPr>
            <w:r>
              <w:t xml:space="preserve">0002</w:t>
            </w:r>
          </w:p>
        </w:tc>
        <w:tc>
          <w:tcPr/>
          <w:p>
            <w:pPr>
              <w:pStyle w:val="Compact"/>
            </w:pPr>
            <w:r>
              <w:t xml:space="preserve">Country universe</w:t>
            </w:r>
          </w:p>
        </w:tc>
        <w:tc>
          <w:tcPr/>
          <w:p>
            <w:pPr>
              <w:pStyle w:val="Compact"/>
            </w:pPr>
            <w:r>
              <w:t xml:space="preserve">Accepted</w:t>
            </w:r>
          </w:p>
        </w:tc>
        <w:tc>
          <w:tcPr/>
          <w:p>
            <w:pPr>
              <w:pStyle w:val="Compact"/>
            </w:pPr>
            <w:r>
              <w:t xml:space="preserve">ODA-eligible ∩ ≥1 HLO; N = 133 (127 FE-identifiable)</w:t>
            </w:r>
          </w:p>
        </w:tc>
      </w:tr>
      <w:tr>
        <w:tc>
          <w:tcPr/>
          <w:p>
            <w:pPr>
              <w:pStyle w:val="Compact"/>
            </w:pPr>
            <w:r>
              <w:t xml:space="preserve">0003</w:t>
            </w:r>
          </w:p>
        </w:tc>
        <w:tc>
          <w:tcPr/>
          <w:p>
            <w:pPr>
              <w:pStyle w:val="Compact"/>
            </w:pPr>
            <w:r>
              <w:t xml:space="preserve">Year range</w:t>
            </w:r>
          </w:p>
        </w:tc>
        <w:tc>
          <w:tcPr/>
          <w:p>
            <w:pPr>
              <w:pStyle w:val="Compact"/>
            </w:pPr>
            <w:r>
              <w:t xml:space="preserve">Accepted</w:t>
            </w:r>
          </w:p>
        </w:tc>
        <w:tc>
          <w:tcPr/>
          <w:p>
            <w:pPr>
              <w:pStyle w:val="Compact"/>
            </w:pPr>
            <w:r>
              <w:t xml:space="preserve">2010–2020 primary; 2000–2022 + 2005–2020 robustness</w:t>
            </w:r>
          </w:p>
        </w:tc>
      </w:tr>
      <w:tr>
        <w:tc>
          <w:tcPr/>
          <w:p>
            <w:pPr>
              <w:pStyle w:val="Compact"/>
            </w:pPr>
            <w:r>
              <w:t xml:space="preserve">0004</w:t>
            </w:r>
          </w:p>
        </w:tc>
        <w:tc>
          <w:tcPr/>
          <w:p>
            <w:pPr>
              <w:pStyle w:val="Compact"/>
            </w:pPr>
            <w:r>
              <w:t xml:space="preserve">HLO measure choice</w:t>
            </w:r>
          </w:p>
        </w:tc>
        <w:tc>
          <w:tcPr/>
          <w:p>
            <w:pPr>
              <w:pStyle w:val="Compact"/>
            </w:pPr>
            <w:r>
              <w:t xml:space="preserve">Accepted</w:t>
            </w:r>
          </w:p>
        </w:tc>
        <w:tc>
          <w:tcPr/>
          <w:p>
            <w:pPr>
              <w:pStyle w:val="Compact"/>
            </w:pPr>
            <w:r>
              <w:t xml:space="preserve">WB HCI HLOS primary; AAP-2018 robustness with sign-agreement gate</w:t>
            </w:r>
          </w:p>
        </w:tc>
      </w:tr>
      <w:tr>
        <w:tc>
          <w:tcPr/>
          <w:p>
            <w:pPr>
              <w:pStyle w:val="Compact"/>
            </w:pPr>
            <w:r>
              <w:t xml:space="preserve">0005</w:t>
            </w:r>
          </w:p>
        </w:tc>
        <w:tc>
          <w:tcPr/>
          <w:p>
            <w:pPr>
              <w:pStyle w:val="Compact"/>
            </w:pPr>
            <w:r>
              <w:t xml:space="preserve">ODA treatment encoding</w:t>
            </w:r>
          </w:p>
        </w:tc>
        <w:tc>
          <w:tcPr/>
          <w:p>
            <w:pPr>
              <w:pStyle w:val="Compact"/>
            </w:pPr>
            <w:r>
              <w:t xml:space="preserve">Accepted</w:t>
            </w:r>
          </w:p>
        </w:tc>
        <w:tc>
          <w:tcPr/>
          <w:p>
            <w:pPr>
              <w:pStyle w:val="Compact"/>
            </w:pPr>
            <w:r>
              <w:t xml:space="preserve">Strictly-past 3-yr MA, constant USD; 16-cell sensitivity grid</w:t>
            </w:r>
          </w:p>
        </w:tc>
      </w:tr>
      <w:tr>
        <w:tc>
          <w:tcPr/>
          <w:p>
            <w:pPr>
              <w:pStyle w:val="Compact"/>
            </w:pPr>
            <w:r>
              <w:t xml:space="preserve">0006</w:t>
            </w:r>
          </w:p>
        </w:tc>
        <w:tc>
          <w:tcPr/>
          <w:p>
            <w:pPr>
              <w:pStyle w:val="Compact"/>
            </w:pPr>
            <w:r>
              <w:t xml:space="preserve">UIS missingness strategy</w:t>
            </w:r>
          </w:p>
        </w:tc>
        <w:tc>
          <w:tcPr/>
          <w:p>
            <w:pPr>
              <w:pStyle w:val="Compact"/>
            </w:pPr>
            <w:r>
              <w:t xml:space="preserve">Accepted</w:t>
            </w:r>
          </w:p>
        </w:tc>
        <w:tc>
          <w:tcPr/>
          <w:p>
            <w:pPr>
              <w:pStyle w:val="Compact"/>
            </w:pPr>
            <w:r>
              <w:t xml:space="preserve">Drop UIS from primary; listwise + MI as robustness (MI later retired)</w:t>
            </w:r>
          </w:p>
        </w:tc>
      </w:tr>
      <w:tr>
        <w:tc>
          <w:tcPr/>
          <w:p>
            <w:pPr>
              <w:pStyle w:val="Compact"/>
            </w:pPr>
            <w:r>
              <w:t xml:space="preserve">0007</w:t>
            </w:r>
          </w:p>
        </w:tc>
        <w:tc>
          <w:tcPr/>
          <w:p>
            <w:pPr>
              <w:pStyle w:val="Compact"/>
            </w:pPr>
            <w:r>
              <w:t xml:space="preserve">OECD CRS intervention typology</w:t>
            </w:r>
          </w:p>
        </w:tc>
        <w:tc>
          <w:tcPr/>
          <w:p>
            <w:pPr>
              <w:pStyle w:val="Compact"/>
            </w:pPr>
            <w:r>
              <w:rPr>
                <w:b/>
                <w:bCs/>
              </w:rPr>
              <w:t xml:space="preserve">Rejected</w:t>
            </w:r>
          </w:p>
        </w:tc>
        <w:tc>
          <w:tcPr/>
          <w:p>
            <w:pPr>
              <w:pStyle w:val="Compact"/>
            </w:pPr>
            <w:r>
              <w:t xml:space="preserve">Pre-committed agreement gate failed on all three criteria</w:t>
            </w:r>
          </w:p>
        </w:tc>
      </w:tr>
      <w:tr>
        <w:tc>
          <w:tcPr/>
          <w:p>
            <w:pPr>
              <w:pStyle w:val="Compact"/>
            </w:pPr>
            <w:r>
              <w:t xml:space="preserve">0008</w:t>
            </w:r>
          </w:p>
        </w:tc>
        <w:tc>
          <w:tcPr/>
          <w:p>
            <w:pPr>
              <w:pStyle w:val="Compact"/>
            </w:pPr>
            <w:r>
              <w:t xml:space="preserve">Chinese aid inclusion</w:t>
            </w:r>
          </w:p>
        </w:tc>
        <w:tc>
          <w:tcPr/>
          <w:p>
            <w:pPr>
              <w:pStyle w:val="Compact"/>
            </w:pPr>
            <w:r>
              <w:t xml:space="preserve">Accepted</w:t>
            </w:r>
          </w:p>
        </w:tc>
        <w:tc>
          <w:tcPr/>
          <w:p>
            <w:pPr>
              <w:pStyle w:val="Compact"/>
            </w:pPr>
            <w:r>
              <w:t xml:space="preserve">OECD CRS primary; AidData GCDF as parallel robustness</w:t>
            </w:r>
          </w:p>
        </w:tc>
      </w:tr>
      <w:tr>
        <w:tc>
          <w:tcPr/>
          <w:p>
            <w:pPr>
              <w:pStyle w:val="Compact"/>
            </w:pPr>
            <w:r>
              <w:t xml:space="preserve">0009</w:t>
            </w:r>
          </w:p>
        </w:tc>
        <w:tc>
          <w:tcPr/>
          <w:p>
            <w:pPr>
              <w:pStyle w:val="Compact"/>
            </w:pPr>
            <w:r>
              <w:t xml:space="preserve">WGI operationalization</w:t>
            </w:r>
          </w:p>
        </w:tc>
        <w:tc>
          <w:tcPr/>
          <w:p>
            <w:pPr>
              <w:pStyle w:val="Compact"/>
            </w:pPr>
            <w:r>
              <w:t xml:space="preserve">Accepted</w:t>
            </w:r>
          </w:p>
        </w:tc>
        <w:tc>
          <w:tcPr/>
          <w:p>
            <w:pPr>
              <w:pStyle w:val="Compact"/>
            </w:pPr>
            <w:r>
              <w:t xml:space="preserve">PCA PC1 primary (76.4% variance); single GE + all-six as robustness</w:t>
            </w:r>
          </w:p>
        </w:tc>
      </w:tr>
      <w:tr>
        <w:tc>
          <w:tcPr/>
          <w:p>
            <w:pPr>
              <w:pStyle w:val="Compact"/>
            </w:pPr>
            <w:r>
              <w:t xml:space="preserve">0010</w:t>
            </w:r>
          </w:p>
        </w:tc>
        <w:tc>
          <w:tcPr/>
          <w:p>
            <w:pPr>
              <w:pStyle w:val="Compact"/>
            </w:pPr>
            <w:r>
              <w:t xml:space="preserve">Identification strategy (System GMM)</w:t>
            </w:r>
          </w:p>
        </w:tc>
        <w:tc>
          <w:tcPr/>
          <w:p>
            <w:pPr>
              <w:pStyle w:val="Compact"/>
            </w:pPr>
            <w:r>
              <w:t xml:space="preserve">Accepted with caveats</w:t>
            </w:r>
          </w:p>
        </w:tc>
        <w:tc>
          <w:tcPr/>
          <w:p>
            <w:pPr>
              <w:pStyle w:val="Compact"/>
            </w:pPr>
            <w:r>
              <w:t xml:space="preserve">Static FE remains headline; GMM Hansen p=0.022</w:t>
            </w:r>
          </w:p>
        </w:tc>
      </w:tr>
      <w:tr>
        <w:tc>
          <w:tcPr/>
          <w:p>
            <w:pPr>
              <w:pStyle w:val="Compact"/>
            </w:pPr>
            <w:r>
              <w:t xml:space="preserve">0011</w:t>
            </w:r>
          </w:p>
        </w:tc>
        <w:tc>
          <w:tcPr/>
          <w:p>
            <w:pPr>
              <w:pStyle w:val="Compact"/>
            </w:pPr>
            <w:r>
              <w:t xml:space="preserve">Model 5 counterfactual specification</w:t>
            </w:r>
          </w:p>
        </w:tc>
        <w:tc>
          <w:tcPr/>
          <w:p>
            <w:pPr>
              <w:pStyle w:val="Compact"/>
            </w:pPr>
            <w:r>
              <w:t xml:space="preserve">Accepted</w:t>
            </w:r>
          </w:p>
        </w:tc>
        <w:tc>
          <w:tcPr/>
          <w:p>
            <w:pPr>
              <w:pStyle w:val="Compact"/>
            </w:pPr>
            <w:r>
              <w:t xml:space="preserve">Within-support % shocks on locked β; plug-in CI</w:t>
            </w:r>
          </w:p>
        </w:tc>
      </w:tr>
      <w:tr>
        <w:tc>
          <w:tcPr/>
          <w:p>
            <w:pPr>
              <w:pStyle w:val="Compact"/>
            </w:pPr>
            <w:r>
              <w:t xml:space="preserve">0012</w:t>
            </w:r>
          </w:p>
        </w:tc>
        <w:tc>
          <w:tcPr/>
          <w:p>
            <w:pPr>
              <w:pStyle w:val="Compact"/>
            </w:pPr>
            <w:r>
              <w:t xml:space="preserve">Retirement of UIS multiple imputation</w:t>
            </w:r>
          </w:p>
        </w:tc>
        <w:tc>
          <w:tcPr/>
          <w:p>
            <w:pPr>
              <w:pStyle w:val="Compact"/>
            </w:pPr>
            <w:r>
              <w:t xml:space="preserve">Accepted</w:t>
            </w:r>
          </w:p>
        </w:tc>
        <w:tc>
          <w:tcPr/>
          <w:p>
            <w:pPr>
              <w:pStyle w:val="Compact"/>
            </w:pPr>
            <w:r>
              <w:t xml:space="preserve">MCAR rejection makes MI MAR-untenable; amends ADR-0006</w:t>
            </w:r>
          </w:p>
        </w:tc>
      </w:tr>
    </w:tbl>
    <w:bookmarkEnd w:id="94"/>
    <w:bookmarkStart w:id="95" w:name="X33d64dcd1e2ef15c2710b3e4fd0f23fd7a70fda"/>
    <w:p>
      <w:pPr>
        <w:pStyle w:val="Heading2"/>
      </w:pPr>
      <w:r>
        <w:t xml:space="preserve">A.2 Model 1 cross-sectional OLS — full 6-spec progression</w:t>
      </w:r>
    </w:p>
    <w:p>
      <w:pPr>
        <w:pStyle w:val="TableCaption"/>
      </w:pPr>
      <w:r>
        <w:t xml:space="preserve">Table 2. Model 1 — Cross-sectional OLS, HLO outcome (133 universe, primary window 2010-2020).</w:t>
      </w:r>
    </w:p>
    <w:tbl>
      <w:tblPr>
        <w:tblStyle w:val="Table"/>
        <w:tblW w:type="pct" w:w="4857"/>
        <w:tblLayout w:type="fixed"/>
        <w:tblLook w:firstRow="1" w:lastRow="1" w:firstColumn="0" w:lastColumn="0" w:noHBand="0" w:noVBand="0" w:val="0020"/>
        <w:tblCaption w:val="Table 2. Model 1 — Cross-sectional OLS, HLO outcome (133 universe, primary window 2010-2020)."/>
      </w:tblPr>
      <w:tblGrid>
        <w:gridCol w:w="1674"/>
        <w:gridCol w:w="769"/>
        <w:gridCol w:w="905"/>
        <w:gridCol w:w="588"/>
        <w:gridCol w:w="1221"/>
        <w:gridCol w:w="1131"/>
        <w:gridCol w:w="1402"/>
      </w:tblGrid>
      <w:tr>
        <w:trPr>
          <w:tblHeader w:val="on"/>
        </w:trPr>
        <w:tc>
          <w:tcPr/>
          <w:p>
            <w:pPr>
              <w:pStyle w:val="Compact"/>
            </w:pPr>
          </w:p>
        </w:tc>
        <w:tc>
          <w:tcPr/>
          <w:p>
            <w:pPr>
              <w:pStyle w:val="Compact"/>
            </w:pPr>
            <w:r>
              <w:t xml:space="preserve">1a (bivariate)</w:t>
            </w:r>
          </w:p>
        </w:tc>
        <w:tc>
          <w:tcPr/>
          <w:p>
            <w:pPr>
              <w:pStyle w:val="Compact"/>
            </w:pPr>
            <w:r>
              <w:t xml:space="preserve">1b (+log GDP/cap)</w:t>
            </w:r>
          </w:p>
        </w:tc>
        <w:tc>
          <w:tcPr/>
          <w:p>
            <w:pPr>
              <w:pStyle w:val="Compact"/>
            </w:pPr>
            <w:r>
              <w:t xml:space="preserve">1c (+PTR)</w:t>
            </w:r>
          </w:p>
        </w:tc>
        <w:tc>
          <w:tcPr/>
          <w:p>
            <w:pPr>
              <w:pStyle w:val="Compact"/>
            </w:pPr>
            <w:r>
              <w:t xml:space="preserve">1d (+ed exp; brief spec)</w:t>
            </w:r>
          </w:p>
        </w:tc>
        <w:tc>
          <w:tcPr/>
          <w:p>
            <w:pPr>
              <w:pStyle w:val="Compact"/>
            </w:pPr>
            <w:r>
              <w:t xml:space="preserve">1e (+gov effect; full)</w:t>
            </w:r>
          </w:p>
        </w:tc>
        <w:tc>
          <w:tcPr/>
          <w:p>
            <w:pPr>
              <w:pStyle w:val="Compact"/>
            </w:pPr>
            <w:r>
              <w:t xml:space="preserve">1f (+log GCDF; China-robust)</w:t>
            </w:r>
          </w:p>
        </w:tc>
      </w:tr>
      <w:tr>
        <w:tc>
          <w:tcPr/>
          <w:p>
            <w:pPr>
              <w:pStyle w:val="Compact"/>
            </w:pPr>
            <w:r>
              <w:t xml:space="preserve">log(1 + CRS disbursement, USD M)</w:t>
            </w:r>
          </w:p>
        </w:tc>
        <w:tc>
          <w:tcPr/>
          <w:p>
            <w:pPr>
              <w:pStyle w:val="Compact"/>
            </w:pPr>
            <w:r>
              <w:t xml:space="preserve">-11.537***</w:t>
            </w:r>
          </w:p>
        </w:tc>
        <w:tc>
          <w:tcPr/>
          <w:p>
            <w:pPr>
              <w:pStyle w:val="Compact"/>
            </w:pPr>
            <w:r>
              <w:t xml:space="preserve">-1.204</w:t>
            </w:r>
          </w:p>
        </w:tc>
        <w:tc>
          <w:tcPr/>
          <w:p>
            <w:pPr>
              <w:pStyle w:val="Compact"/>
            </w:pPr>
            <w:r>
              <w:t xml:space="preserve">-1.141</w:t>
            </w:r>
          </w:p>
        </w:tc>
        <w:tc>
          <w:tcPr/>
          <w:p>
            <w:pPr>
              <w:pStyle w:val="Compact"/>
            </w:pPr>
            <w:r>
              <w:t xml:space="preserve">-1.787</w:t>
            </w:r>
          </w:p>
        </w:tc>
        <w:tc>
          <w:tcPr/>
          <w:p>
            <w:pPr>
              <w:pStyle w:val="Compact"/>
            </w:pPr>
            <w:r>
              <w:t xml:space="preserve">-1.361</w:t>
            </w:r>
          </w:p>
        </w:tc>
        <w:tc>
          <w:tcPr/>
          <w:p>
            <w:pPr>
              <w:pStyle w:val="Compact"/>
            </w:pPr>
            <w:r>
              <w:t xml:space="preserve">-1.150</w:t>
            </w:r>
          </w:p>
        </w:tc>
      </w:tr>
      <w:tr>
        <w:tc>
          <w:tcPr/>
          <w:p>
            <w:pPr>
              <w:pStyle w:val="Compact"/>
            </w:pPr>
          </w:p>
        </w:tc>
        <w:tc>
          <w:tcPr/>
          <w:p>
            <w:pPr>
              <w:pStyle w:val="Compact"/>
            </w:pPr>
            <w:r>
              <w:t xml:space="preserve">(2.715)</w:t>
            </w:r>
          </w:p>
        </w:tc>
        <w:tc>
          <w:tcPr/>
          <w:p>
            <w:pPr>
              <w:pStyle w:val="Compact"/>
            </w:pPr>
            <w:r>
              <w:t xml:space="preserve">(2.280)</w:t>
            </w:r>
          </w:p>
        </w:tc>
        <w:tc>
          <w:tcPr/>
          <w:p>
            <w:pPr>
              <w:pStyle w:val="Compact"/>
            </w:pPr>
            <w:r>
              <w:t xml:space="preserve">(2.439)</w:t>
            </w:r>
          </w:p>
        </w:tc>
        <w:tc>
          <w:tcPr/>
          <w:p>
            <w:pPr>
              <w:pStyle w:val="Compact"/>
            </w:pPr>
            <w:r>
              <w:t xml:space="preserve">(2.595)</w:t>
            </w:r>
          </w:p>
        </w:tc>
        <w:tc>
          <w:tcPr/>
          <w:p>
            <w:pPr>
              <w:pStyle w:val="Compact"/>
            </w:pPr>
            <w:r>
              <w:t xml:space="preserve">(2.477)</w:t>
            </w:r>
          </w:p>
        </w:tc>
        <w:tc>
          <w:tcPr/>
          <w:p>
            <w:pPr>
              <w:pStyle w:val="Compact"/>
            </w:pPr>
            <w:r>
              <w:t xml:space="preserve">(2.413)</w:t>
            </w:r>
          </w:p>
        </w:tc>
      </w:tr>
      <w:tr>
        <w:tc>
          <w:tcPr/>
          <w:p>
            <w:pPr>
              <w:pStyle w:val="Compact"/>
            </w:pPr>
            <w:r>
              <w:t xml:space="preserve">log(GDP per capita, USD)</w:t>
            </w:r>
          </w:p>
        </w:tc>
        <w:tc>
          <w:tcPr/>
          <w:p>
            <w:pPr>
              <w:pStyle w:val="Compact"/>
            </w:pPr>
          </w:p>
        </w:tc>
        <w:tc>
          <w:tcPr/>
          <w:p>
            <w:pPr>
              <w:pStyle w:val="Compact"/>
            </w:pPr>
            <w:r>
              <w:t xml:space="preserve">26.251***</w:t>
            </w:r>
          </w:p>
        </w:tc>
        <w:tc>
          <w:tcPr/>
          <w:p>
            <w:pPr>
              <w:pStyle w:val="Compact"/>
            </w:pPr>
            <w:r>
              <w:t xml:space="preserve">23.037***</w:t>
            </w:r>
          </w:p>
        </w:tc>
        <w:tc>
          <w:tcPr/>
          <w:p>
            <w:pPr>
              <w:pStyle w:val="Compact"/>
            </w:pPr>
            <w:r>
              <w:t xml:space="preserve">21.952***</w:t>
            </w:r>
          </w:p>
        </w:tc>
        <w:tc>
          <w:tcPr/>
          <w:p>
            <w:pPr>
              <w:pStyle w:val="Compact"/>
            </w:pPr>
            <w:r>
              <w:t xml:space="preserve">9.301</w:t>
            </w:r>
          </w:p>
        </w:tc>
        <w:tc>
          <w:tcPr/>
          <w:p>
            <w:pPr>
              <w:pStyle w:val="Compact"/>
            </w:pPr>
            <w:r>
              <w:t xml:space="preserve">9.047</w:t>
            </w:r>
          </w:p>
        </w:tc>
      </w:tr>
      <w:tr>
        <w:tc>
          <w:tcPr/>
          <w:p>
            <w:pPr>
              <w:pStyle w:val="Compact"/>
            </w:pPr>
          </w:p>
        </w:tc>
        <w:tc>
          <w:tcPr/>
          <w:p>
            <w:pPr>
              <w:pStyle w:val="Compact"/>
            </w:pPr>
          </w:p>
        </w:tc>
        <w:tc>
          <w:tcPr/>
          <w:p>
            <w:pPr>
              <w:pStyle w:val="Compact"/>
            </w:pPr>
            <w:r>
              <w:t xml:space="preserve">(3.710)</w:t>
            </w:r>
          </w:p>
        </w:tc>
        <w:tc>
          <w:tcPr/>
          <w:p>
            <w:pPr>
              <w:pStyle w:val="Compact"/>
            </w:pPr>
            <w:r>
              <w:t xml:space="preserve">(6.444)</w:t>
            </w:r>
          </w:p>
        </w:tc>
        <w:tc>
          <w:tcPr/>
          <w:p>
            <w:pPr>
              <w:pStyle w:val="Compact"/>
            </w:pPr>
            <w:r>
              <w:t xml:space="preserve">(6.389)</w:t>
            </w:r>
          </w:p>
        </w:tc>
        <w:tc>
          <w:tcPr/>
          <w:p>
            <w:pPr>
              <w:pStyle w:val="Compact"/>
            </w:pPr>
            <w:r>
              <w:t xml:space="preserve">(7.442)</w:t>
            </w:r>
          </w:p>
        </w:tc>
        <w:tc>
          <w:tcPr/>
          <w:p>
            <w:pPr>
              <w:pStyle w:val="Compact"/>
            </w:pPr>
            <w:r>
              <w:t xml:space="preserve">(7.544)</w:t>
            </w:r>
          </w:p>
        </w:tc>
      </w:tr>
      <w:tr>
        <w:tc>
          <w:tcPr/>
          <w:p>
            <w:pPr>
              <w:pStyle w:val="Compact"/>
            </w:pPr>
            <w:r>
              <w:t xml:space="preserve">Pupil-teacher ratio (primary)</w:t>
            </w:r>
          </w:p>
        </w:tc>
        <w:tc>
          <w:tcPr/>
          <w:p>
            <w:pPr>
              <w:pStyle w:val="Compact"/>
            </w:pPr>
          </w:p>
        </w:tc>
        <w:tc>
          <w:tcPr/>
          <w:p>
            <w:pPr>
              <w:pStyle w:val="Compact"/>
            </w:pPr>
          </w:p>
        </w:tc>
        <w:tc>
          <w:tcPr/>
          <w:p>
            <w:pPr>
              <w:pStyle w:val="Compact"/>
            </w:pPr>
            <w:r>
              <w:t xml:space="preserve">-0.367</w:t>
            </w:r>
          </w:p>
        </w:tc>
        <w:tc>
          <w:tcPr/>
          <w:p>
            <w:pPr>
              <w:pStyle w:val="Compact"/>
            </w:pPr>
            <w:r>
              <w:t xml:space="preserve">-0.453</w:t>
            </w:r>
          </w:p>
        </w:tc>
        <w:tc>
          <w:tcPr/>
          <w:p>
            <w:pPr>
              <w:pStyle w:val="Compact"/>
            </w:pPr>
            <w:r>
              <w:t xml:space="preserve">-0.538</w:t>
            </w:r>
          </w:p>
        </w:tc>
        <w:tc>
          <w:tcPr/>
          <w:p>
            <w:pPr>
              <w:pStyle w:val="Compact"/>
            </w:pPr>
            <w:r>
              <w:t xml:space="preserve">-0.497</w:t>
            </w:r>
          </w:p>
        </w:tc>
      </w:tr>
      <w:tr>
        <w:tc>
          <w:tcPr/>
          <w:p>
            <w:pPr>
              <w:pStyle w:val="Compact"/>
            </w:pPr>
          </w:p>
        </w:tc>
        <w:tc>
          <w:tcPr/>
          <w:p>
            <w:pPr>
              <w:pStyle w:val="Compact"/>
            </w:pPr>
          </w:p>
        </w:tc>
        <w:tc>
          <w:tcPr/>
          <w:p>
            <w:pPr>
              <w:pStyle w:val="Compact"/>
            </w:pPr>
          </w:p>
        </w:tc>
        <w:tc>
          <w:tcPr/>
          <w:p>
            <w:pPr>
              <w:pStyle w:val="Compact"/>
            </w:pPr>
            <w:r>
              <w:t xml:space="preserve">(0.429)</w:t>
            </w:r>
          </w:p>
        </w:tc>
        <w:tc>
          <w:tcPr/>
          <w:p>
            <w:pPr>
              <w:pStyle w:val="Compact"/>
            </w:pPr>
            <w:r>
              <w:t xml:space="preserve">(0.418)</w:t>
            </w:r>
          </w:p>
        </w:tc>
        <w:tc>
          <w:tcPr/>
          <w:p>
            <w:pPr>
              <w:pStyle w:val="Compact"/>
            </w:pPr>
            <w:r>
              <w:t xml:space="preserve">(0.413)</w:t>
            </w:r>
          </w:p>
        </w:tc>
        <w:tc>
          <w:tcPr/>
          <w:p>
            <w:pPr>
              <w:pStyle w:val="Compact"/>
            </w:pPr>
            <w:r>
              <w:t xml:space="preserve">(0.441)</w:t>
            </w:r>
          </w:p>
        </w:tc>
      </w:tr>
      <w:tr>
        <w:tc>
          <w:tcPr/>
          <w:p>
            <w:pPr>
              <w:pStyle w:val="Compact"/>
            </w:pPr>
            <w:r>
              <w:t xml:space="preserve">Govt education expenditure (% GDP)</w:t>
            </w:r>
          </w:p>
        </w:tc>
        <w:tc>
          <w:tcPr/>
          <w:p>
            <w:pPr>
              <w:pStyle w:val="Compact"/>
            </w:pPr>
          </w:p>
        </w:tc>
        <w:tc>
          <w:tcPr/>
          <w:p>
            <w:pPr>
              <w:pStyle w:val="Compact"/>
            </w:pPr>
          </w:p>
        </w:tc>
        <w:tc>
          <w:tcPr/>
          <w:p>
            <w:pPr>
              <w:pStyle w:val="Compact"/>
            </w:pPr>
          </w:p>
        </w:tc>
        <w:tc>
          <w:tcPr/>
          <w:p>
            <w:pPr>
              <w:pStyle w:val="Compact"/>
            </w:pPr>
            <w:r>
              <w:t xml:space="preserve">-0.238</w:t>
            </w:r>
          </w:p>
        </w:tc>
        <w:tc>
          <w:tcPr/>
          <w:p>
            <w:pPr>
              <w:pStyle w:val="Compact"/>
            </w:pPr>
            <w:r>
              <w:t xml:space="preserve">-1.015</w:t>
            </w:r>
          </w:p>
        </w:tc>
        <w:tc>
          <w:tcPr/>
          <w:p>
            <w:pPr>
              <w:pStyle w:val="Compact"/>
            </w:pPr>
            <w:r>
              <w:t xml:space="preserve">-1.119</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(1.840)</w:t>
            </w:r>
          </w:p>
        </w:tc>
        <w:tc>
          <w:tcPr/>
          <w:p>
            <w:pPr>
              <w:pStyle w:val="Compact"/>
            </w:pPr>
            <w:r>
              <w:t xml:space="preserve">(1.592)</w:t>
            </w:r>
          </w:p>
        </w:tc>
        <w:tc>
          <w:tcPr/>
          <w:p>
            <w:pPr>
              <w:pStyle w:val="Compact"/>
            </w:pPr>
            <w:r>
              <w:t xml:space="preserve">(1.641)</w:t>
            </w:r>
          </w:p>
        </w:tc>
      </w:tr>
      <w:tr>
        <w:tc>
          <w:tcPr/>
          <w:p>
            <w:pPr>
              <w:pStyle w:val="Compact"/>
            </w:pPr>
            <w:r>
              <w:t xml:space="preserve">Govt effectiveness (WGI)</w:t>
            </w:r>
          </w:p>
        </w:tc>
        <w:tc>
          <w:tcPr/>
          <w:p>
            <w:pPr>
              <w:pStyle w:val="Compact"/>
            </w:pPr>
          </w:p>
        </w:tc>
        <w:tc>
          <w:tcPr/>
          <w:p>
            <w:pPr>
              <w:pStyle w:val="Compact"/>
            </w:pPr>
          </w:p>
        </w:tc>
        <w:tc>
          <w:tcPr/>
          <w:p>
            <w:pPr>
              <w:pStyle w:val="Compact"/>
            </w:pPr>
          </w:p>
        </w:tc>
        <w:tc>
          <w:tcPr/>
          <w:p>
            <w:pPr>
              <w:pStyle w:val="Compact"/>
            </w:pPr>
          </w:p>
        </w:tc>
        <w:tc>
          <w:tcPr/>
          <w:p>
            <w:pPr>
              <w:pStyle w:val="Compact"/>
            </w:pPr>
            <w:r>
              <w:t xml:space="preserve">24.512***</w:t>
            </w:r>
          </w:p>
        </w:tc>
        <w:tc>
          <w:tcPr/>
          <w:p>
            <w:pPr>
              <w:pStyle w:val="Compact"/>
            </w:pPr>
            <w:r>
              <w:t xml:space="preserve">24.552***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(8.756)</w:t>
            </w:r>
          </w:p>
        </w:tc>
        <w:tc>
          <w:tcPr/>
          <w:p>
            <w:pPr>
              <w:pStyle w:val="Compact"/>
            </w:pPr>
            <w:r>
              <w:t xml:space="preserve">(8.830)</w:t>
            </w:r>
          </w:p>
        </w:tc>
      </w:tr>
      <w:tr>
        <w:tc>
          <w:tcPr/>
          <w:p>
            <w:pPr>
              <w:pStyle w:val="Compact"/>
            </w:pPr>
            <w:r>
              <w:t xml:space="preserve">log(1 + GCDF Chinese aid, USD)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(0.621)</w:t>
            </w:r>
          </w:p>
        </w:tc>
      </w:tr>
      <w:tr>
        <w:tc>
          <w:tcPr/>
          <w:p>
            <w:pPr>
              <w:pStyle w:val="Compact"/>
            </w:pPr>
            <w:r>
              <w:t xml:space="preserve">(Intercept)</w:t>
            </w:r>
          </w:p>
        </w:tc>
        <w:tc>
          <w:tcPr/>
          <w:p>
            <w:pPr>
              <w:pStyle w:val="Compact"/>
            </w:pPr>
            <w:r>
              <w:t xml:space="preserve">443.455***</w:t>
            </w:r>
          </w:p>
        </w:tc>
        <w:tc>
          <w:tcPr/>
          <w:p>
            <w:pPr>
              <w:pStyle w:val="Compact"/>
            </w:pPr>
            <w:r>
              <w:t xml:space="preserve">191.531***</w:t>
            </w:r>
          </w:p>
        </w:tc>
        <w:tc>
          <w:tcPr/>
          <w:p>
            <w:pPr>
              <w:pStyle w:val="Compact"/>
            </w:pPr>
            <w:r>
              <w:t xml:space="preserve">228.611***</w:t>
            </w:r>
          </w:p>
        </w:tc>
        <w:tc>
          <w:tcPr/>
          <w:p>
            <w:pPr>
              <w:pStyle w:val="Compact"/>
            </w:pPr>
            <w:r>
              <w:t xml:space="preserve">244.238***</w:t>
            </w:r>
          </w:p>
        </w:tc>
        <w:tc>
          <w:tcPr/>
          <w:p>
            <w:pPr>
              <w:pStyle w:val="Compact"/>
            </w:pPr>
            <w:r>
              <w:t xml:space="preserve">359.294***</w:t>
            </w:r>
          </w:p>
        </w:tc>
        <w:tc>
          <w:tcPr/>
          <w:p>
            <w:pPr>
              <w:pStyle w:val="Compact"/>
            </w:pPr>
            <w:r>
              <w:t xml:space="preserve">362.827***</w:t>
            </w:r>
          </w:p>
        </w:tc>
      </w:tr>
      <w:tr>
        <w:tc>
          <w:tcPr/>
          <w:p>
            <w:pPr>
              <w:pStyle w:val="Compact"/>
            </w:pPr>
          </w:p>
        </w:tc>
        <w:tc>
          <w:tcPr/>
          <w:p>
            <w:pPr>
              <w:pStyle w:val="Compact"/>
            </w:pPr>
            <w:r>
              <w:t xml:space="preserve">(11.363)</w:t>
            </w:r>
          </w:p>
        </w:tc>
        <w:tc>
          <w:tcPr/>
          <w:p>
            <w:pPr>
              <w:pStyle w:val="Compact"/>
            </w:pPr>
            <w:r>
              <w:t xml:space="preserve">(34.257)</w:t>
            </w:r>
          </w:p>
        </w:tc>
        <w:tc>
          <w:tcPr/>
          <w:p>
            <w:pPr>
              <w:pStyle w:val="Compact"/>
            </w:pPr>
            <w:r>
              <w:t xml:space="preserve">(65.172)</w:t>
            </w:r>
          </w:p>
        </w:tc>
        <w:tc>
          <w:tcPr/>
          <w:p>
            <w:pPr>
              <w:pStyle w:val="Compact"/>
            </w:pPr>
            <w:r>
              <w:t xml:space="preserve">(64.357)</w:t>
            </w:r>
          </w:p>
        </w:tc>
        <w:tc>
          <w:tcPr/>
          <w:p>
            <w:pPr>
              <w:pStyle w:val="Compact"/>
            </w:pPr>
            <w:r>
              <w:t xml:space="preserve">(74.996)</w:t>
            </w:r>
          </w:p>
        </w:tc>
        <w:tc>
          <w:tcPr/>
          <w:p>
            <w:pPr>
              <w:pStyle w:val="Compact"/>
            </w:pPr>
            <w:r>
              <w:t xml:space="preserve">(76.085)</w:t>
            </w:r>
          </w:p>
        </w:tc>
      </w:tr>
      <w:tr>
        <w:tc>
          <w:tcPr/>
          <w:p>
            <w:pPr>
              <w:pStyle w:val="Compact"/>
            </w:pPr>
            <w:r>
              <w:t xml:space="preserve">N</w:t>
            </w:r>
          </w:p>
        </w:tc>
        <w:tc>
          <w:tcPr/>
          <w:p>
            <w:pPr>
              <w:pStyle w:val="Compact"/>
            </w:pPr>
            <w:r>
              <w:t xml:space="preserve">133</w:t>
            </w:r>
          </w:p>
        </w:tc>
        <w:tc>
          <w:tcPr/>
          <w:p>
            <w:pPr>
              <w:pStyle w:val="Compact"/>
            </w:pPr>
            <w:r>
              <w:t xml:space="preserve">133</w:t>
            </w:r>
          </w:p>
        </w:tc>
        <w:tc>
          <w:tcPr/>
          <w:p>
            <w:pPr>
              <w:pStyle w:val="Compact"/>
            </w:pPr>
            <w:r>
              <w:t xml:space="preserve">125</w:t>
            </w:r>
          </w:p>
        </w:tc>
        <w:tc>
          <w:tcPr/>
          <w:p>
            <w:pPr>
              <w:pStyle w:val="Compact"/>
            </w:pPr>
            <w:r>
              <w:t xml:space="preserve">120</w:t>
            </w:r>
          </w:p>
        </w:tc>
        <w:tc>
          <w:tcPr/>
          <w:p>
            <w:pPr>
              <w:pStyle w:val="Compact"/>
            </w:pPr>
            <w:r>
              <w:t xml:space="preserve">120</w:t>
            </w:r>
          </w:p>
        </w:tc>
        <w:tc>
          <w:tcPr/>
          <w:p>
            <w:pPr>
              <w:pStyle w:val="Compact"/>
            </w:pPr>
            <w:r>
              <w:t xml:space="preserve">120</w:t>
            </w:r>
          </w:p>
        </w:tc>
      </w:tr>
      <w:tr>
        <w:tc>
          <w:tcPr/>
          <w:p>
            <w:pPr>
              <w:pStyle w:val="Compact"/>
            </w:pPr>
            <w:r>
              <w:t xml:space="preserve">R^2</w:t>
            </w:r>
          </w:p>
        </w:tc>
        <w:tc>
          <w:tcPr/>
          <w:p>
            <w:pPr>
              <w:pStyle w:val="Compact"/>
            </w:pPr>
            <w:r>
              <w:t xml:space="preserve">0.154</w:t>
            </w:r>
          </w:p>
        </w:tc>
        <w:tc>
          <w:tcPr/>
          <w:p>
            <w:pPr>
              <w:pStyle w:val="Compact"/>
            </w:pPr>
            <w:r>
              <w:t xml:space="preserve">0.397</w:t>
            </w:r>
          </w:p>
        </w:tc>
        <w:tc>
          <w:tcPr/>
          <w:p>
            <w:pPr>
              <w:pStyle w:val="Compact"/>
            </w:pPr>
            <w:r>
              <w:t xml:space="preserve">0.396</w:t>
            </w:r>
          </w:p>
        </w:tc>
        <w:tc>
          <w:tcPr/>
          <w:p>
            <w:pPr>
              <w:pStyle w:val="Compact"/>
            </w:pPr>
            <w:r>
              <w:t xml:space="preserve">0.402</w:t>
            </w:r>
          </w:p>
        </w:tc>
        <w:tc>
          <w:tcPr/>
          <w:p>
            <w:pPr>
              <w:pStyle w:val="Compact"/>
            </w:pPr>
            <w:r>
              <w:t xml:space="preserve">0.444</w:t>
            </w:r>
          </w:p>
        </w:tc>
        <w:tc>
          <w:tcPr/>
          <w:p>
            <w:pPr>
              <w:pStyle w:val="Compact"/>
            </w:pPr>
            <w:r>
              <w:t xml:space="preserve">0.445</w:t>
            </w:r>
          </w:p>
        </w:tc>
      </w:tr>
      <w:tr>
        <w:tc>
          <w:tcPr/>
          <w:p>
            <w:pPr>
              <w:pStyle w:val="Compact"/>
            </w:pPr>
            <w:r>
              <w:t xml:space="preserve">Adj R^2</w:t>
            </w:r>
          </w:p>
        </w:tc>
        <w:tc>
          <w:tcPr/>
          <w:p>
            <w:pPr>
              <w:pStyle w:val="Compact"/>
            </w:pPr>
            <w:r>
              <w:t xml:space="preserve">0.148</w:t>
            </w:r>
          </w:p>
        </w:tc>
        <w:tc>
          <w:tcPr/>
          <w:p>
            <w:pPr>
              <w:pStyle w:val="Compact"/>
            </w:pPr>
            <w:r>
              <w:t xml:space="preserve">0.388</w:t>
            </w:r>
          </w:p>
        </w:tc>
        <w:tc>
          <w:tcPr/>
          <w:p>
            <w:pPr>
              <w:pStyle w:val="Compact"/>
            </w:pPr>
            <w:r>
              <w:t xml:space="preserve">0.381</w:t>
            </w:r>
          </w:p>
        </w:tc>
        <w:tc>
          <w:tcPr/>
          <w:p>
            <w:pPr>
              <w:pStyle w:val="Compact"/>
            </w:pPr>
            <w:r>
              <w:t xml:space="preserve">0.381</w:t>
            </w:r>
          </w:p>
        </w:tc>
        <w:tc>
          <w:tcPr/>
          <w:p>
            <w:pPr>
              <w:pStyle w:val="Compact"/>
            </w:pPr>
            <w:r>
              <w:t xml:space="preserve">0.419</w:t>
            </w:r>
          </w:p>
        </w:tc>
        <w:tc>
          <w:tcPr/>
          <w:p>
            <w:pPr>
              <w:pStyle w:val="Compact"/>
            </w:pPr>
            <w:r>
              <w:t xml:space="preserve">0.416</w:t>
            </w:r>
          </w:p>
        </w:tc>
      </w:tr>
      <w:tr>
        <w:tc>
          <w:tcPr>
            <w:gridSpan w:val="7"/>
          </w:tcPr>
          <w:p>
            <w:pPr>
              <w:pStyle w:val="Compact"/>
              <w:numPr>
                <w:ilvl w:val="0"/>
                <w:numId w:val="1001"/>
              </w:numPr>
            </w:pPr>
            <w:r>
              <w:t xml:space="preserve">p &lt; 0.1, ** p &lt; 0.05, *** p &lt; 0.01</w:t>
            </w:r>
          </w:p>
        </w:tc>
      </w:tr>
      <w:tr>
        <w:tc>
          <w:tcPr>
            <w:gridSpan w:val="7"/>
          </w:tcPr>
          <w:p>
            <w:pPr>
              <w:pStyle w:val="Compact"/>
            </w:pPr>
            <w:r>
              <w:t xml:space="preserve">HC-robust SE in parentheses.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Sample: 133-country ADR-0002 universe, primary window 2010-2020 (ADR-0003); country-level means</w:t>
            </w:r>
            <w:r>
              <w:t xml:space="preserve"> </w:t>
            </w:r>
            <w:r>
              <w:t xml:space="preserve">across primary window. N varies by listwise completeness. Max VIF across specs 1b-1f: 5.27. VIF &gt; 5 on log(GDP/cap) × Gov effectiveness (Pearson r = 0.79; Session</w:t>
            </w:r>
            <w:r>
              <w:t xml:space="preserve"> </w:t>
            </w:r>
            <w:r>
              <w:t xml:space="preserve">12); ADR-0009 will lock WGI operationalization in Phase 5.</w:t>
            </w:r>
          </w:p>
        </w:tc>
      </w:tr>
    </w:tbl>
    <w:bookmarkEnd w:id="95"/>
    <w:bookmarkStart w:id="96" w:name="Xaf644f749b40b3b755da8551639db19edc8e17a"/>
    <w:p>
      <w:pPr>
        <w:pStyle w:val="Heading2"/>
      </w:pPr>
      <w:r>
        <w:t xml:space="preserve">A.3 Model 2 within-country FE — full 7-spec progression</w:t>
      </w:r>
    </w:p>
    <w:p>
      <w:pPr>
        <w:pStyle w:val="TableCaption"/>
      </w:pPr>
      <w:r>
        <w:t xml:space="preserve">Table 3 (v2). Model 2 — Within-country FE panel, HLO outcome, LOCKED ENCODING.</w:t>
      </w:r>
    </w:p>
    <w:tbl>
      <w:tblPr>
        <w:tblStyle w:val="Table"/>
        <w:tblW w:type="pct" w:w="4855"/>
        <w:tblLayout w:type="fixed"/>
        <w:tblLook w:firstRow="1" w:lastRow="1" w:firstColumn="0" w:lastColumn="0" w:noHBand="0" w:noVBand="0" w:val="0020"/>
        <w:tblCaption w:val="Table 3 (v2). Model 2 — Within-country FE panel, HLO outcome, LOCKED ENCODING."/>
      </w:tblPr>
      <w:tblGrid>
        <w:gridCol w:w="1530"/>
        <w:gridCol w:w="650"/>
        <w:gridCol w:w="765"/>
        <w:gridCol w:w="459"/>
        <w:gridCol w:w="1033"/>
        <w:gridCol w:w="841"/>
        <w:gridCol w:w="1453"/>
        <w:gridCol w:w="956"/>
      </w:tblGrid>
      <w:tr>
        <w:trPr>
          <w:tblHeader w:val="on"/>
        </w:trPr>
        <w:tc>
          <w:tcPr/>
          <w:p>
            <w:pPr>
              <w:pStyle w:val="Compact"/>
            </w:pPr>
          </w:p>
        </w:tc>
        <w:tc>
          <w:tcPr/>
          <w:p>
            <w:pPr>
              <w:pStyle w:val="Compact"/>
            </w:pPr>
            <w:r>
              <w:t xml:space="preserve">2a (bivariate)</w:t>
            </w:r>
          </w:p>
        </w:tc>
        <w:tc>
          <w:tcPr/>
          <w:p>
            <w:pPr>
              <w:pStyle w:val="Compact"/>
            </w:pPr>
            <w:r>
              <w:t xml:space="preserve">2b (+log GDP/cap)</w:t>
            </w:r>
          </w:p>
        </w:tc>
        <w:tc>
          <w:tcPr/>
          <w:p>
            <w:pPr>
              <w:pStyle w:val="Compact"/>
            </w:pPr>
            <w:r>
              <w:t xml:space="preserve">2c (+PTR)</w:t>
            </w:r>
          </w:p>
        </w:tc>
        <w:tc>
          <w:tcPr/>
          <w:p>
            <w:pPr>
              <w:pStyle w:val="Compact"/>
            </w:pPr>
            <w:r>
              <w:t xml:space="preserve">2d (+ed exp; brief spec)</w:t>
            </w:r>
          </w:p>
        </w:tc>
        <w:tc>
          <w:tcPr/>
          <w:p>
            <w:pPr>
              <w:pStyle w:val="Compact"/>
            </w:pPr>
            <w:r>
              <w:t xml:space="preserve">2e (+WGI PC1; full)</w:t>
            </w:r>
          </w:p>
        </w:tc>
        <w:tc>
          <w:tcPr/>
          <w:p>
            <w:pPr>
              <w:pStyle w:val="Compact"/>
            </w:pPr>
            <w:r>
              <w:t xml:space="preserve">2f (+log GCDF strict; China-robust)</w:t>
            </w:r>
          </w:p>
        </w:tc>
        <w:tc>
          <w:tcPr/>
          <w:p>
            <w:pPr>
              <w:pStyle w:val="Compact"/>
            </w:pPr>
            <w:r>
              <w:t xml:space="preserve">2g (+conflict + COVID)</w:t>
            </w:r>
          </w:p>
        </w:tc>
      </w:tr>
      <w:tr>
        <w:tc>
          <w:tcPr/>
          <w:p>
            <w:pPr>
              <w:pStyle w:val="Compact"/>
            </w:pPr>
            <w:r>
              <w:t xml:space="preserve">log(1 + CRS disburse strict-past MA3)</w:t>
            </w:r>
          </w:p>
        </w:tc>
        <w:tc>
          <w:tcPr/>
          <w:p>
            <w:pPr>
              <w:pStyle w:val="Compact"/>
            </w:pPr>
            <w:r>
              <w:t xml:space="preserve">1.142</w:t>
            </w:r>
          </w:p>
        </w:tc>
        <w:tc>
          <w:tcPr/>
          <w:p>
            <w:pPr>
              <w:pStyle w:val="Compact"/>
            </w:pPr>
            <w:r>
              <w:t xml:space="preserve">0.768</w:t>
            </w:r>
          </w:p>
        </w:tc>
        <w:tc>
          <w:tcPr/>
          <w:p>
            <w:pPr>
              <w:pStyle w:val="Compact"/>
            </w:pPr>
            <w:r>
              <w:t xml:space="preserve">9.723*</w:t>
            </w:r>
          </w:p>
        </w:tc>
        <w:tc>
          <w:tcPr/>
          <w:p>
            <w:pPr>
              <w:pStyle w:val="Compact"/>
            </w:pPr>
            <w:r>
              <w:t xml:space="preserve">8.754</w:t>
            </w:r>
          </w:p>
        </w:tc>
        <w:tc>
          <w:tcPr/>
          <w:p>
            <w:pPr>
              <w:pStyle w:val="Compact"/>
            </w:pPr>
            <w:r>
              <w:t xml:space="preserve">11.136**</w:t>
            </w:r>
          </w:p>
        </w:tc>
        <w:tc>
          <w:tcPr/>
          <w:p>
            <w:pPr>
              <w:pStyle w:val="Compact"/>
            </w:pPr>
            <w:r>
              <w:t xml:space="preserve">11.256**</w:t>
            </w:r>
          </w:p>
        </w:tc>
        <w:tc>
          <w:tcPr/>
          <w:p>
            <w:pPr>
              <w:pStyle w:val="Compact"/>
            </w:pPr>
            <w:r>
              <w:t xml:space="preserve">9.613*</w:t>
            </w:r>
          </w:p>
        </w:tc>
      </w:tr>
      <w:tr>
        <w:tc>
          <w:tcPr/>
          <w:p>
            <w:pPr>
              <w:pStyle w:val="Compact"/>
            </w:pPr>
          </w:p>
        </w:tc>
        <w:tc>
          <w:tcPr/>
          <w:p>
            <w:pPr>
              <w:pStyle w:val="Compact"/>
            </w:pPr>
            <w:r>
              <w:t xml:space="preserve">(1.629)</w:t>
            </w:r>
          </w:p>
        </w:tc>
        <w:tc>
          <w:tcPr/>
          <w:p>
            <w:pPr>
              <w:pStyle w:val="Compact"/>
            </w:pPr>
            <w:r>
              <w:t xml:space="preserve">(1.748)</w:t>
            </w:r>
          </w:p>
        </w:tc>
        <w:tc>
          <w:tcPr/>
          <w:p>
            <w:pPr>
              <w:pStyle w:val="Compact"/>
            </w:pPr>
            <w:r>
              <w:t xml:space="preserve">(4.978)</w:t>
            </w:r>
          </w:p>
        </w:tc>
        <w:tc>
          <w:tcPr/>
          <w:p>
            <w:pPr>
              <w:pStyle w:val="Compact"/>
            </w:pPr>
            <w:r>
              <w:t xml:space="preserve">(5.322)</w:t>
            </w:r>
          </w:p>
        </w:tc>
        <w:tc>
          <w:tcPr/>
          <w:p>
            <w:pPr>
              <w:pStyle w:val="Compact"/>
            </w:pPr>
            <w:r>
              <w:t xml:space="preserve">(5.518)</w:t>
            </w:r>
          </w:p>
        </w:tc>
        <w:tc>
          <w:tcPr/>
          <w:p>
            <w:pPr>
              <w:pStyle w:val="Compact"/>
            </w:pPr>
            <w:r>
              <w:t xml:space="preserve">(5.529)</w:t>
            </w:r>
          </w:p>
        </w:tc>
        <w:tc>
          <w:tcPr/>
          <w:p>
            <w:pPr>
              <w:pStyle w:val="Compact"/>
            </w:pPr>
            <w:r>
              <w:t xml:space="preserve">(5.438)</w:t>
            </w:r>
          </w:p>
        </w:tc>
      </w:tr>
      <w:tr>
        <w:tc>
          <w:tcPr/>
          <w:p>
            <w:pPr>
              <w:pStyle w:val="Compact"/>
            </w:pPr>
            <w:r>
              <w:t xml:space="preserve">log(GDP per capita)</w:t>
            </w:r>
          </w:p>
        </w:tc>
        <w:tc>
          <w:tcPr/>
          <w:p>
            <w:pPr>
              <w:pStyle w:val="Compact"/>
            </w:pPr>
          </w:p>
        </w:tc>
        <w:tc>
          <w:tcPr/>
          <w:p>
            <w:pPr>
              <w:pStyle w:val="Compact"/>
            </w:pPr>
            <w:r>
              <w:t xml:space="preserve">5.831</w:t>
            </w:r>
          </w:p>
        </w:tc>
        <w:tc>
          <w:tcPr/>
          <w:p>
            <w:pPr>
              <w:pStyle w:val="Compact"/>
            </w:pPr>
            <w:r>
              <w:t xml:space="preserve">-4.101</w:t>
            </w:r>
          </w:p>
        </w:tc>
        <w:tc>
          <w:tcPr/>
          <w:p>
            <w:pPr>
              <w:pStyle w:val="Compact"/>
            </w:pPr>
            <w:r>
              <w:t xml:space="preserve">-24.539</w:t>
            </w:r>
          </w:p>
        </w:tc>
        <w:tc>
          <w:tcPr/>
          <w:p>
            <w:pPr>
              <w:pStyle w:val="Compact"/>
            </w:pPr>
            <w:r>
              <w:t xml:space="preserve">-32.680</w:t>
            </w:r>
          </w:p>
        </w:tc>
        <w:tc>
          <w:tcPr/>
          <w:p>
            <w:pPr>
              <w:pStyle w:val="Compact"/>
            </w:pPr>
            <w:r>
              <w:t xml:space="preserve">-34.467</w:t>
            </w:r>
          </w:p>
        </w:tc>
        <w:tc>
          <w:tcPr/>
          <w:p>
            <w:pPr>
              <w:pStyle w:val="Compact"/>
            </w:pPr>
            <w:r>
              <w:t xml:space="preserve">-36.123</w:t>
            </w:r>
          </w:p>
        </w:tc>
      </w:tr>
      <w:tr>
        <w:tc>
          <w:tcPr/>
          <w:p>
            <w:pPr>
              <w:pStyle w:val="Compact"/>
            </w:pPr>
          </w:p>
        </w:tc>
        <w:tc>
          <w:tcPr/>
          <w:p>
            <w:pPr>
              <w:pStyle w:val="Compact"/>
            </w:pPr>
          </w:p>
        </w:tc>
        <w:tc>
          <w:tcPr/>
          <w:p>
            <w:pPr>
              <w:pStyle w:val="Compact"/>
            </w:pPr>
            <w:r>
              <w:t xml:space="preserve">(7.572)</w:t>
            </w:r>
          </w:p>
        </w:tc>
        <w:tc>
          <w:tcPr/>
          <w:p>
            <w:pPr>
              <w:pStyle w:val="Compact"/>
            </w:pPr>
            <w:r>
              <w:t xml:space="preserve">(16.889)</w:t>
            </w:r>
          </w:p>
        </w:tc>
        <w:tc>
          <w:tcPr/>
          <w:p>
            <w:pPr>
              <w:pStyle w:val="Compact"/>
            </w:pPr>
            <w:r>
              <w:t xml:space="preserve">(23.780)</w:t>
            </w:r>
          </w:p>
        </w:tc>
        <w:tc>
          <w:tcPr/>
          <w:p>
            <w:pPr>
              <w:pStyle w:val="Compact"/>
            </w:pPr>
            <w:r>
              <w:t xml:space="preserve">(22.936)</w:t>
            </w:r>
          </w:p>
        </w:tc>
        <w:tc>
          <w:tcPr/>
          <w:p>
            <w:pPr>
              <w:pStyle w:val="Compact"/>
            </w:pPr>
            <w:r>
              <w:t xml:space="preserve">(26.436)</w:t>
            </w:r>
          </w:p>
        </w:tc>
        <w:tc>
          <w:tcPr/>
          <w:p>
            <w:pPr>
              <w:pStyle w:val="Compact"/>
            </w:pPr>
            <w:r>
              <w:t xml:space="preserve">(27.231)</w:t>
            </w:r>
          </w:p>
        </w:tc>
      </w:tr>
      <w:tr>
        <w:tc>
          <w:tcPr/>
          <w:p>
            <w:pPr>
              <w:pStyle w:val="Compact"/>
            </w:pPr>
            <w:r>
              <w:t xml:space="preserve">PTR (primary)</w:t>
            </w:r>
          </w:p>
        </w:tc>
        <w:tc>
          <w:tcPr/>
          <w:p>
            <w:pPr>
              <w:pStyle w:val="Compact"/>
            </w:pPr>
          </w:p>
        </w:tc>
        <w:tc>
          <w:tcPr/>
          <w:p>
            <w:pPr>
              <w:pStyle w:val="Compact"/>
            </w:pPr>
          </w:p>
        </w:tc>
        <w:tc>
          <w:tcPr/>
          <w:p>
            <w:pPr>
              <w:pStyle w:val="Compact"/>
            </w:pPr>
            <w:r>
              <w:t xml:space="preserve">0.509</w:t>
            </w:r>
          </w:p>
        </w:tc>
        <w:tc>
          <w:tcPr/>
          <w:p>
            <w:pPr>
              <w:pStyle w:val="Compact"/>
            </w:pPr>
            <w:r>
              <w:t xml:space="preserve">0.524</w:t>
            </w:r>
          </w:p>
        </w:tc>
        <w:tc>
          <w:tcPr/>
          <w:p>
            <w:pPr>
              <w:pStyle w:val="Compact"/>
            </w:pPr>
            <w:r>
              <w:t xml:space="preserve">-0.234</w:t>
            </w:r>
          </w:p>
        </w:tc>
        <w:tc>
          <w:tcPr/>
          <w:p>
            <w:pPr>
              <w:pStyle w:val="Compact"/>
            </w:pPr>
            <w:r>
              <w:t xml:space="preserve">-0.283</w:t>
            </w:r>
          </w:p>
        </w:tc>
        <w:tc>
          <w:tcPr/>
          <w:p>
            <w:pPr>
              <w:pStyle w:val="Compact"/>
            </w:pPr>
            <w:r>
              <w:t xml:space="preserve">-0.145</w:t>
            </w:r>
          </w:p>
        </w:tc>
      </w:tr>
      <w:tr>
        <w:tc>
          <w:tcPr/>
          <w:p>
            <w:pPr>
              <w:pStyle w:val="Compact"/>
            </w:pPr>
          </w:p>
        </w:tc>
        <w:tc>
          <w:tcPr/>
          <w:p>
            <w:pPr>
              <w:pStyle w:val="Compact"/>
            </w:pPr>
          </w:p>
        </w:tc>
        <w:tc>
          <w:tcPr/>
          <w:p>
            <w:pPr>
              <w:pStyle w:val="Compact"/>
            </w:pPr>
          </w:p>
        </w:tc>
        <w:tc>
          <w:tcPr/>
          <w:p>
            <w:pPr>
              <w:pStyle w:val="Compact"/>
            </w:pPr>
            <w:r>
              <w:t xml:space="preserve">(0.898)</w:t>
            </w:r>
          </w:p>
        </w:tc>
        <w:tc>
          <w:tcPr/>
          <w:p>
            <w:pPr>
              <w:pStyle w:val="Compact"/>
            </w:pPr>
            <w:r>
              <w:t xml:space="preserve">(1.062)</w:t>
            </w:r>
          </w:p>
        </w:tc>
        <w:tc>
          <w:tcPr/>
          <w:p>
            <w:pPr>
              <w:pStyle w:val="Compact"/>
            </w:pPr>
            <w:r>
              <w:t xml:space="preserve">(0.942)</w:t>
            </w:r>
          </w:p>
        </w:tc>
        <w:tc>
          <w:tcPr/>
          <w:p>
            <w:pPr>
              <w:pStyle w:val="Compact"/>
            </w:pPr>
            <w:r>
              <w:t xml:space="preserve">(0.863)</w:t>
            </w:r>
          </w:p>
        </w:tc>
        <w:tc>
          <w:tcPr/>
          <w:p>
            <w:pPr>
              <w:pStyle w:val="Compact"/>
            </w:pPr>
            <w:r>
              <w:t xml:space="preserve">(0.823)</w:t>
            </w:r>
          </w:p>
        </w:tc>
      </w:tr>
      <w:tr>
        <w:tc>
          <w:tcPr/>
          <w:p>
            <w:pPr>
              <w:pStyle w:val="Compact"/>
            </w:pPr>
            <w:r>
              <w:t xml:space="preserve">Ed expenditure (% GDP)</w:t>
            </w:r>
          </w:p>
        </w:tc>
        <w:tc>
          <w:tcPr/>
          <w:p>
            <w:pPr>
              <w:pStyle w:val="Compact"/>
            </w:pPr>
          </w:p>
        </w:tc>
        <w:tc>
          <w:tcPr/>
          <w:p>
            <w:pPr>
              <w:pStyle w:val="Compact"/>
            </w:pPr>
          </w:p>
        </w:tc>
        <w:tc>
          <w:tcPr/>
          <w:p>
            <w:pPr>
              <w:pStyle w:val="Compact"/>
            </w:pPr>
          </w:p>
        </w:tc>
        <w:tc>
          <w:tcPr/>
          <w:p>
            <w:pPr>
              <w:pStyle w:val="Compact"/>
            </w:pPr>
            <w:r>
              <w:t xml:space="preserve">-1.561</w:t>
            </w:r>
          </w:p>
        </w:tc>
        <w:tc>
          <w:tcPr/>
          <w:p>
            <w:pPr>
              <w:pStyle w:val="Compact"/>
            </w:pPr>
            <w:r>
              <w:t xml:space="preserve">-1.928</w:t>
            </w:r>
          </w:p>
        </w:tc>
        <w:tc>
          <w:tcPr/>
          <w:p>
            <w:pPr>
              <w:pStyle w:val="Compact"/>
            </w:pPr>
            <w:r>
              <w:t xml:space="preserve">-1.783</w:t>
            </w:r>
          </w:p>
        </w:tc>
        <w:tc>
          <w:tcPr/>
          <w:p>
            <w:pPr>
              <w:pStyle w:val="Compact"/>
            </w:pPr>
            <w:r>
              <w:t xml:space="preserve">-1.802</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(2.318)</w:t>
            </w:r>
          </w:p>
        </w:tc>
        <w:tc>
          <w:tcPr/>
          <w:p>
            <w:pPr>
              <w:pStyle w:val="Compact"/>
            </w:pPr>
            <w:r>
              <w:t xml:space="preserve">(2.990)</w:t>
            </w:r>
          </w:p>
        </w:tc>
        <w:tc>
          <w:tcPr/>
          <w:p>
            <w:pPr>
              <w:pStyle w:val="Compact"/>
            </w:pPr>
            <w:r>
              <w:t xml:space="preserve">(2.999)</w:t>
            </w:r>
          </w:p>
        </w:tc>
        <w:tc>
          <w:tcPr/>
          <w:p>
            <w:pPr>
              <w:pStyle w:val="Compact"/>
            </w:pPr>
            <w:r>
              <w:t xml:space="preserve">(3.023)</w:t>
            </w:r>
          </w:p>
        </w:tc>
      </w:tr>
      <w:tr>
        <w:tc>
          <w:tcPr/>
          <w:p>
            <w:pPr>
              <w:pStyle w:val="Compact"/>
            </w:pPr>
            <w:r>
              <w:t xml:space="preserve">WGI PC1 (governance composite)</w:t>
            </w:r>
          </w:p>
        </w:tc>
        <w:tc>
          <w:tcPr/>
          <w:p>
            <w:pPr>
              <w:pStyle w:val="Compact"/>
            </w:pPr>
          </w:p>
        </w:tc>
        <w:tc>
          <w:tcPr/>
          <w:p>
            <w:pPr>
              <w:pStyle w:val="Compact"/>
            </w:pPr>
          </w:p>
        </w:tc>
        <w:tc>
          <w:tcPr/>
          <w:p>
            <w:pPr>
              <w:pStyle w:val="Compact"/>
            </w:pPr>
          </w:p>
        </w:tc>
        <w:tc>
          <w:tcPr/>
          <w:p>
            <w:pPr>
              <w:pStyle w:val="Compact"/>
            </w:pPr>
          </w:p>
        </w:tc>
        <w:tc>
          <w:tcPr/>
          <w:p>
            <w:pPr>
              <w:pStyle w:val="Compact"/>
            </w:pPr>
            <w:r>
              <w:t xml:space="preserve">20.121**</w:t>
            </w:r>
          </w:p>
        </w:tc>
        <w:tc>
          <w:tcPr/>
          <w:p>
            <w:pPr>
              <w:pStyle w:val="Compact"/>
            </w:pPr>
            <w:r>
              <w:t xml:space="preserve">21.537*</w:t>
            </w:r>
          </w:p>
        </w:tc>
        <w:tc>
          <w:tcPr/>
          <w:p>
            <w:pPr>
              <w:pStyle w:val="Compact"/>
            </w:pPr>
            <w:r>
              <w:t xml:space="preserve">19.766*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(9.397)</w:t>
            </w:r>
          </w:p>
        </w:tc>
        <w:tc>
          <w:tcPr/>
          <w:p>
            <w:pPr>
              <w:pStyle w:val="Compact"/>
            </w:pPr>
            <w:r>
              <w:t xml:space="preserve">(12.091)</w:t>
            </w:r>
          </w:p>
        </w:tc>
        <w:tc>
          <w:tcPr/>
          <w:p>
            <w:pPr>
              <w:pStyle w:val="Compact"/>
            </w:pPr>
            <w:r>
              <w:t xml:space="preserve">(11.574)</w:t>
            </w:r>
          </w:p>
        </w:tc>
      </w:tr>
      <w:tr>
        <w:tc>
          <w:tcPr/>
          <w:p>
            <w:pPr>
              <w:pStyle w:val="Compact"/>
            </w:pPr>
            <w:r>
              <w:t xml:space="preserve">log(1 + GCDF strict-past MA3)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-0.205</w:t>
            </w:r>
          </w:p>
        </w:tc>
        <w:tc>
          <w:tcPr/>
          <w:p>
            <w:pPr>
              <w:pStyle w:val="Compact"/>
            </w:pPr>
            <w:r>
              <w:t xml:space="preserve">-0.132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(0.787)</w:t>
            </w:r>
          </w:p>
        </w:tc>
        <w:tc>
          <w:tcPr/>
          <w:p>
            <w:pPr>
              <w:pStyle w:val="Compact"/>
            </w:pPr>
            <w:r>
              <w:t xml:space="preserve">(0.779)</w:t>
            </w:r>
          </w:p>
        </w:tc>
      </w:tr>
      <w:tr>
        <w:tc>
          <w:tcPr/>
          <w:p>
            <w:pPr>
              <w:pStyle w:val="Compact"/>
            </w:pPr>
            <w:r>
              <w:t xml:space="preserve">In active conflict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-10.060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(9.577)</w:t>
            </w:r>
          </w:p>
        </w:tc>
      </w:tr>
      <w:tr>
        <w:tc>
          <w:tcPr/>
          <w:p>
            <w:pPr>
              <w:pStyle w:val="Compact"/>
            </w:pPr>
            <w:r>
              <w:t xml:space="preserve">N</w:t>
            </w:r>
          </w:p>
        </w:tc>
        <w:tc>
          <w:tcPr/>
          <w:p>
            <w:pPr>
              <w:pStyle w:val="Compact"/>
            </w:pPr>
            <w:r>
              <w:t xml:space="preserve">441</w:t>
            </w:r>
          </w:p>
        </w:tc>
        <w:tc>
          <w:tcPr/>
          <w:p>
            <w:pPr>
              <w:pStyle w:val="Compact"/>
            </w:pPr>
            <w:r>
              <w:t xml:space="preserve">437</w:t>
            </w:r>
          </w:p>
        </w:tc>
        <w:tc>
          <w:tcPr/>
          <w:p>
            <w:pPr>
              <w:pStyle w:val="Compact"/>
            </w:pPr>
            <w:r>
              <w:t xml:space="preserve">184</w:t>
            </w:r>
          </w:p>
        </w:tc>
        <w:tc>
          <w:tcPr/>
          <w:p>
            <w:pPr>
              <w:pStyle w:val="Compact"/>
            </w:pPr>
            <w:r>
              <w:t xml:space="preserve">143</w:t>
            </w:r>
          </w:p>
        </w:tc>
        <w:tc>
          <w:tcPr/>
          <w:p>
            <w:pPr>
              <w:pStyle w:val="Compact"/>
            </w:pPr>
            <w:r>
              <w:t xml:space="preserve">143</w:t>
            </w:r>
          </w:p>
        </w:tc>
        <w:tc>
          <w:tcPr/>
          <w:p>
            <w:pPr>
              <w:pStyle w:val="Compact"/>
            </w:pPr>
            <w:r>
              <w:t xml:space="preserve">143</w:t>
            </w:r>
          </w:p>
        </w:tc>
        <w:tc>
          <w:tcPr/>
          <w:p>
            <w:pPr>
              <w:pStyle w:val="Compact"/>
            </w:pPr>
            <w:r>
              <w:t xml:space="preserve">143</w:t>
            </w:r>
          </w:p>
        </w:tc>
      </w:tr>
      <w:tr>
        <w:tc>
          <w:tcPr/>
          <w:p>
            <w:pPr>
              <w:pStyle w:val="Compact"/>
            </w:pPr>
            <w:r>
              <w:t xml:space="preserve">R^2</w:t>
            </w:r>
          </w:p>
        </w:tc>
        <w:tc>
          <w:tcPr/>
          <w:p>
            <w:pPr>
              <w:pStyle w:val="Compact"/>
            </w:pPr>
            <w:r>
              <w:t xml:space="preserve">0.941</w:t>
            </w:r>
          </w:p>
        </w:tc>
        <w:tc>
          <w:tcPr/>
          <w:p>
            <w:pPr>
              <w:pStyle w:val="Compact"/>
            </w:pPr>
            <w:r>
              <w:t xml:space="preserve">0.940</w:t>
            </w:r>
          </w:p>
        </w:tc>
        <w:tc>
          <w:tcPr/>
          <w:p>
            <w:pPr>
              <w:pStyle w:val="Compact"/>
            </w:pPr>
            <w:r>
              <w:t xml:space="preserve">0.928</w:t>
            </w:r>
          </w:p>
        </w:tc>
        <w:tc>
          <w:tcPr/>
          <w:p>
            <w:pPr>
              <w:pStyle w:val="Compact"/>
            </w:pPr>
            <w:r>
              <w:t xml:space="preserve">0.928</w:t>
            </w:r>
          </w:p>
        </w:tc>
        <w:tc>
          <w:tcPr/>
          <w:p>
            <w:pPr>
              <w:pStyle w:val="Compact"/>
            </w:pPr>
            <w:r>
              <w:t xml:space="preserve">0.933</w:t>
            </w:r>
          </w:p>
        </w:tc>
        <w:tc>
          <w:tcPr/>
          <w:p>
            <w:pPr>
              <w:pStyle w:val="Compact"/>
            </w:pPr>
            <w:r>
              <w:t xml:space="preserve">0.933</w:t>
            </w:r>
          </w:p>
        </w:tc>
        <w:tc>
          <w:tcPr/>
          <w:p>
            <w:pPr>
              <w:pStyle w:val="Compact"/>
            </w:pPr>
            <w:r>
              <w:t xml:space="preserve">0.935</w:t>
            </w:r>
          </w:p>
        </w:tc>
      </w:tr>
      <w:tr>
        <w:tc>
          <w:tcPr/>
          <w:p>
            <w:pPr>
              <w:pStyle w:val="Compact"/>
            </w:pPr>
            <w:r>
              <w:t xml:space="preserve">Adj R^2</w:t>
            </w:r>
          </w:p>
        </w:tc>
        <w:tc>
          <w:tcPr/>
          <w:p>
            <w:pPr>
              <w:pStyle w:val="Compact"/>
            </w:pPr>
            <w:r>
              <w:t xml:space="preserve">0.916</w:t>
            </w:r>
          </w:p>
        </w:tc>
        <w:tc>
          <w:tcPr/>
          <w:p>
            <w:pPr>
              <w:pStyle w:val="Compact"/>
            </w:pPr>
            <w:r>
              <w:t xml:space="preserve">0.914</w:t>
            </w:r>
          </w:p>
        </w:tc>
        <w:tc>
          <w:tcPr/>
          <w:p>
            <w:pPr>
              <w:pStyle w:val="Compact"/>
            </w:pPr>
            <w:r>
              <w:t xml:space="preserve">0.870</w:t>
            </w:r>
          </w:p>
        </w:tc>
        <w:tc>
          <w:tcPr/>
          <w:p>
            <w:pPr>
              <w:pStyle w:val="Compact"/>
            </w:pPr>
            <w:r>
              <w:t xml:space="preserve">0.865</w:t>
            </w:r>
          </w:p>
        </w:tc>
        <w:tc>
          <w:tcPr/>
          <w:p>
            <w:pPr>
              <w:pStyle w:val="Compact"/>
            </w:pPr>
            <w:r>
              <w:t xml:space="preserve">0.873</w:t>
            </w:r>
          </w:p>
        </w:tc>
        <w:tc>
          <w:tcPr/>
          <w:p>
            <w:pPr>
              <w:pStyle w:val="Compact"/>
            </w:pPr>
            <w:r>
              <w:t xml:space="preserve">0.872</w:t>
            </w:r>
          </w:p>
        </w:tc>
        <w:tc>
          <w:tcPr/>
          <w:p>
            <w:pPr>
              <w:pStyle w:val="Compact"/>
            </w:pPr>
            <w:r>
              <w:t xml:space="preserve">0.873</w:t>
            </w:r>
          </w:p>
        </w:tc>
      </w:tr>
      <w:tr>
        <w:tc>
          <w:tcPr>
            <w:gridSpan w:val="8"/>
          </w:tcPr>
          <w:p>
            <w:pPr>
              <w:pStyle w:val="Compact"/>
              <w:numPr>
                <w:ilvl w:val="0"/>
                <w:numId w:val="1002"/>
              </w:numPr>
            </w:pPr>
            <w:r>
              <w:t xml:space="preserve">p &lt; 0.1, ** p &lt; 0.05, *** p &lt; 0.01</w:t>
            </w:r>
          </w:p>
        </w:tc>
      </w:tr>
      <w:tr>
        <w:tc>
          <w:tcPr>
            <w:gridSpan w:val="8"/>
          </w:tcPr>
          <w:p>
            <w:pPr>
              <w:pStyle w:val="Compact"/>
            </w:pPr>
            <w:r>
              <w:t xml:space="preserve">Two-way (country + year) FE; country-clustered SE. Treatment: log(1 + CRS_disburse_defl_ma3_lag1) — Session-03 lock (ADR-0005). WGI: PC1 of six aggregates (76.4% variance) — Session-05 lock</w:t>
            </w:r>
            <w:r>
              <w:t xml:space="preserve"> </w:t>
            </w:r>
            <w:r>
              <w:t xml:space="preserve">(ADR-0009). GCDF in 2f: strictly-past MA3 — methodological consistency with ADR-0005. Wooldridge AR(1) F=0.4 (p=0.51). Breusch-Pagan χ²=137.2 (p=0.0045). Max VIF (demeaned) = 1.62.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Singleton-FE countries auto-dropped by feols. COVID days recoded NA→0 for pre-2020 years.</w:t>
            </w:r>
          </w:p>
        </w:tc>
      </w:tr>
    </w:tbl>
    <w:bookmarkEnd w:id="96"/>
    <w:bookmarkStart w:id="100" w:name="X66101c8d94f54e6325cd560f82db6e1b06345ca"/>
    <w:p>
      <w:pPr>
        <w:pStyle w:val="Heading2"/>
      </w:pPr>
      <w:r>
        <w:t xml:space="preserve">A.4 Model 3 random effects — spec progression</w:t>
      </w:r>
    </w:p>
    <w:bookmarkStart w:id="99" w:name="X56088b1aad27f1faef805114c094fa1849cbe01"/>
    <w:p>
      <w:pPr>
        <w:pStyle w:val="Heading4"/>
      </w:pPr>
      <w:r>
        <w:t xml:space="preserve">Model 3 — 2-level country RE + year FE (locked encoding)</w:t>
      </w:r>
    </w:p>
    <w:p>
      <w:pPr>
        <w:pStyle w:val="FirstParagraph"/>
      </w:pPr>
      <w:r>
        <w:t xml:space="preserve">Random intercept by country; year FE; locked treatment (</w:t>
      </w:r>
      <w:r>
        <w:rPr>
          <w:rStyle w:val="VerbatimChar"/>
        </w:rPr>
        <w:t xml:space="preserve">crs_disburse_usd_defl_ma3_lag1</w:t>
      </w:r>
      <w:r>
        <w:t xml:space="preserve">) + WGI PC1. Estimator:</w:t>
      </w:r>
      <w:r>
        <w:t xml:space="preserve"> </w:t>
      </w:r>
      <w:r>
        <w:rPr>
          <w:rStyle w:val="VerbatimChar"/>
        </w:rPr>
        <w:t xml:space="preserve">lme4::lmer</w:t>
      </w:r>
      <w:r>
        <w:t xml:space="preserve"> </w:t>
      </w:r>
      <w:r>
        <w:t xml:space="preserve">with REML=FALSE (ML, for Hausman comparability).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97" w:name="hlo-outcome"/>
    <w:p>
      <w:pPr>
        <w:pStyle w:val="Heading5"/>
      </w:pPr>
      <w:r>
        <w:t xml:space="preserve">HLO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447</w:t>
            </w:r>
          </w:p>
        </w:tc>
        <w:tc>
          <w:tcPr/>
          <w:p>
            <w:pPr>
              <w:pStyle w:val="Compact"/>
              <w:jc w:val="right"/>
            </w:pPr>
            <w:r>
              <w:t xml:space="preserve">-5.1885</w:t>
            </w:r>
          </w:p>
        </w:tc>
        <w:tc>
          <w:tcPr/>
          <w:p>
            <w:pPr>
              <w:pStyle w:val="Compact"/>
              <w:jc w:val="right"/>
            </w:pPr>
            <w:r>
              <w:t xml:space="preserve">1.659</w:t>
            </w:r>
          </w:p>
        </w:tc>
        <w:tc>
          <w:tcPr/>
          <w:p>
            <w:pPr>
              <w:pStyle w:val="Compact"/>
              <w:jc w:val="right"/>
            </w:pPr>
            <w:r>
              <w:t xml:space="preserve">0.0019</w:t>
            </w:r>
          </w:p>
        </w:tc>
        <w:tc>
          <w:tcPr/>
          <w:p>
            <w:pPr>
              <w:pStyle w:val="Compact"/>
              <w:jc w:val="left"/>
            </w:pPr>
            <w:r>
              <w:t xml:space="preserve">***</w:t>
            </w:r>
          </w:p>
        </w:tc>
        <w:tc>
          <w:tcPr/>
          <w:p>
            <w:pPr>
              <w:pStyle w:val="Compact"/>
              <w:jc w:val="right"/>
            </w:pPr>
            <w:r>
              <w:t xml:space="preserve">47.53</w:t>
            </w:r>
          </w:p>
        </w:tc>
        <w:tc>
          <w:tcPr/>
          <w:p>
            <w:pPr>
              <w:pStyle w:val="Compact"/>
              <w:jc w:val="right"/>
            </w:pPr>
            <w:r>
              <w:t xml:space="preserve">15.59</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443</w:t>
            </w:r>
          </w:p>
        </w:tc>
        <w:tc>
          <w:tcPr/>
          <w:p>
            <w:pPr>
              <w:pStyle w:val="Compact"/>
              <w:jc w:val="right"/>
            </w:pPr>
            <w:r>
              <w:t xml:space="preserve">-1.8000</w:t>
            </w:r>
          </w:p>
        </w:tc>
        <w:tc>
          <w:tcPr/>
          <w:p>
            <w:pPr>
              <w:pStyle w:val="Compact"/>
              <w:jc w:val="right"/>
            </w:pPr>
            <w:r>
              <w:t xml:space="preserve">1.601</w:t>
            </w:r>
          </w:p>
        </w:tc>
        <w:tc>
          <w:tcPr/>
          <w:p>
            <w:pPr>
              <w:pStyle w:val="Compact"/>
              <w:jc w:val="right"/>
            </w:pPr>
            <w:r>
              <w:t xml:space="preserve">0.2615</w:t>
            </w:r>
          </w:p>
        </w:tc>
        <w:tc>
          <w:tcPr/>
          <w:p>
            <w:pPr>
              <w:pStyle w:val="Compact"/>
            </w:pPr>
          </w:p>
        </w:tc>
        <w:tc>
          <w:tcPr/>
          <w:p>
            <w:pPr>
              <w:pStyle w:val="Compact"/>
              <w:jc w:val="right"/>
            </w:pPr>
            <w:r>
              <w:t xml:space="preserve">38.44</w:t>
            </w:r>
          </w:p>
        </w:tc>
        <w:tc>
          <w:tcPr/>
          <w:p>
            <w:pPr>
              <w:pStyle w:val="Compact"/>
              <w:jc w:val="right"/>
            </w:pPr>
            <w:r>
              <w:t xml:space="preserve">15.64</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206</w:t>
            </w:r>
          </w:p>
        </w:tc>
        <w:tc>
          <w:tcPr/>
          <w:p>
            <w:pPr>
              <w:pStyle w:val="Compact"/>
              <w:jc w:val="right"/>
            </w:pPr>
            <w:r>
              <w:t xml:space="preserve">-0.5847</w:t>
            </w:r>
          </w:p>
        </w:tc>
        <w:tc>
          <w:tcPr/>
          <w:p>
            <w:pPr>
              <w:pStyle w:val="Compact"/>
              <w:jc w:val="right"/>
            </w:pPr>
            <w:r>
              <w:t xml:space="preserve">2.371</w:t>
            </w:r>
          </w:p>
        </w:tc>
        <w:tc>
          <w:tcPr/>
          <w:p>
            <w:pPr>
              <w:pStyle w:val="Compact"/>
              <w:jc w:val="right"/>
            </w:pPr>
            <w:r>
              <w:t xml:space="preserve">0.8056</w:t>
            </w:r>
          </w:p>
        </w:tc>
        <w:tc>
          <w:tcPr/>
          <w:p>
            <w:pPr>
              <w:pStyle w:val="Compact"/>
            </w:pPr>
          </w:p>
        </w:tc>
        <w:tc>
          <w:tcPr/>
          <w:p>
            <w:pPr>
              <w:pStyle w:val="Compact"/>
              <w:jc w:val="right"/>
            </w:pPr>
            <w:r>
              <w:t xml:space="preserve">37.28</w:t>
            </w:r>
          </w:p>
        </w:tc>
        <w:tc>
          <w:tcPr/>
          <w:p>
            <w:pPr>
              <w:pStyle w:val="Compact"/>
              <w:jc w:val="right"/>
            </w:pPr>
            <w:r>
              <w:t xml:space="preserve">18.63</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173</w:t>
            </w:r>
          </w:p>
        </w:tc>
        <w:tc>
          <w:tcPr/>
          <w:p>
            <w:pPr>
              <w:pStyle w:val="Compact"/>
              <w:jc w:val="right"/>
            </w:pPr>
            <w:r>
              <w:t xml:space="preserve">-2.7624</w:t>
            </w:r>
          </w:p>
        </w:tc>
        <w:tc>
          <w:tcPr/>
          <w:p>
            <w:pPr>
              <w:pStyle w:val="Compact"/>
              <w:jc w:val="right"/>
            </w:pPr>
            <w:r>
              <w:t xml:space="preserve">2.605</w:t>
            </w:r>
          </w:p>
        </w:tc>
        <w:tc>
          <w:tcPr/>
          <w:p>
            <w:pPr>
              <w:pStyle w:val="Compact"/>
              <w:jc w:val="right"/>
            </w:pPr>
            <w:r>
              <w:t xml:space="preserve">0.2909</w:t>
            </w:r>
          </w:p>
        </w:tc>
        <w:tc>
          <w:tcPr/>
          <w:p>
            <w:pPr>
              <w:pStyle w:val="Compact"/>
            </w:pPr>
          </w:p>
        </w:tc>
        <w:tc>
          <w:tcPr/>
          <w:p>
            <w:pPr>
              <w:pStyle w:val="Compact"/>
              <w:jc w:val="right"/>
            </w:pPr>
            <w:r>
              <w:t xml:space="preserve">36.77</w:t>
            </w:r>
          </w:p>
        </w:tc>
        <w:tc>
          <w:tcPr/>
          <w:p>
            <w:pPr>
              <w:pStyle w:val="Compact"/>
              <w:jc w:val="right"/>
            </w:pPr>
            <w:r>
              <w:t xml:space="preserve">19.47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173</w:t>
            </w:r>
          </w:p>
        </w:tc>
        <w:tc>
          <w:tcPr/>
          <w:p>
            <w:pPr>
              <w:pStyle w:val="Compact"/>
              <w:jc w:val="right"/>
            </w:pPr>
            <w:r>
              <w:t xml:space="preserve">-1.3224</w:t>
            </w:r>
          </w:p>
        </w:tc>
        <w:tc>
          <w:tcPr/>
          <w:p>
            <w:pPr>
              <w:pStyle w:val="Compact"/>
              <w:jc w:val="right"/>
            </w:pPr>
            <w:r>
              <w:t xml:space="preserve">2.679</w:t>
            </w:r>
          </w:p>
        </w:tc>
        <w:tc>
          <w:tcPr/>
          <w:p>
            <w:pPr>
              <w:pStyle w:val="Compact"/>
              <w:jc w:val="right"/>
            </w:pPr>
            <w:r>
              <w:t xml:space="preserve">0.6225</w:t>
            </w:r>
          </w:p>
        </w:tc>
        <w:tc>
          <w:tcPr/>
          <w:p>
            <w:pPr>
              <w:pStyle w:val="Compact"/>
            </w:pPr>
          </w:p>
        </w:tc>
        <w:tc>
          <w:tcPr/>
          <w:p>
            <w:pPr>
              <w:pStyle w:val="Compact"/>
              <w:jc w:val="right"/>
            </w:pPr>
            <w:r>
              <w:t xml:space="preserve">37.05</w:t>
            </w:r>
          </w:p>
        </w:tc>
        <w:tc>
          <w:tcPr/>
          <w:p>
            <w:pPr>
              <w:pStyle w:val="Compact"/>
              <w:jc w:val="right"/>
            </w:pPr>
            <w:r>
              <w:t xml:space="preserve">18.95</w:t>
            </w:r>
          </w:p>
        </w:tc>
        <w:tc>
          <w:tcPr/>
          <w:p>
            <w:pPr>
              <w:pStyle w:val="Compact"/>
              <w:jc w:val="left"/>
            </w:pPr>
            <w:r>
              <w:t xml:space="preserve">FALSE</w:t>
            </w:r>
          </w:p>
        </w:tc>
      </w:tr>
    </w:tbl>
    <w:bookmarkEnd w:id="97"/>
    <w:bookmarkStart w:id="98" w:name="lays-outcome"/>
    <w:p>
      <w:pPr>
        <w:pStyle w:val="Heading5"/>
      </w:pPr>
      <w:r>
        <w:t xml:space="preserve">LAYS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443</w:t>
            </w:r>
          </w:p>
        </w:tc>
        <w:tc>
          <w:tcPr/>
          <w:p>
            <w:pPr>
              <w:pStyle w:val="Compact"/>
              <w:jc w:val="right"/>
            </w:pPr>
            <w:r>
              <w:t xml:space="preserve">-0.0892</w:t>
            </w:r>
          </w:p>
        </w:tc>
        <w:tc>
          <w:tcPr/>
          <w:p>
            <w:pPr>
              <w:pStyle w:val="Compact"/>
              <w:jc w:val="right"/>
            </w:pPr>
            <w:r>
              <w:t xml:space="preserve">0.0466</w:t>
            </w:r>
          </w:p>
        </w:tc>
        <w:tc>
          <w:tcPr/>
          <w:p>
            <w:pPr>
              <w:pStyle w:val="Compact"/>
              <w:jc w:val="right"/>
            </w:pPr>
            <w:r>
              <w:t xml:space="preserve">0.0566</w:t>
            </w:r>
          </w:p>
        </w:tc>
        <w:tc>
          <w:tcPr/>
          <w:p>
            <w:pPr>
              <w:pStyle w:val="Compact"/>
              <w:jc w:val="left"/>
            </w:pPr>
            <w:r>
              <w:t xml:space="preserve">*</w:t>
            </w:r>
          </w:p>
        </w:tc>
        <w:tc>
          <w:tcPr/>
          <w:p>
            <w:pPr>
              <w:pStyle w:val="Compact"/>
              <w:jc w:val="right"/>
            </w:pPr>
            <w:r>
              <w:t xml:space="preserve">2.106</w:t>
            </w:r>
          </w:p>
        </w:tc>
        <w:tc>
          <w:tcPr/>
          <w:p>
            <w:pPr>
              <w:pStyle w:val="Compact"/>
              <w:jc w:val="right"/>
            </w:pPr>
            <w:r>
              <w:t xml:space="preserve">0.3494</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439</w:t>
            </w:r>
          </w:p>
        </w:tc>
        <w:tc>
          <w:tcPr/>
          <w:p>
            <w:pPr>
              <w:pStyle w:val="Compact"/>
              <w:jc w:val="right"/>
            </w:pPr>
            <w:r>
              <w:t xml:space="preserve">-0.0735</w:t>
            </w:r>
          </w:p>
        </w:tc>
        <w:tc>
          <w:tcPr/>
          <w:p>
            <w:pPr>
              <w:pStyle w:val="Compact"/>
              <w:jc w:val="right"/>
            </w:pPr>
            <w:r>
              <w:t xml:space="preserve">0.0444</w:t>
            </w:r>
          </w:p>
        </w:tc>
        <w:tc>
          <w:tcPr/>
          <w:p>
            <w:pPr>
              <w:pStyle w:val="Compact"/>
              <w:jc w:val="right"/>
            </w:pPr>
            <w:r>
              <w:t xml:space="preserve">0.0985</w:t>
            </w:r>
          </w:p>
        </w:tc>
        <w:tc>
          <w:tcPr/>
          <w:p>
            <w:pPr>
              <w:pStyle w:val="Compact"/>
              <w:jc w:val="left"/>
            </w:pPr>
            <w:r>
              <w:t xml:space="preserve">*</w:t>
            </w:r>
          </w:p>
        </w:tc>
        <w:tc>
          <w:tcPr/>
          <w:p>
            <w:pPr>
              <w:pStyle w:val="Compact"/>
              <w:jc w:val="right"/>
            </w:pPr>
            <w:r>
              <w:t xml:space="preserve">1.388</w:t>
            </w:r>
          </w:p>
        </w:tc>
        <w:tc>
          <w:tcPr/>
          <w:p>
            <w:pPr>
              <w:pStyle w:val="Compact"/>
              <w:jc w:val="right"/>
            </w:pPr>
            <w:r>
              <w:t xml:space="preserve">0.3701</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204</w:t>
            </w:r>
          </w:p>
        </w:tc>
        <w:tc>
          <w:tcPr/>
          <w:p>
            <w:pPr>
              <w:pStyle w:val="Compact"/>
              <w:jc w:val="right"/>
            </w:pPr>
            <w:r>
              <w:t xml:space="preserve">0.0318</w:t>
            </w:r>
          </w:p>
        </w:tc>
        <w:tc>
          <w:tcPr/>
          <w:p>
            <w:pPr>
              <w:pStyle w:val="Compact"/>
              <w:jc w:val="right"/>
            </w:pPr>
            <w:r>
              <w:t xml:space="preserve">0.0672</w:t>
            </w:r>
          </w:p>
        </w:tc>
        <w:tc>
          <w:tcPr/>
          <w:p>
            <w:pPr>
              <w:pStyle w:val="Compact"/>
              <w:jc w:val="right"/>
            </w:pPr>
            <w:r>
              <w:t xml:space="preserve">0.6367</w:t>
            </w:r>
          </w:p>
        </w:tc>
        <w:tc>
          <w:tcPr/>
          <w:p>
            <w:pPr>
              <w:pStyle w:val="Compact"/>
            </w:pPr>
          </w:p>
        </w:tc>
        <w:tc>
          <w:tcPr/>
          <w:p>
            <w:pPr>
              <w:pStyle w:val="Compact"/>
              <w:jc w:val="right"/>
            </w:pPr>
            <w:r>
              <w:t xml:space="preserve">1.214</w:t>
            </w:r>
          </w:p>
        </w:tc>
        <w:tc>
          <w:tcPr/>
          <w:p>
            <w:pPr>
              <w:pStyle w:val="Compact"/>
              <w:jc w:val="right"/>
            </w:pPr>
            <w:r>
              <w:t xml:space="preserve">0.4129</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171</w:t>
            </w:r>
          </w:p>
        </w:tc>
        <w:tc>
          <w:tcPr/>
          <w:p>
            <w:pPr>
              <w:pStyle w:val="Compact"/>
              <w:jc w:val="right"/>
            </w:pPr>
            <w:r>
              <w:t xml:space="preserve">0.0003</w:t>
            </w:r>
          </w:p>
        </w:tc>
        <w:tc>
          <w:tcPr/>
          <w:p>
            <w:pPr>
              <w:pStyle w:val="Compact"/>
              <w:jc w:val="right"/>
            </w:pPr>
            <w:r>
              <w:t xml:space="preserve">0.0734</w:t>
            </w:r>
          </w:p>
        </w:tc>
        <w:tc>
          <w:tcPr/>
          <w:p>
            <w:pPr>
              <w:pStyle w:val="Compact"/>
              <w:jc w:val="right"/>
            </w:pPr>
            <w:r>
              <w:t xml:space="preserve">0.9965</w:t>
            </w:r>
          </w:p>
        </w:tc>
        <w:tc>
          <w:tcPr/>
          <w:p>
            <w:pPr>
              <w:pStyle w:val="Compact"/>
            </w:pPr>
          </w:p>
        </w:tc>
        <w:tc>
          <w:tcPr/>
          <w:p>
            <w:pPr>
              <w:pStyle w:val="Compact"/>
              <w:jc w:val="right"/>
            </w:pPr>
            <w:r>
              <w:t xml:space="preserve">1.197</w:t>
            </w:r>
          </w:p>
        </w:tc>
        <w:tc>
          <w:tcPr/>
          <w:p>
            <w:pPr>
              <w:pStyle w:val="Compact"/>
              <w:jc w:val="right"/>
            </w:pPr>
            <w:r>
              <w:t xml:space="preserve">0.4107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171</w:t>
            </w:r>
          </w:p>
        </w:tc>
        <w:tc>
          <w:tcPr/>
          <w:p>
            <w:pPr>
              <w:pStyle w:val="Compact"/>
              <w:jc w:val="right"/>
            </w:pPr>
            <w:r>
              <w:t xml:space="preserve">0.0641</w:t>
            </w:r>
          </w:p>
        </w:tc>
        <w:tc>
          <w:tcPr/>
          <w:p>
            <w:pPr>
              <w:pStyle w:val="Compact"/>
              <w:jc w:val="right"/>
            </w:pPr>
            <w:r>
              <w:t xml:space="preserve">0.0739</w:t>
            </w:r>
          </w:p>
        </w:tc>
        <w:tc>
          <w:tcPr/>
          <w:p>
            <w:pPr>
              <w:pStyle w:val="Compact"/>
              <w:jc w:val="right"/>
            </w:pPr>
            <w:r>
              <w:t xml:space="preserve">0.3874</w:t>
            </w:r>
          </w:p>
        </w:tc>
        <w:tc>
          <w:tcPr/>
          <w:p>
            <w:pPr>
              <w:pStyle w:val="Compact"/>
            </w:pPr>
          </w:p>
        </w:tc>
        <w:tc>
          <w:tcPr/>
          <w:p>
            <w:pPr>
              <w:pStyle w:val="Compact"/>
              <w:jc w:val="right"/>
            </w:pPr>
            <w:r>
              <w:t xml:space="preserve">1.214</w:t>
            </w:r>
          </w:p>
        </w:tc>
        <w:tc>
          <w:tcPr/>
          <w:p>
            <w:pPr>
              <w:pStyle w:val="Compact"/>
              <w:jc w:val="right"/>
            </w:pPr>
            <w:r>
              <w:t xml:space="preserve">0.3790</w:t>
            </w:r>
          </w:p>
        </w:tc>
        <w:tc>
          <w:tcPr/>
          <w:p>
            <w:pPr>
              <w:pStyle w:val="Compact"/>
              <w:jc w:val="left"/>
            </w:pPr>
            <w:r>
              <w:t xml:space="preserve">FALSE</w:t>
            </w:r>
          </w:p>
        </w:tc>
      </w:tr>
    </w:tbl>
    <w:bookmarkEnd w:id="98"/>
    <w:bookmarkEnd w:id="99"/>
    <w:bookmarkEnd w:id="100"/>
    <w:bookmarkStart w:id="104" w:name="Xdb1073f622566259b028499f80dd4b0337b8c8b"/>
    <w:p>
      <w:pPr>
        <w:pStyle w:val="Heading2"/>
      </w:pPr>
      <w:r>
        <w:t xml:space="preserve">A.5 Model 5 counterfactual — full 9-scenario grid with LAYS p10/p50/p90 fan</w:t>
      </w:r>
    </w:p>
    <w:bookmarkStart w:id="103" w:name="X17f76f61b8a53bc77436b1276f69a71e3bf5903"/>
    <w:p>
      <w:pPr>
        <w:pStyle w:val="Heading4"/>
      </w:pPr>
      <w:r>
        <w:t xml:space="preserve">Model 5 — Counterfactual (within-support headline scenarios)</w:t>
      </w:r>
    </w:p>
    <w:p>
      <w:pPr>
        <w:pStyle w:val="FirstParagraph"/>
      </w:pPr>
      <w:r>
        <w:rPr>
          <w:b/>
          <w:bCs/>
        </w:rPr>
        <w:t xml:space="preserve">Source:</w:t>
      </w:r>
      <w:r>
        <w:t xml:space="preserve"> </w:t>
      </w:r>
      <w:r>
        <w:t xml:space="preserve">locked Model 2 spec 2e (HLO outcome, two-way FE country + year, country-clustered SE). β =</w:t>
      </w:r>
      <w:r>
        <w:t xml:space="preserve"> </w:t>
      </w:r>
      <w:r>
        <w:t xml:space="preserve">11.1360 (SE 5.5180, N = 143). 95% CI = [0.3207, 21.9513].</w:t>
      </w:r>
    </w:p>
    <w:p>
      <w:pPr>
        <w:pStyle w:val="BodyText"/>
      </w:pPr>
      <w:r>
        <w:rPr>
          <w:b/>
          <w:bCs/>
        </w:rPr>
        <w:t xml:space="preserve">Baseline:</w:t>
      </w:r>
      <w:r>
        <w:t xml:space="preserve"> </w:t>
      </w:r>
      <w:r>
        <w:t xml:space="preserve">median annual CRS disbursement (MA3-lag1, constant USD millions) across the Model 2 estimation sample =</w:t>
      </w:r>
      <w:r>
        <w:t xml:space="preserve"> </w:t>
      </w:r>
      <w:r>
        <w:rPr>
          <w:b/>
          <w:bCs/>
        </w:rPr>
        <w:t xml:space="preserve">$59.7M</w:t>
      </w:r>
      <w:r>
        <w:t xml:space="preserve">. Q1 = $23.7M; Q3 = $123.7M.</w:t>
      </w:r>
    </w:p>
    <w:p>
      <w:pPr>
        <w:pStyle w:val="BodyText"/>
      </w:pPr>
      <w:r>
        <w:rPr>
          <w:b/>
          <w:bCs/>
        </w:rPr>
        <w:t xml:space="preserve">Shocks:</w:t>
      </w:r>
      <w:r>
        <w:t xml:space="preserve"> </w:t>
      </w:r>
      <w:r>
        <w:t xml:space="preserve">within-support percentage increases applied to the median country’s annual disbursement. These stay near the support of the within-country log-CRS variation Model 2 was estimated on; a literal $1B injection to a single country (~20-50× baseline) would be a wild extrapolation beyond that support — see ADR-0011 and the brief-bridge note below.</w:t>
      </w:r>
    </w:p>
    <w:p>
      <w:pPr>
        <w:pStyle w:val="BodyText"/>
      </w:pPr>
      <w:r>
        <w:rPr>
          <w:b/>
          <w:bCs/>
        </w:rPr>
        <w:t xml:space="preserve">LAYS translation</w:t>
      </w:r>
      <w:r>
        <w:t xml:space="preserve"> </w:t>
      </w:r>
      <w:r>
        <w:t xml:space="preserve">via the WB identity ΔLAYS = EYS × ΔHLO / 625, holding EYS constant. Implied-EYS percentiles on the estimation sample:</w:t>
      </w:r>
      <w:r>
        <w:t xml:space="preserve"> </w:t>
      </w:r>
      <w:r>
        <w:t xml:space="preserve">p10 = 7.25 yr; p50 = 11.57 yr; p90 = 13.18 yr.</w:t>
      </w:r>
    </w:p>
    <w:tbl>
      <w:tblPr>
        <w:tblStyle w:val="Table"/>
        <w:tblW w:type="pct" w:w="5000"/>
        <w:tblLayout w:type="fixed"/>
        <w:tblLook w:firstRow="1" w:lastRow="0" w:firstColumn="0" w:lastColumn="0" w:noHBand="0" w:noVBand="0" w:val="0020"/>
      </w:tblPr>
      <w:tblGrid>
        <w:gridCol w:w="923"/>
        <w:gridCol w:w="1603"/>
        <w:gridCol w:w="728"/>
        <w:gridCol w:w="583"/>
        <w:gridCol w:w="680"/>
        <w:gridCol w:w="534"/>
        <w:gridCol w:w="680"/>
        <w:gridCol w:w="728"/>
        <w:gridCol w:w="728"/>
        <w:gridCol w:w="728"/>
      </w:tblGrid>
      <w:tr>
        <w:trPr>
          <w:tblHeader w:val="on"/>
        </w:trPr>
        <w:tc>
          <w:tcPr/>
          <w:p>
            <w:pPr>
              <w:pStyle w:val="Compact"/>
              <w:jc w:val="left"/>
            </w:pPr>
            <w:r>
              <w:t xml:space="preserve">shock</w:t>
            </w:r>
          </w:p>
        </w:tc>
        <w:tc>
          <w:tcPr/>
          <w:p>
            <w:pPr>
              <w:pStyle w:val="Compact"/>
              <w:jc w:val="left"/>
            </w:pPr>
            <w:r>
              <w:t xml:space="preserve">scenario</w:t>
            </w:r>
          </w:p>
        </w:tc>
        <w:tc>
          <w:tcPr/>
          <w:p>
            <w:pPr>
              <w:pStyle w:val="Compact"/>
              <w:jc w:val="right"/>
            </w:pPr>
            <w:r>
              <w:t xml:space="preserve">baseline_usd_M</w:t>
            </w:r>
          </w:p>
        </w:tc>
        <w:tc>
          <w:tcPr/>
          <w:p>
            <w:pPr>
              <w:pStyle w:val="Compact"/>
              <w:jc w:val="right"/>
            </w:pPr>
            <w:r>
              <w:t xml:space="preserve">shock_usd_M</w:t>
            </w:r>
          </w:p>
        </w:tc>
        <w:tc>
          <w:tcPr/>
          <w:p>
            <w:pPr>
              <w:pStyle w:val="Compact"/>
              <w:jc w:val="right"/>
            </w:pPr>
            <w:r>
              <w:t xml:space="preserve">delta_log_crs</w:t>
            </w:r>
          </w:p>
        </w:tc>
        <w:tc>
          <w:tcPr/>
          <w:p>
            <w:pPr>
              <w:pStyle w:val="Compact"/>
              <w:jc w:val="right"/>
            </w:pPr>
            <w:r>
              <w:t xml:space="preserve">beta_value</w:t>
            </w:r>
          </w:p>
        </w:tc>
        <w:tc>
          <w:tcPr/>
          <w:p>
            <w:pPr>
              <w:pStyle w:val="Compact"/>
              <w:jc w:val="right"/>
            </w:pPr>
            <w:r>
              <w:t xml:space="preserve">delta_hlo_pts</w:t>
            </w:r>
          </w:p>
        </w:tc>
        <w:tc>
          <w:tcPr/>
          <w:p>
            <w:pPr>
              <w:pStyle w:val="Compact"/>
              <w:jc w:val="right"/>
            </w:pPr>
            <w:r>
              <w:t xml:space="preserve">delta_lays_p10</w:t>
            </w:r>
          </w:p>
        </w:tc>
        <w:tc>
          <w:tcPr/>
          <w:p>
            <w:pPr>
              <w:pStyle w:val="Compact"/>
              <w:jc w:val="right"/>
            </w:pPr>
            <w:r>
              <w:t xml:space="preserve">delta_lays_p50</w:t>
            </w:r>
          </w:p>
        </w:tc>
        <w:tc>
          <w:tcPr/>
          <w:p>
            <w:pPr>
              <w:pStyle w:val="Compact"/>
              <w:jc w:val="right"/>
            </w:pPr>
            <w:r>
              <w:t xml:space="preserve">delta_lays_p90</w:t>
            </w:r>
          </w:p>
        </w:tc>
      </w:tr>
      <w:tr>
        <w:tc>
          <w:tcPr/>
          <w:p>
            <w:pPr>
              <w:pStyle w:val="Compact"/>
              <w:jc w:val="left"/>
            </w:pPr>
            <w:r>
              <w:t xml:space="preserve">+10% (low-shock)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0.3207</w:t>
            </w:r>
          </w:p>
        </w:tc>
        <w:tc>
          <w:tcPr/>
          <w:p>
            <w:pPr>
              <w:pStyle w:val="Compact"/>
              <w:jc w:val="right"/>
            </w:pPr>
            <w:r>
              <w:t xml:space="preserve">0.030</w:t>
            </w:r>
          </w:p>
        </w:tc>
        <w:tc>
          <w:tcPr/>
          <w:p>
            <w:pPr>
              <w:pStyle w:val="Compact"/>
              <w:jc w:val="right"/>
            </w:pPr>
            <w:r>
              <w:t xml:space="preserve">0.0003</w:t>
            </w:r>
          </w:p>
        </w:tc>
        <w:tc>
          <w:tcPr/>
          <w:p>
            <w:pPr>
              <w:pStyle w:val="Compact"/>
              <w:jc w:val="right"/>
            </w:pPr>
            <w:r>
              <w:t xml:space="preserve">0.0006</w:t>
            </w:r>
          </w:p>
        </w:tc>
        <w:tc>
          <w:tcPr/>
          <w:p>
            <w:pPr>
              <w:pStyle w:val="Compact"/>
              <w:jc w:val="right"/>
            </w:pPr>
            <w:r>
              <w:t xml:space="preserve">0.0006</w:t>
            </w:r>
          </w:p>
        </w:tc>
      </w:tr>
      <w:tr>
        <w:tc>
          <w:tcPr/>
          <w:p>
            <w:pPr>
              <w:pStyle w:val="Compact"/>
              <w:jc w:val="left"/>
            </w:pPr>
            <w:r>
              <w:t xml:space="preserve">+10% (low-shock)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11.1360</w:t>
            </w:r>
          </w:p>
        </w:tc>
        <w:tc>
          <w:tcPr/>
          <w:p>
            <w:pPr>
              <w:pStyle w:val="Compact"/>
              <w:jc w:val="right"/>
            </w:pPr>
            <w:r>
              <w:t xml:space="preserve">1.045</w:t>
            </w:r>
          </w:p>
        </w:tc>
        <w:tc>
          <w:tcPr/>
          <w:p>
            <w:pPr>
              <w:pStyle w:val="Compact"/>
              <w:jc w:val="right"/>
            </w:pPr>
            <w:r>
              <w:t xml:space="preserve">0.0121</w:t>
            </w:r>
          </w:p>
        </w:tc>
        <w:tc>
          <w:tcPr/>
          <w:p>
            <w:pPr>
              <w:pStyle w:val="Compact"/>
              <w:jc w:val="right"/>
            </w:pPr>
            <w:r>
              <w:t xml:space="preserve">0.0193</w:t>
            </w:r>
          </w:p>
        </w:tc>
        <w:tc>
          <w:tcPr/>
          <w:p>
            <w:pPr>
              <w:pStyle w:val="Compact"/>
              <w:jc w:val="right"/>
            </w:pPr>
            <w:r>
              <w:t xml:space="preserve">0.0220</w:t>
            </w:r>
          </w:p>
        </w:tc>
      </w:tr>
      <w:tr>
        <w:tc>
          <w:tcPr/>
          <w:p>
            <w:pPr>
              <w:pStyle w:val="Compact"/>
              <w:jc w:val="left"/>
            </w:pPr>
            <w:r>
              <w:t xml:space="preserve">+10% (low-shock)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21.9513</w:t>
            </w:r>
          </w:p>
        </w:tc>
        <w:tc>
          <w:tcPr/>
          <w:p>
            <w:pPr>
              <w:pStyle w:val="Compact"/>
              <w:jc w:val="right"/>
            </w:pPr>
            <w:r>
              <w:t xml:space="preserve">2.059</w:t>
            </w:r>
          </w:p>
        </w:tc>
        <w:tc>
          <w:tcPr/>
          <w:p>
            <w:pPr>
              <w:pStyle w:val="Compact"/>
              <w:jc w:val="right"/>
            </w:pPr>
            <w:r>
              <w:t xml:space="preserve">0.0239</w:t>
            </w:r>
          </w:p>
        </w:tc>
        <w:tc>
          <w:tcPr/>
          <w:p>
            <w:pPr>
              <w:pStyle w:val="Compact"/>
              <w:jc w:val="right"/>
            </w:pPr>
            <w:r>
              <w:t xml:space="preserve">0.0381</w:t>
            </w:r>
          </w:p>
        </w:tc>
        <w:tc>
          <w:tcPr/>
          <w:p>
            <w:pPr>
              <w:pStyle w:val="Compact"/>
              <w:jc w:val="right"/>
            </w:pPr>
            <w:r>
              <w:t xml:space="preserve">0.0434</w:t>
            </w:r>
          </w:p>
        </w:tc>
      </w:tr>
      <w:tr>
        <w:tc>
          <w:tcPr/>
          <w:p>
            <w:pPr>
              <w:pStyle w:val="Compact"/>
              <w:jc w:val="left"/>
            </w:pPr>
            <w:r>
              <w:t xml:space="preserve">+100% (high-shock)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0.3207</w:t>
            </w:r>
          </w:p>
        </w:tc>
        <w:tc>
          <w:tcPr/>
          <w:p>
            <w:pPr>
              <w:pStyle w:val="Compact"/>
              <w:jc w:val="right"/>
            </w:pPr>
            <w:r>
              <w:t xml:space="preserve">0.220</w:t>
            </w:r>
          </w:p>
        </w:tc>
        <w:tc>
          <w:tcPr/>
          <w:p>
            <w:pPr>
              <w:pStyle w:val="Compact"/>
              <w:jc w:val="right"/>
            </w:pPr>
            <w:r>
              <w:t xml:space="preserve">0.0025</w:t>
            </w:r>
          </w:p>
        </w:tc>
        <w:tc>
          <w:tcPr/>
          <w:p>
            <w:pPr>
              <w:pStyle w:val="Compact"/>
              <w:jc w:val="right"/>
            </w:pPr>
            <w:r>
              <w:t xml:space="preserve">0.0041</w:t>
            </w:r>
          </w:p>
        </w:tc>
        <w:tc>
          <w:tcPr/>
          <w:p>
            <w:pPr>
              <w:pStyle w:val="Compact"/>
              <w:jc w:val="right"/>
            </w:pPr>
            <w:r>
              <w:t xml:space="preserve">0.0046</w:t>
            </w:r>
          </w:p>
        </w:tc>
      </w:tr>
      <w:tr>
        <w:tc>
          <w:tcPr/>
          <w:p>
            <w:pPr>
              <w:pStyle w:val="Compact"/>
              <w:jc w:val="left"/>
            </w:pPr>
            <w:r>
              <w:t xml:space="preserve">+100% (high-shock)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11.1360</w:t>
            </w:r>
          </w:p>
        </w:tc>
        <w:tc>
          <w:tcPr/>
          <w:p>
            <w:pPr>
              <w:pStyle w:val="Compact"/>
              <w:jc w:val="right"/>
            </w:pPr>
            <w:r>
              <w:t xml:space="preserve">7.627</w:t>
            </w:r>
          </w:p>
        </w:tc>
        <w:tc>
          <w:tcPr/>
          <w:p>
            <w:pPr>
              <w:pStyle w:val="Compact"/>
              <w:jc w:val="right"/>
            </w:pPr>
            <w:r>
              <w:t xml:space="preserve">0.0885</w:t>
            </w:r>
          </w:p>
        </w:tc>
        <w:tc>
          <w:tcPr/>
          <w:p>
            <w:pPr>
              <w:pStyle w:val="Compact"/>
              <w:jc w:val="right"/>
            </w:pPr>
            <w:r>
              <w:t xml:space="preserve">0.1412</w:t>
            </w:r>
          </w:p>
        </w:tc>
        <w:tc>
          <w:tcPr/>
          <w:p>
            <w:pPr>
              <w:pStyle w:val="Compact"/>
              <w:jc w:val="right"/>
            </w:pPr>
            <w:r>
              <w:t xml:space="preserve">0.1609</w:t>
            </w:r>
          </w:p>
        </w:tc>
      </w:tr>
      <w:tr>
        <w:tc>
          <w:tcPr/>
          <w:p>
            <w:pPr>
              <w:pStyle w:val="Compact"/>
              <w:jc w:val="left"/>
            </w:pPr>
            <w:r>
              <w:t xml:space="preserve">+100% (high-shock)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21.9513</w:t>
            </w:r>
          </w:p>
        </w:tc>
        <w:tc>
          <w:tcPr/>
          <w:p>
            <w:pPr>
              <w:pStyle w:val="Compact"/>
              <w:jc w:val="right"/>
            </w:pPr>
            <w:r>
              <w:t xml:space="preserve">15.034</w:t>
            </w:r>
          </w:p>
        </w:tc>
        <w:tc>
          <w:tcPr/>
          <w:p>
            <w:pPr>
              <w:pStyle w:val="Compact"/>
              <w:jc w:val="right"/>
            </w:pPr>
            <w:r>
              <w:t xml:space="preserve">0.1744</w:t>
            </w:r>
          </w:p>
        </w:tc>
        <w:tc>
          <w:tcPr/>
          <w:p>
            <w:pPr>
              <w:pStyle w:val="Compact"/>
              <w:jc w:val="right"/>
            </w:pPr>
            <w:r>
              <w:t xml:space="preserve">0.2783</w:t>
            </w:r>
          </w:p>
        </w:tc>
        <w:tc>
          <w:tcPr/>
          <w:p>
            <w:pPr>
              <w:pStyle w:val="Compact"/>
              <w:jc w:val="right"/>
            </w:pPr>
            <w:r>
              <w:t xml:space="preserve">0.3171</w:t>
            </w:r>
          </w:p>
        </w:tc>
      </w:tr>
      <w:tr>
        <w:tc>
          <w:tcPr/>
          <w:p>
            <w:pPr>
              <w:pStyle w:val="Compact"/>
              <w:jc w:val="left"/>
            </w:pPr>
            <w:r>
              <w:t xml:space="preserve">+50% (mid-shock)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0.3207</w:t>
            </w:r>
          </w:p>
        </w:tc>
        <w:tc>
          <w:tcPr/>
          <w:p>
            <w:pPr>
              <w:pStyle w:val="Compact"/>
              <w:jc w:val="right"/>
            </w:pPr>
            <w:r>
              <w:t xml:space="preserve">0.128</w:t>
            </w:r>
          </w:p>
        </w:tc>
        <w:tc>
          <w:tcPr/>
          <w:p>
            <w:pPr>
              <w:pStyle w:val="Compact"/>
              <w:jc w:val="right"/>
            </w:pPr>
            <w:r>
              <w:t xml:space="preserve">0.0015</w:t>
            </w:r>
          </w:p>
        </w:tc>
        <w:tc>
          <w:tcPr/>
          <w:p>
            <w:pPr>
              <w:pStyle w:val="Compact"/>
              <w:jc w:val="right"/>
            </w:pPr>
            <w:r>
              <w:t xml:space="preserve">0.0024</w:t>
            </w:r>
          </w:p>
        </w:tc>
        <w:tc>
          <w:tcPr/>
          <w:p>
            <w:pPr>
              <w:pStyle w:val="Compact"/>
              <w:jc w:val="right"/>
            </w:pPr>
            <w:r>
              <w:t xml:space="preserve">0.0027</w:t>
            </w:r>
          </w:p>
        </w:tc>
      </w:tr>
      <w:tr>
        <w:tc>
          <w:tcPr/>
          <w:p>
            <w:pPr>
              <w:pStyle w:val="Compact"/>
              <w:jc w:val="left"/>
            </w:pPr>
            <w:r>
              <w:t xml:space="preserve">+50% (mid-shock)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11.1360</w:t>
            </w:r>
          </w:p>
        </w:tc>
        <w:tc>
          <w:tcPr/>
          <w:p>
            <w:pPr>
              <w:pStyle w:val="Compact"/>
              <w:jc w:val="right"/>
            </w:pPr>
            <w:r>
              <w:t xml:space="preserve">4.454</w:t>
            </w:r>
          </w:p>
        </w:tc>
        <w:tc>
          <w:tcPr/>
          <w:p>
            <w:pPr>
              <w:pStyle w:val="Compact"/>
              <w:jc w:val="right"/>
            </w:pPr>
            <w:r>
              <w:t xml:space="preserve">0.0517</w:t>
            </w:r>
          </w:p>
        </w:tc>
        <w:tc>
          <w:tcPr/>
          <w:p>
            <w:pPr>
              <w:pStyle w:val="Compact"/>
              <w:jc w:val="right"/>
            </w:pPr>
            <w:r>
              <w:t xml:space="preserve">0.0824</w:t>
            </w:r>
          </w:p>
        </w:tc>
        <w:tc>
          <w:tcPr/>
          <w:p>
            <w:pPr>
              <w:pStyle w:val="Compact"/>
              <w:jc w:val="right"/>
            </w:pPr>
            <w:r>
              <w:t xml:space="preserve">0.0940</w:t>
            </w:r>
          </w:p>
        </w:tc>
      </w:tr>
      <w:tr>
        <w:tc>
          <w:tcPr/>
          <w:p>
            <w:pPr>
              <w:pStyle w:val="Compact"/>
              <w:jc w:val="left"/>
            </w:pPr>
            <w:r>
              <w:t xml:space="preserve">+50% (mid-shock)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21.9513</w:t>
            </w:r>
          </w:p>
        </w:tc>
        <w:tc>
          <w:tcPr/>
          <w:p>
            <w:pPr>
              <w:pStyle w:val="Compact"/>
              <w:jc w:val="right"/>
            </w:pPr>
            <w:r>
              <w:t xml:space="preserve">8.780</w:t>
            </w:r>
          </w:p>
        </w:tc>
        <w:tc>
          <w:tcPr/>
          <w:p>
            <w:pPr>
              <w:pStyle w:val="Compact"/>
              <w:jc w:val="right"/>
            </w:pPr>
            <w:r>
              <w:t xml:space="preserve">0.1019</w:t>
            </w:r>
          </w:p>
        </w:tc>
        <w:tc>
          <w:tcPr/>
          <w:p>
            <w:pPr>
              <w:pStyle w:val="Compact"/>
              <w:jc w:val="right"/>
            </w:pPr>
            <w:r>
              <w:t xml:space="preserve">0.1625</w:t>
            </w:r>
          </w:p>
        </w:tc>
        <w:tc>
          <w:tcPr/>
          <w:p>
            <w:pPr>
              <w:pStyle w:val="Compact"/>
              <w:jc w:val="right"/>
            </w:pPr>
            <w:r>
              <w:t xml:space="preserve">0.1852</w:t>
            </w:r>
          </w:p>
        </w:tc>
      </w:tr>
    </w:tbl>
    <w:bookmarkStart w:id="101" w:name="Xbe81d4d67411359f3c8e90e449809e789f90369"/>
    <w:p>
      <w:pPr>
        <w:pStyle w:val="Heading5"/>
      </w:pPr>
      <w:r>
        <w:t xml:space="preserve">Brief-bridge context: where does the brief’s $1B redirect land?</w:t>
      </w:r>
    </w:p>
    <w:p>
      <w:pPr>
        <w:pStyle w:val="FirstParagraph"/>
      </w:pPr>
      <w:r>
        <w:t xml:space="preserve">A $1B annual increase distributed across the 173-country Model 2 estimation sample =</w:t>
      </w:r>
      <w:r>
        <w:t xml:space="preserve"> </w:t>
      </w:r>
      <w:r>
        <w:rPr>
          <w:b/>
          <w:bCs/>
        </w:rPr>
        <w:t xml:space="preserve">$5.78M per country on average</w:t>
      </w:r>
      <w:r>
        <w:t xml:space="preserve">, which is</w:t>
      </w:r>
      <w:r>
        <w:t xml:space="preserve"> </w:t>
      </w:r>
      <w:r>
        <w:rPr>
          <w:b/>
          <w:bCs/>
        </w:rPr>
        <w:t xml:space="preserve">9.7%</w:t>
      </w:r>
      <w:r>
        <w:t xml:space="preserve"> </w:t>
      </w:r>
      <w:r>
        <w:t xml:space="preserve">of the median baseline ($59.7M) and</w:t>
      </w:r>
      <w:r>
        <w:t xml:space="preserve"> </w:t>
      </w:r>
      <w:r>
        <w:rPr>
          <w:b/>
          <w:bCs/>
        </w:rPr>
        <w:t xml:space="preserve">5.49%</w:t>
      </w:r>
      <w:r>
        <w:t xml:space="preserve"> </w:t>
      </w:r>
      <w:r>
        <w:t xml:space="preserve">of the sample’s total annual education aid ($18.2B). This lands in the low-shock band of the headline table; the brief’s $1B is</w:t>
      </w:r>
      <w:r>
        <w:t xml:space="preserve"> </w:t>
      </w:r>
      <w:r>
        <w:rPr>
          <w:i/>
          <w:iCs/>
        </w:rPr>
        <w:t xml:space="preserve">not</w:t>
      </w:r>
      <w:r>
        <w:t xml:space="preserve"> </w:t>
      </w:r>
      <w:r>
        <w:t xml:space="preserve">well-described by the highest-shock scenarios above. Applying the entire $1B to a single country would push that country 18× above its baseline — outside the data support Model 2 was identified on, and we do not project there.</w:t>
      </w:r>
    </w:p>
    <w:bookmarkEnd w:id="101"/>
    <w:bookmarkStart w:id="102" w:name="limits-acknowledged-per-adr-0011"/>
    <w:p>
      <w:pPr>
        <w:pStyle w:val="Heading5"/>
      </w:pPr>
      <w:r>
        <w:t xml:space="preserve">Limits acknowledged (per ADR-0011)</w:t>
      </w:r>
    </w:p>
    <w:p>
      <w:pPr>
        <w:pStyle w:val="Compact"/>
        <w:numPr>
          <w:ilvl w:val="0"/>
          <w:numId w:val="1003"/>
        </w:numPr>
      </w:pPr>
      <w:r>
        <w:rPr>
          <w:b/>
          <w:bCs/>
        </w:rPr>
        <w:t xml:space="preserve">Identification:</w:t>
      </w:r>
      <w:r>
        <w:t xml:space="preserve"> </w:t>
      </w:r>
      <w:r>
        <w:t xml:space="preserve">Model 2 is static FE on small-T (T_eff ≤ 4 HCI cycles per country); GMM unavailable (ADR-0010). β is identified within-country over time but does not preclude unmeasured time-varying confounding.</w:t>
      </w:r>
    </w:p>
    <w:p>
      <w:pPr>
        <w:pStyle w:val="Compact"/>
        <w:numPr>
          <w:ilvl w:val="0"/>
          <w:numId w:val="1003"/>
        </w:numPr>
      </w:pPr>
      <w:r>
        <w:rPr>
          <w:b/>
          <w:bCs/>
        </w:rPr>
        <w:t xml:space="preserve">Composition:</w:t>
      </w:r>
      <w:r>
        <w:t xml:space="preserve"> </w:t>
      </w:r>
      <w:r>
        <w:t xml:space="preserve">counterfactual is on aggregate CRS disbursement only. The brief’s input-vs-outcome typology question is unanswered (ADR-0007 Rejected; findings.md §5.5).</w:t>
      </w:r>
    </w:p>
    <w:p>
      <w:pPr>
        <w:pStyle w:val="Compact"/>
        <w:numPr>
          <w:ilvl w:val="0"/>
          <w:numId w:val="1003"/>
        </w:numPr>
      </w:pPr>
      <w:r>
        <w:rPr>
          <w:b/>
          <w:bCs/>
        </w:rPr>
        <w:t xml:space="preserve">Single-cycle marginal projection</w:t>
      </w:r>
      <w:r>
        <w:t xml:space="preserve"> </w:t>
      </w:r>
      <w:r>
        <w:t xml:space="preserve">(one HCI cycle ≈ 5 yr); no inter-temporal discounting; not a steady-state forecast.</w:t>
      </w:r>
    </w:p>
    <w:p>
      <w:pPr>
        <w:pStyle w:val="Compact"/>
        <w:numPr>
          <w:ilvl w:val="0"/>
          <w:numId w:val="1003"/>
        </w:numPr>
      </w:pPr>
      <w:r>
        <w:rPr>
          <w:b/>
          <w:bCs/>
        </w:rPr>
        <w:t xml:space="preserve">Plug-in CI propagation</w:t>
      </w:r>
      <w:r>
        <w:t xml:space="preserve"> </w:t>
      </w:r>
      <w:r>
        <w:t xml:space="preserve">on β only (does not propagate joint regressor covariance) — chosen as the honest match for the static-FE inference base; a full Monte Carlo would overreach.</w:t>
      </w:r>
    </w:p>
    <w:p>
      <w:pPr>
        <w:pStyle w:val="Compact"/>
        <w:numPr>
          <w:ilvl w:val="0"/>
          <w:numId w:val="1003"/>
        </w:numPr>
      </w:pPr>
      <w:r>
        <w:rPr>
          <w:b/>
          <w:bCs/>
        </w:rPr>
        <w:t xml:space="preserve">LAYS identity holds EYS constant</w:t>
      </w:r>
      <w:r>
        <w:t xml:space="preserve">, isolating the learning-quality channel; sensitivity to EYS across p10/p50/p90 is reported in-table.</w:t>
      </w:r>
    </w:p>
    <w:p>
      <w:pPr>
        <w:pStyle w:val="Compact"/>
        <w:numPr>
          <w:ilvl w:val="0"/>
          <w:numId w:val="1003"/>
        </w:numPr>
      </w:pPr>
      <w:r>
        <w:rPr>
          <w:b/>
          <w:bCs/>
        </w:rPr>
        <w:t xml:space="preserve">Implementation quality / political economy / absorptive capacity</w:t>
      </w:r>
      <w:r>
        <w:t xml:space="preserve"> </w:t>
      </w:r>
      <w:r>
        <w:t xml:space="preserve">caveats per brief §2.</w:t>
      </w:r>
    </w:p>
    <w:bookmarkEnd w:id="102"/>
    <w:bookmarkEnd w:id="103"/>
    <w:bookmarkEnd w:id="104"/>
    <w:bookmarkStart w:id="113" w:name="X305d8176d5d68cf37bd71c50e155cd9e2024ce1"/>
    <w:p>
      <w:pPr>
        <w:pStyle w:val="Heading2"/>
      </w:pPr>
      <w:r>
        <w:t xml:space="preserve">A.6 Compounding AI penalty — quadrant + robustness</w:t>
      </w:r>
    </w:p>
    <w:bookmarkStart w:id="110" w:name="X88c969b6a152c3ce198d70a24030b17d464e6f2"/>
    <w:p>
      <w:pPr>
        <w:pStyle w:val="Heading4"/>
      </w:pPr>
      <w:r>
        <w:t xml:space="preserve">Compounding AI penalty — quadrant counts (sample-median split)</w:t>
      </w:r>
    </w:p>
    <w:p>
      <w:pPr>
        <w:pStyle w:val="FirstParagraph"/>
      </w:pPr>
      <w:r>
        <w:rPr>
          <w:b/>
          <w:bCs/>
        </w:rPr>
        <w:t xml:space="preserve">Joined sample N = 132</w:t>
      </w:r>
      <w:r>
        <w:t xml:space="preserve"> </w:t>
      </w:r>
      <w:r>
        <w:t xml:space="preserve">(intersection of GARI 2025 195 countries × panel HCI-non-missing iso3 set).</w:t>
      </w:r>
      <w:r>
        <w:t xml:space="preserve"> </w:t>
      </w:r>
      <w:r>
        <w:rPr>
          <w:b/>
          <w:bCs/>
        </w:rPr>
        <w:t xml:space="preserve">Sample medians:</w:t>
      </w:r>
      <w:r>
        <w:t xml:space="preserve"> </w:t>
      </w:r>
      <w:r>
        <w:t xml:space="preserve">HCI = 0.5064; GARI_norm (GARI/100) = 0.3817.</w:t>
      </w:r>
      <w:r>
        <w:t xml:space="preserve"> </w:t>
      </w:r>
      <w:r>
        <w:rPr>
          <w:b/>
          <w:bCs/>
        </w:rPr>
        <w:t xml:space="preserve">HCI cycle distribution:</w:t>
      </w:r>
      <w:r>
        <w:t xml:space="preserve"> </w:t>
      </w:r>
      <w:r>
        <w:t xml:space="preserve">2020: 133 (latest non-missing per country).</w:t>
      </w:r>
    </w:p>
    <w:tbl>
      <w:tblPr>
        <w:tblStyle w:val="Table"/>
        <w:tblW w:type="pct" w:w="5000"/>
        <w:tblLayout w:type="fixed"/>
        <w:tblLook w:firstRow="1" w:lastRow="0" w:firstColumn="0" w:lastColumn="0" w:noHBand="0" w:noVBand="0" w:val="0020"/>
      </w:tblPr>
      <w:tblGrid>
        <w:gridCol w:w="2149"/>
        <w:gridCol w:w="1357"/>
        <w:gridCol w:w="1018"/>
        <w:gridCol w:w="1131"/>
        <w:gridCol w:w="1584"/>
        <w:gridCol w:w="678"/>
      </w:tblGrid>
      <w:tr>
        <w:trPr>
          <w:tblHeader w:val="on"/>
        </w:trPr>
        <w:tc>
          <w:tcPr/>
          <w:p>
            <w:pPr>
              <w:pStyle w:val="Compact"/>
              <w:jc w:val="left"/>
            </w:pPr>
            <w:r>
              <w:t xml:space="preserve">quadrant</w:t>
            </w:r>
          </w:p>
        </w:tc>
        <w:tc>
          <w:tcPr/>
          <w:p>
            <w:pPr>
              <w:pStyle w:val="Compact"/>
              <w:jc w:val="right"/>
            </w:pPr>
            <w:r>
              <w:t xml:space="preserve">n_countries</w:t>
            </w:r>
          </w:p>
        </w:tc>
        <w:tc>
          <w:tcPr/>
          <w:p>
            <w:pPr>
              <w:pStyle w:val="Compact"/>
              <w:jc w:val="right"/>
            </w:pPr>
            <w:r>
              <w:t xml:space="preserve">mean_hci</w:t>
            </w:r>
          </w:p>
        </w:tc>
        <w:tc>
          <w:tcPr/>
          <w:p>
            <w:pPr>
              <w:pStyle w:val="Compact"/>
              <w:jc w:val="right"/>
            </w:pPr>
            <w:r>
              <w:t xml:space="preserve">mean_gari</w:t>
            </w:r>
          </w:p>
        </w:tc>
        <w:tc>
          <w:tcPr/>
          <w:p>
            <w:pPr>
              <w:pStyle w:val="Compact"/>
              <w:jc w:val="right"/>
            </w:pPr>
            <w:r>
              <w:t xml:space="preserve">mean_compound</w:t>
            </w:r>
          </w:p>
        </w:tc>
        <w:tc>
          <w:tcPr/>
          <w:p>
            <w:pPr>
              <w:pStyle w:val="Compact"/>
              <w:jc w:val="right"/>
            </w:pPr>
            <w:r>
              <w:t xml:space="preserve">n_ssa</w:t>
            </w:r>
          </w:p>
        </w:tc>
      </w:tr>
      <w:tr>
        <w:tc>
          <w:tcPr/>
          <w:p>
            <w:pPr>
              <w:pStyle w:val="Compact"/>
              <w:jc w:val="left"/>
            </w:pPr>
            <w:r>
              <w:t xml:space="preserve">high_hci_high_gari</w:t>
            </w:r>
          </w:p>
        </w:tc>
        <w:tc>
          <w:tcPr/>
          <w:p>
            <w:pPr>
              <w:pStyle w:val="Compact"/>
              <w:jc w:val="right"/>
            </w:pPr>
            <w:r>
              <w:t xml:space="preserve">47</w:t>
            </w:r>
          </w:p>
        </w:tc>
        <w:tc>
          <w:tcPr/>
          <w:p>
            <w:pPr>
              <w:pStyle w:val="Compact"/>
              <w:jc w:val="right"/>
            </w:pPr>
            <w:r>
              <w:t xml:space="preserve">0.6196</w:t>
            </w:r>
          </w:p>
        </w:tc>
        <w:tc>
          <w:tcPr/>
          <w:p>
            <w:pPr>
              <w:pStyle w:val="Compact"/>
              <w:jc w:val="right"/>
            </w:pPr>
            <w:r>
              <w:t xml:space="preserve">0.5686</w:t>
            </w:r>
          </w:p>
        </w:tc>
        <w:tc>
          <w:tcPr/>
          <w:p>
            <w:pPr>
              <w:pStyle w:val="Compact"/>
              <w:jc w:val="right"/>
            </w:pPr>
            <w:r>
              <w:t xml:space="preserve">0.3566</w:t>
            </w:r>
          </w:p>
        </w:tc>
        <w:tc>
          <w:tcPr/>
          <w:p>
            <w:pPr>
              <w:pStyle w:val="Compact"/>
              <w:jc w:val="right"/>
            </w:pPr>
            <w:r>
              <w:t xml:space="preserve">2</w:t>
            </w:r>
          </w:p>
        </w:tc>
      </w:tr>
      <w:tr>
        <w:tc>
          <w:tcPr/>
          <w:p>
            <w:pPr>
              <w:pStyle w:val="Compact"/>
              <w:jc w:val="left"/>
            </w:pPr>
            <w:r>
              <w:t xml:space="preserve">low_hci_high_gari</w:t>
            </w:r>
          </w:p>
        </w:tc>
        <w:tc>
          <w:tcPr/>
          <w:p>
            <w:pPr>
              <w:pStyle w:val="Compact"/>
              <w:jc w:val="right"/>
            </w:pPr>
            <w:r>
              <w:t xml:space="preserve">19</w:t>
            </w:r>
          </w:p>
        </w:tc>
        <w:tc>
          <w:tcPr/>
          <w:p>
            <w:pPr>
              <w:pStyle w:val="Compact"/>
              <w:jc w:val="right"/>
            </w:pPr>
            <w:r>
              <w:t xml:space="preserve">0.4385</w:t>
            </w:r>
          </w:p>
        </w:tc>
        <w:tc>
          <w:tcPr/>
          <w:p>
            <w:pPr>
              <w:pStyle w:val="Compact"/>
              <w:jc w:val="right"/>
            </w:pPr>
            <w:r>
              <w:t xml:space="preserve">0.4842</w:t>
            </w:r>
          </w:p>
        </w:tc>
        <w:tc>
          <w:tcPr/>
          <w:p>
            <w:pPr>
              <w:pStyle w:val="Compact"/>
              <w:jc w:val="right"/>
            </w:pPr>
            <w:r>
              <w:t xml:space="preserve">0.2126</w:t>
            </w:r>
          </w:p>
        </w:tc>
        <w:tc>
          <w:tcPr/>
          <w:p>
            <w:pPr>
              <w:pStyle w:val="Compact"/>
              <w:jc w:val="right"/>
            </w:pPr>
            <w:r>
              <w:t xml:space="preserve">10</w:t>
            </w:r>
          </w:p>
        </w:tc>
      </w:tr>
      <w:tr>
        <w:tc>
          <w:tcPr/>
          <w:p>
            <w:pPr>
              <w:pStyle w:val="Compact"/>
              <w:jc w:val="left"/>
            </w:pPr>
            <w:r>
              <w:t xml:space="preserve">high_hci_low_gari</w:t>
            </w:r>
          </w:p>
        </w:tc>
        <w:tc>
          <w:tcPr/>
          <w:p>
            <w:pPr>
              <w:pStyle w:val="Compact"/>
              <w:jc w:val="right"/>
            </w:pPr>
            <w:r>
              <w:t xml:space="preserve">19</w:t>
            </w:r>
          </w:p>
        </w:tc>
        <w:tc>
          <w:tcPr/>
          <w:p>
            <w:pPr>
              <w:pStyle w:val="Compact"/>
              <w:jc w:val="right"/>
            </w:pPr>
            <w:r>
              <w:t xml:space="preserve">0.5709</w:t>
            </w:r>
          </w:p>
        </w:tc>
        <w:tc>
          <w:tcPr/>
          <w:p>
            <w:pPr>
              <w:pStyle w:val="Compact"/>
              <w:jc w:val="right"/>
            </w:pPr>
            <w:r>
              <w:t xml:space="preserve">0.2703</w:t>
            </w:r>
          </w:p>
        </w:tc>
        <w:tc>
          <w:tcPr/>
          <w:p>
            <w:pPr>
              <w:pStyle w:val="Compact"/>
              <w:jc w:val="right"/>
            </w:pPr>
            <w:r>
              <w:t xml:space="preserve">0.1545</w:t>
            </w:r>
          </w:p>
        </w:tc>
        <w:tc>
          <w:tcPr/>
          <w:p>
            <w:pPr>
              <w:pStyle w:val="Compact"/>
              <w:jc w:val="right"/>
            </w:pPr>
            <w:r>
              <w:t xml:space="preserve">1</w:t>
            </w:r>
          </w:p>
        </w:tc>
      </w:tr>
      <w:tr>
        <w:tc>
          <w:tcPr/>
          <w:p>
            <w:pPr>
              <w:pStyle w:val="Compact"/>
              <w:jc w:val="left"/>
            </w:pPr>
            <w:r>
              <w:t xml:space="preserve">low_hci_low_gari</w:t>
            </w:r>
          </w:p>
        </w:tc>
        <w:tc>
          <w:tcPr/>
          <w:p>
            <w:pPr>
              <w:pStyle w:val="Compact"/>
              <w:jc w:val="right"/>
            </w:pPr>
            <w:r>
              <w:t xml:space="preserve">47</w:t>
            </w:r>
          </w:p>
        </w:tc>
        <w:tc>
          <w:tcPr/>
          <w:p>
            <w:pPr>
              <w:pStyle w:val="Compact"/>
              <w:jc w:val="right"/>
            </w:pPr>
            <w:r>
              <w:t xml:space="preserve">0.4073</w:t>
            </w:r>
          </w:p>
        </w:tc>
        <w:tc>
          <w:tcPr/>
          <w:p>
            <w:pPr>
              <w:pStyle w:val="Compact"/>
              <w:jc w:val="right"/>
            </w:pPr>
            <w:r>
              <w:t xml:space="preserve">0.2383</w:t>
            </w:r>
          </w:p>
        </w:tc>
        <w:tc>
          <w:tcPr/>
          <w:p>
            <w:pPr>
              <w:pStyle w:val="Compact"/>
              <w:jc w:val="right"/>
            </w:pPr>
            <w:r>
              <w:t xml:space="preserve">0.0986</w:t>
            </w:r>
          </w:p>
        </w:tc>
        <w:tc>
          <w:tcPr/>
          <w:p>
            <w:pPr>
              <w:pStyle w:val="Compact"/>
              <w:jc w:val="right"/>
            </w:pPr>
            <w:r>
              <w:t xml:space="preserve">29</w:t>
            </w:r>
          </w:p>
        </w:tc>
      </w:tr>
    </w:tbl>
    <w:bookmarkStart w:id="109" w:name="country-lists-per-quadrant"/>
    <w:p>
      <w:pPr>
        <w:pStyle w:val="Heading5"/>
      </w:pPr>
      <w:r>
        <w:t xml:space="preserve">Country lists per quadrant</w:t>
      </w:r>
    </w:p>
    <w:bookmarkStart w:id="105" w:name="high_hci_high_gari-n-47-2-ssa"/>
    <w:p>
      <w:pPr>
        <w:pStyle w:val="Heading6"/>
      </w:pPr>
      <w:r>
        <w:t xml:space="preserve">high_hci_high_gari (N = 47, 2 SSA)</w:t>
      </w:r>
    </w:p>
    <w:p>
      <w:pPr>
        <w:pStyle w:val="FirstParagraph"/>
      </w:pPr>
      <w:r>
        <w:rPr>
          <w:rStyle w:val="VerbatimChar"/>
        </w:rPr>
        <w:t xml:space="preserve">ALB; ARG; ARM; AZE; BHR; BRA; BRN; CHL; CHN; COL; CRI; CYP; DZA; ECU; GEO; HRV; IDN; IRN; ISR; JAM; JOR; KAZ; KEN; KOR; KWT; LKA; MDA; MEX; MKD; MLT; MNE; MNG; MUS; MYS; OMN; PER; PHL; SAU; SGP; SLV; SRB; SVN; THA; TUN; UKR; URY; UZB</w:t>
      </w:r>
    </w:p>
    <w:bookmarkEnd w:id="105"/>
    <w:bookmarkStart w:id="106" w:name="low_hci_high_gari-n-19-10-ssa"/>
    <w:p>
      <w:pPr>
        <w:pStyle w:val="Heading6"/>
      </w:pPr>
      <w:r>
        <w:t xml:space="preserve">low_hci_high_gari (N = 19, 10 SSA)</w:t>
      </w:r>
    </w:p>
    <w:p>
      <w:pPr>
        <w:pStyle w:val="FirstParagraph"/>
      </w:pPr>
      <w:r>
        <w:rPr>
          <w:rStyle w:val="VerbatimChar"/>
        </w:rPr>
        <w:t xml:space="preserve">BEN; BGD; BTN; CIV; DOM; EGY; ETH; GHA; IND; MAR; NGA; NPL; PAK; PAN; RWA; SEN; TZA; ZAF; ZMB</w:t>
      </w:r>
    </w:p>
    <w:bookmarkEnd w:id="106"/>
    <w:bookmarkStart w:id="107" w:name="high_hci_low_gari-n-19-1-ssa"/>
    <w:p>
      <w:pPr>
        <w:pStyle w:val="Heading6"/>
      </w:pPr>
      <w:r>
        <w:t xml:space="preserve">high_hci_low_gari (N = 19, 1 SSA)</w:t>
      </w:r>
    </w:p>
    <w:p>
      <w:pPr>
        <w:pStyle w:val="FirstParagraph"/>
      </w:pPr>
      <w:r>
        <w:rPr>
          <w:rStyle w:val="VerbatimChar"/>
        </w:rPr>
        <w:t xml:space="preserve">ATG; BIH; BLR; DMA; FJI; GRD; KGZ; KNA; LBN; LCA; NIC; PLW; PRY; PSE; SYC; TON; TTO; VCT; WSM</w:t>
      </w:r>
    </w:p>
    <w:bookmarkEnd w:id="107"/>
    <w:bookmarkStart w:id="108" w:name="low_hci_low_gari-n-47-29-ssa"/>
    <w:p>
      <w:pPr>
        <w:pStyle w:val="Heading6"/>
      </w:pPr>
      <w:r>
        <w:t xml:space="preserve">low_hci_low_gari (N = 47, 29 SSA)</w:t>
      </w:r>
    </w:p>
    <w:p>
      <w:pPr>
        <w:pStyle w:val="FirstParagraph"/>
      </w:pPr>
      <w:r>
        <w:rPr>
          <w:rStyle w:val="VerbatimChar"/>
        </w:rPr>
        <w:t xml:space="preserve">AFG; AGO; BDI; BFA; BWA; CAF; CMR; COD; COG; COM; GAB; GIN; GMB; GTM; GUY; HND; HTI; IRQ; KHM; KIR; LAO; LBR; LSO; MDG; MHL; MLI; MMR; MOZ; MRT; MWI; NAM; NER; PNG; SDN; SLB; SLE; SSD; SWZ; TCD; TGO; TJK; TLS; TUV; UGA; VUT; YEM; ZWE</w:t>
      </w:r>
    </w:p>
    <w:bookmarkEnd w:id="108"/>
    <w:bookmarkEnd w:id="109"/>
    <w:bookmarkEnd w:id="110"/>
    <w:bookmarkStart w:id="112" w:name="compounding-ai-penalty-robustness-panel"/>
    <w:p>
      <w:pPr>
        <w:pStyle w:val="Heading4"/>
      </w:pPr>
      <w:r>
        <w:t xml:space="preserve">Compounding AI penalty — robustness panel</w:t>
      </w:r>
    </w:p>
    <w:p>
      <w:pPr>
        <w:pStyle w:val="FirstParagraph"/>
      </w:pPr>
      <w:r>
        <w:t xml:space="preserve">Three alternative specifications for the</w:t>
      </w:r>
      <w:r>
        <w:t xml:space="preserve"> </w:t>
      </w:r>
      <w:r>
        <w:t xml:space="preserve">‘double-excluded’</w:t>
      </w:r>
      <w:r>
        <w:t xml:space="preserve"> </w:t>
      </w:r>
      <w:r>
        <w:t xml:space="preserve">country set.</w:t>
      </w:r>
      <w:r>
        <w:t xml:space="preserve"> </w:t>
      </w:r>
      <w:r>
        <w:rPr>
          <w:rStyle w:val="VerbatimChar"/>
        </w:rPr>
        <w:t xml:space="preserve">jaccard_vs_headline</w:t>
      </w:r>
      <w:r>
        <w:t xml:space="preserve"> </w:t>
      </w:r>
      <w:r>
        <w:t xml:space="preserve">is the intersection-over-union of each set with the headline median-split set — closer to 1 means more stable.</w:t>
      </w:r>
    </w:p>
    <w:tbl>
      <w:tblPr>
        <w:tblStyle w:val="Table"/>
        <w:tblW w:type="pct" w:w="5000"/>
        <w:tblLayout w:type="fixed"/>
        <w:tblLook w:firstRow="1" w:lastRow="0" w:firstColumn="0" w:lastColumn="0" w:noHBand="0" w:noVBand="0" w:val="0020"/>
      </w:tblPr>
      <w:tblGrid>
        <w:gridCol w:w="4752"/>
        <w:gridCol w:w="1500"/>
        <w:gridCol w:w="1667"/>
      </w:tblGrid>
      <w:tr>
        <w:trPr>
          <w:tblHeader w:val="on"/>
        </w:trPr>
        <w:tc>
          <w:tcPr/>
          <w:p>
            <w:pPr>
              <w:pStyle w:val="Compact"/>
              <w:jc w:val="left"/>
            </w:pPr>
            <w:r>
              <w:t xml:space="preserve">specification</w:t>
            </w:r>
          </w:p>
        </w:tc>
        <w:tc>
          <w:tcPr/>
          <w:p>
            <w:pPr>
              <w:pStyle w:val="Compact"/>
              <w:jc w:val="right"/>
            </w:pPr>
            <w:r>
              <w:t xml:space="preserve">n_double_excluded</w:t>
            </w:r>
          </w:p>
        </w:tc>
        <w:tc>
          <w:tcPr/>
          <w:p>
            <w:pPr>
              <w:pStyle w:val="Compact"/>
              <w:jc w:val="right"/>
            </w:pPr>
            <w:r>
              <w:t xml:space="preserve">jaccard_vs_headline</w:t>
            </w:r>
          </w:p>
        </w:tc>
      </w:tr>
      <w:tr>
        <w:tc>
          <w:tcPr/>
          <w:p>
            <w:pPr>
              <w:pStyle w:val="Compact"/>
              <w:jc w:val="left"/>
            </w:pPr>
            <w:r>
              <w:t xml:space="preserve">Median-split (HEADLINE, N=132)</w:t>
            </w:r>
          </w:p>
        </w:tc>
        <w:tc>
          <w:tcPr/>
          <w:p>
            <w:pPr>
              <w:pStyle w:val="Compact"/>
              <w:jc w:val="right"/>
            </w:pPr>
            <w:r>
              <w:t xml:space="preserve">47</w:t>
            </w:r>
          </w:p>
        </w:tc>
        <w:tc>
          <w:tcPr/>
          <w:p>
            <w:pPr>
              <w:pStyle w:val="Compact"/>
              <w:jc w:val="right"/>
            </w:pPr>
            <w:r>
              <w:t xml:space="preserve">1.000</w:t>
            </w:r>
          </w:p>
        </w:tc>
      </w:tr>
      <w:tr>
        <w:tc>
          <w:tcPr/>
          <w:p>
            <w:pPr>
              <w:pStyle w:val="Compact"/>
              <w:jc w:val="left"/>
            </w:pPr>
            <w:r>
              <w:t xml:space="preserve">Tercile-split (N=132; double-excluded = low/low tercile)</w:t>
            </w:r>
          </w:p>
        </w:tc>
        <w:tc>
          <w:tcPr/>
          <w:p>
            <w:pPr>
              <w:pStyle w:val="Compact"/>
              <w:jc w:val="right"/>
            </w:pPr>
            <w:r>
              <w:t xml:space="preserve">25</w:t>
            </w:r>
          </w:p>
        </w:tc>
        <w:tc>
          <w:tcPr/>
          <w:p>
            <w:pPr>
              <w:pStyle w:val="Compact"/>
              <w:jc w:val="right"/>
            </w:pPr>
            <w:r>
              <w:t xml:space="preserve">0.532</w:t>
            </w:r>
          </w:p>
        </w:tc>
      </w:tr>
      <w:tr>
        <w:tc>
          <w:tcPr/>
          <w:p>
            <w:pPr>
              <w:pStyle w:val="Compact"/>
              <w:jc w:val="left"/>
            </w:pPr>
            <w:r>
              <w:t xml:space="preserve">HCI-2018-only median-split (N=126)</w:t>
            </w:r>
          </w:p>
        </w:tc>
        <w:tc>
          <w:tcPr/>
          <w:p>
            <w:pPr>
              <w:pStyle w:val="Compact"/>
              <w:jc w:val="right"/>
            </w:pPr>
            <w:r>
              <w:t xml:space="preserve">46</w:t>
            </w:r>
          </w:p>
        </w:tc>
        <w:tc>
          <w:tcPr/>
          <w:p>
            <w:pPr>
              <w:pStyle w:val="Compact"/>
              <w:jc w:val="right"/>
            </w:pPr>
            <w:r>
              <w:t xml:space="preserve">0.938</w:t>
            </w:r>
          </w:p>
        </w:tc>
      </w:tr>
    </w:tbl>
    <w:bookmarkStart w:id="111" w:name="country-sets-per-specification"/>
    <w:p>
      <w:pPr>
        <w:pStyle w:val="Heading5"/>
      </w:pPr>
      <w:r>
        <w:t xml:space="preserve">Country sets per specification</w:t>
      </w:r>
    </w:p>
    <w:p>
      <w:pPr>
        <w:pStyle w:val="FirstParagraph"/>
      </w:pPr>
      <w:r>
        <w:rPr>
          <w:b/>
          <w:bCs/>
        </w:rPr>
        <w:t xml:space="preserve">Median-split (headline):</w:t>
      </w:r>
      <w:r>
        <w:t xml:space="preserve"> </w:t>
      </w:r>
      <w:r>
        <w:rPr>
          <w:rStyle w:val="VerbatimChar"/>
        </w:rPr>
        <w:t xml:space="preserve">AFG; AGO; BDI; BFA; BWA; CAF; CMR; COD; COG; COM; GAB; GIN; GMB; GTM; GUY; HND; HTI; IRQ; KHM; KIR; LAO; LBR; LSO; MDG; MHL; MLI; MMR; MOZ; MRT; MWI; NAM; NER; PNG; SDN; SLB; SLE; SSD; SWZ; TCD; TGO; TJK; TLS; TUV; UGA; VUT; YEM; ZWE</w:t>
      </w:r>
    </w:p>
    <w:p>
      <w:pPr>
        <w:pStyle w:val="BodyText"/>
      </w:pPr>
      <w:r>
        <w:rPr>
          <w:b/>
          <w:bCs/>
        </w:rPr>
        <w:t xml:space="preserve">Tercile-split (low/low):</w:t>
      </w:r>
      <w:r>
        <w:t xml:space="preserve"> </w:t>
      </w:r>
      <w:r>
        <w:rPr>
          <w:rStyle w:val="VerbatimChar"/>
        </w:rPr>
        <w:t xml:space="preserve">AFG; AGO; BDI; CAF; COD; COG; COM; GIN; GMB; HTI; LBR; MDG; MHL; MLI; MOZ; MWI; NER; PNG; SDN; SLB; SLE; SSD; SWZ; TCD; YEM</w:t>
      </w:r>
    </w:p>
    <w:p>
      <w:pPr>
        <w:pStyle w:val="BodyText"/>
      </w:pPr>
      <w:r>
        <w:rPr>
          <w:b/>
          <w:bCs/>
        </w:rPr>
        <w:t xml:space="preserve">HCI-2018-only median-split:</w:t>
      </w:r>
      <w:r>
        <w:t xml:space="preserve"> </w:t>
      </w:r>
      <w:r>
        <w:rPr>
          <w:rStyle w:val="VerbatimChar"/>
        </w:rPr>
        <w:t xml:space="preserve">AFG; AGO; BDI; BFA; BWA; CMR; COD; COG; COM; GAB; GIN; GMB; GTM; GUY; HND; HTI; IRQ; KHM; KIR; LAO; LBR; LSO; MDG; MHL; MLI; MMR; MOZ; MRT; MWI; NAM; NER; NIC; PNG; SDN; SLB; SLE; SSD; SWZ; TCD; TGO; TLS; TUV; UGA; VUT; YEM; ZWE</w:t>
      </w:r>
    </w:p>
    <w:bookmarkEnd w:id="111"/>
    <w:bookmarkEnd w:id="112"/>
    <w:bookmarkEnd w:id="113"/>
    <w:bookmarkEnd w:id="114"/>
    <w:bookmarkStart w:id="138" w:name="appendix-b-robustness-checks"/>
    <w:p>
      <w:pPr>
        <w:pStyle w:val="Heading1"/>
      </w:pPr>
      <w:r>
        <w:t xml:space="preserve">Appendix B: Robustness checks</w:t>
      </w:r>
    </w:p>
    <w:p>
      <w:pPr>
        <w:pStyle w:val="FirstParagraph"/>
      </w:pPr>
      <w:r>
        <w:t xml:space="preserve">The pre-commitment framework treats the robustness exercises below as first-class methodological findings rather than caveats. The treatment-encoding grid (B.1) and the WGI operationalization variants (B.2) establish that the headline within-country coefficient is sign-stable across the encoding choices the literature has historically left unspecified. The China-aid robustness (B.3) confirms the OECD CRS coefficient is unmoved by adding parallel AidData GCDF flows. The HLO measure-fragility (B.4) and UIS-augmented listwise (B.5) document where the headline does not survive sign-agreement — material findings for what cross-country aid-learning panel evidence can rigorously claim at the current measurement frontier. The MCAR test (B.6) provides the empirical ground on which ADR-0012 retires the multiple-imputation robustness. The Dumitrescu-Hurlin Granger pre-test (B.7) documents the small-T limit that forecloses both the GMM remedy and the Granger pre-commit.</w:t>
      </w:r>
    </w:p>
    <w:bookmarkStart w:id="118" w:name="X5995b4ba02e1caed14466c58ae03c94db90a457"/>
    <w:p>
      <w:pPr>
        <w:pStyle w:val="Heading2"/>
      </w:pPr>
      <w:r>
        <w:t xml:space="preserve">B.1 Treatment-encoding sensitivity (16-cell grid; ADR-0005)</w:t>
      </w:r>
    </w:p>
    <w:bookmarkStart w:id="117" w:name="X582ec27df81f514d46a1fdd21120470b5955847"/>
    <w:p>
      <w:pPr>
        <w:pStyle w:val="Heading4"/>
      </w:pPr>
      <w:r>
        <w:t xml:space="preserve">Model 2 FE — Treatment-encoding sensitivity (ADR-0005 lock)</w:t>
      </w:r>
    </w:p>
    <w:p>
      <w:pPr>
        <w:pStyle w:val="FirstParagraph"/>
      </w:pPr>
      <w:r>
        <w:t xml:space="preserve">Within-country two-way FE (iso3 + year). Country-clustered SE. Controls: log(GDP/cap), PTR primary, ed_exp_%GDP, WGI gov effectiveness. Primary window 2010-2020.</w:t>
      </w:r>
    </w:p>
    <w:p>
      <w:pPr>
        <w:pStyle w:val="BodyText"/>
      </w:pPr>
      <w:r>
        <w:t xml:space="preserve">Treatment enters as</w:t>
      </w:r>
      <w:r>
        <w:t xml:space="preserve"> </w:t>
      </w:r>
      <w:r>
        <w:rPr>
          <w:rStyle w:val="VerbatimChar"/>
        </w:rPr>
        <w:t xml:space="preserve">log(1 + x)</w:t>
      </w:r>
      <w:r>
        <w:t xml:space="preserve">.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115" w:name="hlo-outcome-1"/>
    <w:p>
      <w:pPr>
        <w:pStyle w:val="Heading5"/>
      </w:pPr>
      <w:r>
        <w:t xml:space="preserve">HLO outcome</w:t>
      </w:r>
    </w:p>
    <w:tbl>
      <w:tblPr>
        <w:tblStyle w:val="Table"/>
        <w:tblW w:type="pct" w:w="5000"/>
        <w:tblLayout w:type="fixed"/>
        <w:tblLook w:firstRow="1" w:lastRow="0" w:firstColumn="0" w:lastColumn="0" w:noHBand="0" w:noVBand="0" w:val="0020"/>
      </w:tblPr>
      <w:tblGrid>
        <w:gridCol w:w="1003"/>
        <w:gridCol w:w="1115"/>
        <w:gridCol w:w="1115"/>
        <w:gridCol w:w="446"/>
        <w:gridCol w:w="780"/>
        <w:gridCol w:w="669"/>
        <w:gridCol w:w="892"/>
        <w:gridCol w:w="780"/>
        <w:gridCol w:w="1115"/>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-0.358</w:t>
            </w:r>
          </w:p>
        </w:tc>
        <w:tc>
          <w:tcPr/>
          <w:p>
            <w:pPr>
              <w:pStyle w:val="Compact"/>
              <w:jc w:val="right"/>
            </w:pPr>
            <w:r>
              <w:t xml:space="preserve">2.953</w:t>
            </w:r>
          </w:p>
        </w:tc>
        <w:tc>
          <w:tcPr/>
          <w:p>
            <w:pPr>
              <w:pStyle w:val="Compact"/>
              <w:jc w:val="right"/>
            </w:pPr>
            <w:r>
              <w:t xml:space="preserve">0.9038</w:t>
            </w:r>
          </w:p>
        </w:tc>
        <w:tc>
          <w:tcPr/>
          <w:p>
            <w:pPr>
              <w:pStyle w:val="Compact"/>
            </w:pPr>
          </w:p>
        </w:tc>
        <w:tc>
          <w:tcPr/>
          <w:p>
            <w:pPr>
              <w:pStyle w:val="Compact"/>
              <w:jc w:val="right"/>
            </w:pPr>
            <w:r>
              <w:t xml:space="preserve">0.1165</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-0.184</w:t>
            </w:r>
          </w:p>
        </w:tc>
        <w:tc>
          <w:tcPr/>
          <w:p>
            <w:pPr>
              <w:pStyle w:val="Compact"/>
              <w:jc w:val="right"/>
            </w:pPr>
            <w:r>
              <w:t xml:space="preserve">2.932</w:t>
            </w:r>
          </w:p>
        </w:tc>
        <w:tc>
          <w:tcPr/>
          <w:p>
            <w:pPr>
              <w:pStyle w:val="Compact"/>
              <w:jc w:val="right"/>
            </w:pPr>
            <w:r>
              <w:t xml:space="preserve">0.9503</w:t>
            </w:r>
          </w:p>
        </w:tc>
        <w:tc>
          <w:tcPr/>
          <w:p>
            <w:pPr>
              <w:pStyle w:val="Compact"/>
            </w:pPr>
          </w:p>
        </w:tc>
        <w:tc>
          <w:tcPr/>
          <w:p>
            <w:pPr>
              <w:pStyle w:val="Compact"/>
              <w:jc w:val="right"/>
            </w:pPr>
            <w:r>
              <w:t xml:space="preserve">0.1164</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3.230</w:t>
            </w:r>
          </w:p>
        </w:tc>
        <w:tc>
          <w:tcPr/>
          <w:p>
            <w:pPr>
              <w:pStyle w:val="Compact"/>
              <w:jc w:val="right"/>
            </w:pPr>
            <w:r>
              <w:t xml:space="preserve">1.939</w:t>
            </w:r>
          </w:p>
        </w:tc>
        <w:tc>
          <w:tcPr/>
          <w:p>
            <w:pPr>
              <w:pStyle w:val="Compact"/>
              <w:jc w:val="right"/>
            </w:pPr>
            <w:r>
              <w:t xml:space="preserve">0.1009</w:t>
            </w:r>
          </w:p>
        </w:tc>
        <w:tc>
          <w:tcPr/>
          <w:p>
            <w:pPr>
              <w:pStyle w:val="Compact"/>
            </w:pPr>
          </w:p>
        </w:tc>
        <w:tc>
          <w:tcPr/>
          <w:p>
            <w:pPr>
              <w:pStyle w:val="Compact"/>
              <w:jc w:val="right"/>
            </w:pPr>
            <w:r>
              <w:t xml:space="preserve">0.1301</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2.990</w:t>
            </w:r>
          </w:p>
        </w:tc>
        <w:tc>
          <w:tcPr/>
          <w:p>
            <w:pPr>
              <w:pStyle w:val="Compact"/>
              <w:jc w:val="right"/>
            </w:pPr>
            <w:r>
              <w:t xml:space="preserve">1.885</w:t>
            </w:r>
          </w:p>
        </w:tc>
        <w:tc>
          <w:tcPr/>
          <w:p>
            <w:pPr>
              <w:pStyle w:val="Compact"/>
              <w:jc w:val="right"/>
            </w:pPr>
            <w:r>
              <w:t xml:space="preserve">0.1178</w:t>
            </w:r>
          </w:p>
        </w:tc>
        <w:tc>
          <w:tcPr/>
          <w:p>
            <w:pPr>
              <w:pStyle w:val="Compact"/>
            </w:pPr>
          </w:p>
        </w:tc>
        <w:tc>
          <w:tcPr/>
          <w:p>
            <w:pPr>
              <w:pStyle w:val="Compact"/>
              <w:jc w:val="right"/>
            </w:pPr>
            <w:r>
              <w:t xml:space="preserve">0.1286</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9.881</w:t>
            </w:r>
          </w:p>
        </w:tc>
        <w:tc>
          <w:tcPr/>
          <w:p>
            <w:pPr>
              <w:pStyle w:val="Compact"/>
              <w:jc w:val="right"/>
            </w:pPr>
            <w:r>
              <w:t xml:space="preserve">4.213</w:t>
            </w:r>
          </w:p>
        </w:tc>
        <w:tc>
          <w:tcPr/>
          <w:p>
            <w:pPr>
              <w:pStyle w:val="Compact"/>
              <w:jc w:val="right"/>
            </w:pPr>
            <w:r>
              <w:t xml:space="preserve">0.0223</w:t>
            </w:r>
          </w:p>
        </w:tc>
        <w:tc>
          <w:tcPr/>
          <w:p>
            <w:pPr>
              <w:pStyle w:val="Compact"/>
              <w:jc w:val="left"/>
            </w:pPr>
            <w:r>
              <w:t xml:space="preserve">**</w:t>
            </w:r>
          </w:p>
        </w:tc>
        <w:tc>
          <w:tcPr/>
          <w:p>
            <w:pPr>
              <w:pStyle w:val="Compact"/>
              <w:jc w:val="right"/>
            </w:pPr>
            <w:r>
              <w:t xml:space="preserve">0.1574</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9.278</w:t>
            </w:r>
          </w:p>
        </w:tc>
        <w:tc>
          <w:tcPr/>
          <w:p>
            <w:pPr>
              <w:pStyle w:val="Compact"/>
              <w:jc w:val="right"/>
            </w:pPr>
            <w:r>
              <w:t xml:space="preserve">4.274</w:t>
            </w:r>
          </w:p>
        </w:tc>
        <w:tc>
          <w:tcPr/>
          <w:p>
            <w:pPr>
              <w:pStyle w:val="Compact"/>
              <w:jc w:val="right"/>
            </w:pPr>
            <w:r>
              <w:t xml:space="preserve">0.0339</w:t>
            </w:r>
          </w:p>
        </w:tc>
        <w:tc>
          <w:tcPr/>
          <w:p>
            <w:pPr>
              <w:pStyle w:val="Compact"/>
              <w:jc w:val="left"/>
            </w:pPr>
            <w:r>
              <w:t xml:space="preserve">**</w:t>
            </w:r>
          </w:p>
        </w:tc>
        <w:tc>
          <w:tcPr/>
          <w:p>
            <w:pPr>
              <w:pStyle w:val="Compact"/>
              <w:jc w:val="right"/>
            </w:pPr>
            <w:r>
              <w:t xml:space="preserve">0.1535</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12.750</w:t>
            </w:r>
          </w:p>
        </w:tc>
        <w:tc>
          <w:tcPr/>
          <w:p>
            <w:pPr>
              <w:pStyle w:val="Compact"/>
              <w:jc w:val="right"/>
            </w:pPr>
            <w:r>
              <w:t xml:space="preserve">4.643</w:t>
            </w:r>
          </w:p>
        </w:tc>
        <w:tc>
          <w:tcPr/>
          <w:p>
            <w:pPr>
              <w:pStyle w:val="Compact"/>
              <w:jc w:val="right"/>
            </w:pPr>
            <w:r>
              <w:t xml:space="preserve">0.0079</w:t>
            </w:r>
          </w:p>
        </w:tc>
        <w:tc>
          <w:tcPr/>
          <w:p>
            <w:pPr>
              <w:pStyle w:val="Compact"/>
              <w:jc w:val="left"/>
            </w:pPr>
            <w:r>
              <w:t xml:space="preserve">***</w:t>
            </w:r>
          </w:p>
        </w:tc>
        <w:tc>
          <w:tcPr/>
          <w:p>
            <w:pPr>
              <w:pStyle w:val="Compact"/>
              <w:jc w:val="right"/>
            </w:pPr>
            <w:r>
              <w:t xml:space="preserve">0.1816</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11.867</w:t>
            </w:r>
          </w:p>
        </w:tc>
        <w:tc>
          <w:tcPr/>
          <w:p>
            <w:pPr>
              <w:pStyle w:val="Compact"/>
              <w:jc w:val="right"/>
            </w:pPr>
            <w:r>
              <w:t xml:space="preserve">4.526</w:t>
            </w:r>
          </w:p>
        </w:tc>
        <w:tc>
          <w:tcPr/>
          <w:p>
            <w:pPr>
              <w:pStyle w:val="Compact"/>
              <w:jc w:val="right"/>
            </w:pPr>
            <w:r>
              <w:t xml:space="preserve">0.0111</w:t>
            </w:r>
          </w:p>
        </w:tc>
        <w:tc>
          <w:tcPr/>
          <w:p>
            <w:pPr>
              <w:pStyle w:val="Compact"/>
              <w:jc w:val="left"/>
            </w:pPr>
            <w:r>
              <w:t xml:space="preserve">**</w:t>
            </w:r>
          </w:p>
        </w:tc>
        <w:tc>
          <w:tcPr/>
          <w:p>
            <w:pPr>
              <w:pStyle w:val="Compact"/>
              <w:jc w:val="right"/>
            </w:pPr>
            <w:r>
              <w:t xml:space="preserve">0.1750</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8.273</w:t>
            </w:r>
          </w:p>
        </w:tc>
        <w:tc>
          <w:tcPr/>
          <w:p>
            <w:pPr>
              <w:pStyle w:val="Compact"/>
              <w:jc w:val="right"/>
            </w:pPr>
            <w:r>
              <w:t xml:space="preserve">2.851</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0.1465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8.202</w:t>
            </w:r>
          </w:p>
        </w:tc>
        <w:tc>
          <w:tcPr/>
          <w:p>
            <w:pPr>
              <w:pStyle w:val="Compact"/>
              <w:jc w:val="right"/>
            </w:pPr>
            <w:r>
              <w:t xml:space="preserve">2.696</w:t>
            </w:r>
          </w:p>
        </w:tc>
        <w:tc>
          <w:tcPr/>
          <w:p>
            <w:pPr>
              <w:pStyle w:val="Compact"/>
              <w:jc w:val="right"/>
            </w:pPr>
            <w:r>
              <w:t xml:space="preserve">0.0035</w:t>
            </w:r>
          </w:p>
        </w:tc>
        <w:tc>
          <w:tcPr/>
          <w:p>
            <w:pPr>
              <w:pStyle w:val="Compact"/>
              <w:jc w:val="left"/>
            </w:pPr>
            <w:r>
              <w:t xml:space="preserve">***</w:t>
            </w:r>
          </w:p>
        </w:tc>
        <w:tc>
          <w:tcPr/>
          <w:p>
            <w:pPr>
              <w:pStyle w:val="Compact"/>
              <w:jc w:val="right"/>
            </w:pPr>
            <w:r>
              <w:t xml:space="preserve">0.1472</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2.644</w:t>
            </w:r>
          </w:p>
        </w:tc>
        <w:tc>
          <w:tcPr/>
          <w:p>
            <w:pPr>
              <w:pStyle w:val="Compact"/>
              <w:jc w:val="right"/>
            </w:pPr>
            <w:r>
              <w:t xml:space="preserve">2.471</w:t>
            </w:r>
          </w:p>
        </w:tc>
        <w:tc>
          <w:tcPr/>
          <w:p>
            <w:pPr>
              <w:pStyle w:val="Compact"/>
              <w:jc w:val="right"/>
            </w:pPr>
            <w:r>
              <w:t xml:space="preserve">0.2888</w:t>
            </w:r>
          </w:p>
        </w:tc>
        <w:tc>
          <w:tcPr/>
          <w:p>
            <w:pPr>
              <w:pStyle w:val="Compact"/>
            </w:pPr>
          </w:p>
        </w:tc>
        <w:tc>
          <w:tcPr/>
          <w:p>
            <w:pPr>
              <w:pStyle w:val="Compact"/>
              <w:jc w:val="right"/>
            </w:pPr>
            <w:r>
              <w:t xml:space="preserve">0.1210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2.471</w:t>
            </w:r>
          </w:p>
        </w:tc>
        <w:tc>
          <w:tcPr/>
          <w:p>
            <w:pPr>
              <w:pStyle w:val="Compact"/>
              <w:jc w:val="right"/>
            </w:pPr>
            <w:r>
              <w:t xml:space="preserve">2.428</w:t>
            </w:r>
          </w:p>
        </w:tc>
        <w:tc>
          <w:tcPr/>
          <w:p>
            <w:pPr>
              <w:pStyle w:val="Compact"/>
              <w:jc w:val="right"/>
            </w:pPr>
            <w:r>
              <w:t xml:space="preserve">0.3128</w:t>
            </w:r>
          </w:p>
        </w:tc>
        <w:tc>
          <w:tcPr/>
          <w:p>
            <w:pPr>
              <w:pStyle w:val="Compact"/>
            </w:pPr>
          </w:p>
        </w:tc>
        <w:tc>
          <w:tcPr/>
          <w:p>
            <w:pPr>
              <w:pStyle w:val="Compact"/>
              <w:jc w:val="right"/>
            </w:pPr>
            <w:r>
              <w:t xml:space="preserve">0.1205</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11.442</w:t>
            </w:r>
          </w:p>
        </w:tc>
        <w:tc>
          <w:tcPr/>
          <w:p>
            <w:pPr>
              <w:pStyle w:val="Compact"/>
              <w:jc w:val="right"/>
            </w:pPr>
            <w:r>
              <w:t xml:space="preserve">3.943</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0.1560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10.947</w:t>
            </w:r>
          </w:p>
        </w:tc>
        <w:tc>
          <w:tcPr/>
          <w:p>
            <w:pPr>
              <w:pStyle w:val="Compact"/>
              <w:jc w:val="right"/>
            </w:pPr>
            <w:r>
              <w:t xml:space="preserve">3.595</w:t>
            </w:r>
          </w:p>
        </w:tc>
        <w:tc>
          <w:tcPr/>
          <w:p>
            <w:pPr>
              <w:pStyle w:val="Compact"/>
              <w:jc w:val="right"/>
            </w:pPr>
            <w:r>
              <w:t xml:space="preserve">0.0034</w:t>
            </w:r>
          </w:p>
        </w:tc>
        <w:tc>
          <w:tcPr/>
          <w:p>
            <w:pPr>
              <w:pStyle w:val="Compact"/>
              <w:jc w:val="left"/>
            </w:pPr>
            <w:r>
              <w:t xml:space="preserve">***</w:t>
            </w:r>
          </w:p>
        </w:tc>
        <w:tc>
          <w:tcPr/>
          <w:p>
            <w:pPr>
              <w:pStyle w:val="Compact"/>
              <w:jc w:val="right"/>
            </w:pPr>
            <w:r>
              <w:t xml:space="preserve">0.1541</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8.537</w:t>
            </w:r>
          </w:p>
        </w:tc>
        <w:tc>
          <w:tcPr/>
          <w:p>
            <w:pPr>
              <w:pStyle w:val="Compact"/>
              <w:jc w:val="right"/>
            </w:pPr>
            <w:r>
              <w:t xml:space="preserve">5.209</w:t>
            </w:r>
          </w:p>
        </w:tc>
        <w:tc>
          <w:tcPr/>
          <w:p>
            <w:pPr>
              <w:pStyle w:val="Compact"/>
              <w:jc w:val="right"/>
            </w:pPr>
            <w:r>
              <w:t xml:space="preserve">0.1065</w:t>
            </w:r>
          </w:p>
        </w:tc>
        <w:tc>
          <w:tcPr/>
          <w:p>
            <w:pPr>
              <w:pStyle w:val="Compact"/>
            </w:pPr>
          </w:p>
        </w:tc>
        <w:tc>
          <w:tcPr/>
          <w:p>
            <w:pPr>
              <w:pStyle w:val="Compact"/>
              <w:jc w:val="right"/>
            </w:pPr>
            <w:r>
              <w:t xml:space="preserve">0.1407</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bl>
    <w:bookmarkEnd w:id="115"/>
    <w:bookmarkStart w:id="116" w:name="lays-outcome-1"/>
    <w:p>
      <w:pPr>
        <w:pStyle w:val="Heading5"/>
      </w:pPr>
      <w:r>
        <w:t xml:space="preserve">LAYS outcome</w:t>
      </w:r>
    </w:p>
    <w:tbl>
      <w:tblPr>
        <w:tblStyle w:val="Table"/>
        <w:tblW w:type="pct" w:w="5000"/>
        <w:tblLayout w:type="fixed"/>
        <w:tblLook w:firstRow="1" w:lastRow="0" w:firstColumn="0" w:lastColumn="0" w:noHBand="0" w:noVBand="0" w:val="0020"/>
      </w:tblPr>
      <w:tblGrid>
        <w:gridCol w:w="1018"/>
        <w:gridCol w:w="1131"/>
        <w:gridCol w:w="1131"/>
        <w:gridCol w:w="452"/>
        <w:gridCol w:w="678"/>
        <w:gridCol w:w="678"/>
        <w:gridCol w:w="905"/>
        <w:gridCol w:w="792"/>
        <w:gridCol w:w="1131"/>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0.081</w:t>
            </w:r>
          </w:p>
        </w:tc>
        <w:tc>
          <w:tcPr/>
          <w:p>
            <w:pPr>
              <w:pStyle w:val="Compact"/>
              <w:jc w:val="right"/>
            </w:pPr>
            <w:r>
              <w:t xml:space="preserve">0.059</w:t>
            </w:r>
          </w:p>
        </w:tc>
        <w:tc>
          <w:tcPr/>
          <w:p>
            <w:pPr>
              <w:pStyle w:val="Compact"/>
              <w:jc w:val="right"/>
            </w:pPr>
            <w:r>
              <w:t xml:space="preserve">0.1739</w:t>
            </w:r>
          </w:p>
        </w:tc>
        <w:tc>
          <w:tcPr/>
          <w:p>
            <w:pPr>
              <w:pStyle w:val="Compact"/>
            </w:pPr>
          </w:p>
        </w:tc>
        <w:tc>
          <w:tcPr/>
          <w:p>
            <w:pPr>
              <w:pStyle w:val="Compact"/>
              <w:jc w:val="right"/>
            </w:pPr>
            <w:r>
              <w:t xml:space="preserve">0.2260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0.075</w:t>
            </w:r>
          </w:p>
        </w:tc>
        <w:tc>
          <w:tcPr/>
          <w:p>
            <w:pPr>
              <w:pStyle w:val="Compact"/>
              <w:jc w:val="right"/>
            </w:pPr>
            <w:r>
              <w:t xml:space="preserve">0.058</w:t>
            </w:r>
          </w:p>
        </w:tc>
        <w:tc>
          <w:tcPr/>
          <w:p>
            <w:pPr>
              <w:pStyle w:val="Compact"/>
              <w:jc w:val="right"/>
            </w:pPr>
            <w:r>
              <w:t xml:space="preserve">0.1966</w:t>
            </w:r>
          </w:p>
        </w:tc>
        <w:tc>
          <w:tcPr/>
          <w:p>
            <w:pPr>
              <w:pStyle w:val="Compact"/>
            </w:pPr>
          </w:p>
        </w:tc>
        <w:tc>
          <w:tcPr/>
          <w:p>
            <w:pPr>
              <w:pStyle w:val="Compact"/>
              <w:jc w:val="right"/>
            </w:pPr>
            <w:r>
              <w:t xml:space="preserve">0.2238</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0.029</w:t>
            </w:r>
          </w:p>
        </w:tc>
        <w:tc>
          <w:tcPr/>
          <w:p>
            <w:pPr>
              <w:pStyle w:val="Compact"/>
              <w:jc w:val="right"/>
            </w:pPr>
            <w:r>
              <w:t xml:space="preserve">0.048</w:t>
            </w:r>
          </w:p>
        </w:tc>
        <w:tc>
          <w:tcPr/>
          <w:p>
            <w:pPr>
              <w:pStyle w:val="Compact"/>
              <w:jc w:val="right"/>
            </w:pPr>
            <w:r>
              <w:t xml:space="preserve">0.5459</w:t>
            </w:r>
          </w:p>
        </w:tc>
        <w:tc>
          <w:tcPr/>
          <w:p>
            <w:pPr>
              <w:pStyle w:val="Compact"/>
            </w:pPr>
          </w:p>
        </w:tc>
        <w:tc>
          <w:tcPr/>
          <w:p>
            <w:pPr>
              <w:pStyle w:val="Compact"/>
              <w:jc w:val="right"/>
            </w:pPr>
            <w:r>
              <w:t xml:space="preserve">0.2113</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0.026</w:t>
            </w:r>
          </w:p>
        </w:tc>
        <w:tc>
          <w:tcPr/>
          <w:p>
            <w:pPr>
              <w:pStyle w:val="Compact"/>
              <w:jc w:val="right"/>
            </w:pPr>
            <w:r>
              <w:t xml:space="preserve">0.046</w:t>
            </w:r>
          </w:p>
        </w:tc>
        <w:tc>
          <w:tcPr/>
          <w:p>
            <w:pPr>
              <w:pStyle w:val="Compact"/>
              <w:jc w:val="right"/>
            </w:pPr>
            <w:r>
              <w:t xml:space="preserve">0.5735</w:t>
            </w:r>
          </w:p>
        </w:tc>
        <w:tc>
          <w:tcPr/>
          <w:p>
            <w:pPr>
              <w:pStyle w:val="Compact"/>
            </w:pPr>
          </w:p>
        </w:tc>
        <w:tc>
          <w:tcPr/>
          <w:p>
            <w:pPr>
              <w:pStyle w:val="Compact"/>
              <w:jc w:val="right"/>
            </w:pPr>
            <w:r>
              <w:t xml:space="preserve">0.2107</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0.255</w:t>
            </w:r>
          </w:p>
        </w:tc>
        <w:tc>
          <w:tcPr/>
          <w:p>
            <w:pPr>
              <w:pStyle w:val="Compact"/>
              <w:jc w:val="right"/>
            </w:pPr>
            <w:r>
              <w:t xml:space="preserve">0.081</w:t>
            </w:r>
          </w:p>
        </w:tc>
        <w:tc>
          <w:tcPr/>
          <w:p>
            <w:pPr>
              <w:pStyle w:val="Compact"/>
              <w:jc w:val="right"/>
            </w:pPr>
            <w:r>
              <w:t xml:space="preserve">0.0026</w:t>
            </w:r>
          </w:p>
        </w:tc>
        <w:tc>
          <w:tcPr/>
          <w:p>
            <w:pPr>
              <w:pStyle w:val="Compact"/>
              <w:jc w:val="left"/>
            </w:pPr>
            <w:r>
              <w:t xml:space="preserve">***</w:t>
            </w:r>
          </w:p>
        </w:tc>
        <w:tc>
          <w:tcPr/>
          <w:p>
            <w:pPr>
              <w:pStyle w:val="Compact"/>
              <w:jc w:val="right"/>
            </w:pPr>
            <w:r>
              <w:t xml:space="preserve">0.2870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0.237</w:t>
            </w:r>
          </w:p>
        </w:tc>
        <w:tc>
          <w:tcPr/>
          <w:p>
            <w:pPr>
              <w:pStyle w:val="Compact"/>
              <w:jc w:val="right"/>
            </w:pPr>
            <w:r>
              <w:t xml:space="preserve">0.080</w:t>
            </w:r>
          </w:p>
        </w:tc>
        <w:tc>
          <w:tcPr/>
          <w:p>
            <w:pPr>
              <w:pStyle w:val="Compact"/>
              <w:jc w:val="right"/>
            </w:pPr>
            <w:r>
              <w:t xml:space="preserve">0.0045</w:t>
            </w:r>
          </w:p>
        </w:tc>
        <w:tc>
          <w:tcPr/>
          <w:p>
            <w:pPr>
              <w:pStyle w:val="Compact"/>
              <w:jc w:val="left"/>
            </w:pPr>
            <w:r>
              <w:t xml:space="preserve">***</w:t>
            </w:r>
          </w:p>
        </w:tc>
        <w:tc>
          <w:tcPr/>
          <w:p>
            <w:pPr>
              <w:pStyle w:val="Compact"/>
              <w:jc w:val="right"/>
            </w:pPr>
            <w:r>
              <w:t xml:space="preserve">0.2783</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0.202</w:t>
            </w:r>
          </w:p>
        </w:tc>
        <w:tc>
          <w:tcPr/>
          <w:p>
            <w:pPr>
              <w:pStyle w:val="Compact"/>
              <w:jc w:val="right"/>
            </w:pPr>
            <w:r>
              <w:t xml:space="preserve">0.082</w:t>
            </w:r>
          </w:p>
        </w:tc>
        <w:tc>
          <w:tcPr/>
          <w:p>
            <w:pPr>
              <w:pStyle w:val="Compact"/>
              <w:jc w:val="right"/>
            </w:pPr>
            <w:r>
              <w:t xml:space="preserve">0.0167</w:t>
            </w:r>
          </w:p>
        </w:tc>
        <w:tc>
          <w:tcPr/>
          <w:p>
            <w:pPr>
              <w:pStyle w:val="Compact"/>
              <w:jc w:val="left"/>
            </w:pPr>
            <w:r>
              <w:t xml:space="preserve">**</w:t>
            </w:r>
          </w:p>
        </w:tc>
        <w:tc>
          <w:tcPr/>
          <w:p>
            <w:pPr>
              <w:pStyle w:val="Compact"/>
              <w:jc w:val="right"/>
            </w:pPr>
            <w:r>
              <w:t xml:space="preserve">0.2548</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0.190</w:t>
            </w:r>
          </w:p>
        </w:tc>
        <w:tc>
          <w:tcPr/>
          <w:p>
            <w:pPr>
              <w:pStyle w:val="Compact"/>
              <w:jc w:val="right"/>
            </w:pPr>
            <w:r>
              <w:t xml:space="preserve">0.079</w:t>
            </w:r>
          </w:p>
        </w:tc>
        <w:tc>
          <w:tcPr/>
          <w:p>
            <w:pPr>
              <w:pStyle w:val="Compact"/>
              <w:jc w:val="right"/>
            </w:pPr>
            <w:r>
              <w:t xml:space="preserve">0.0189</w:t>
            </w:r>
          </w:p>
        </w:tc>
        <w:tc>
          <w:tcPr/>
          <w:p>
            <w:pPr>
              <w:pStyle w:val="Compact"/>
              <w:jc w:val="left"/>
            </w:pPr>
            <w:r>
              <w:t xml:space="preserve">**</w:t>
            </w:r>
          </w:p>
        </w:tc>
        <w:tc>
          <w:tcPr/>
          <w:p>
            <w:pPr>
              <w:pStyle w:val="Compact"/>
              <w:jc w:val="right"/>
            </w:pPr>
            <w:r>
              <w:t xml:space="preserve">0.2508</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0.089</w:t>
            </w:r>
          </w:p>
        </w:tc>
        <w:tc>
          <w:tcPr/>
          <w:p>
            <w:pPr>
              <w:pStyle w:val="Compact"/>
              <w:jc w:val="right"/>
            </w:pPr>
            <w:r>
              <w:t xml:space="preserve">0.090</w:t>
            </w:r>
          </w:p>
        </w:tc>
        <w:tc>
          <w:tcPr/>
          <w:p>
            <w:pPr>
              <w:pStyle w:val="Compact"/>
              <w:jc w:val="right"/>
            </w:pPr>
            <w:r>
              <w:t xml:space="preserve">0.3278</w:t>
            </w:r>
          </w:p>
        </w:tc>
        <w:tc>
          <w:tcPr/>
          <w:p>
            <w:pPr>
              <w:pStyle w:val="Compact"/>
            </w:pPr>
          </w:p>
        </w:tc>
        <w:tc>
          <w:tcPr/>
          <w:p>
            <w:pPr>
              <w:pStyle w:val="Compact"/>
              <w:jc w:val="right"/>
            </w:pPr>
            <w:r>
              <w:t xml:space="preserve">0.2175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0.084</w:t>
            </w:r>
          </w:p>
        </w:tc>
        <w:tc>
          <w:tcPr/>
          <w:p>
            <w:pPr>
              <w:pStyle w:val="Compact"/>
              <w:jc w:val="right"/>
            </w:pPr>
            <w:r>
              <w:t xml:space="preserve">0.086</w:t>
            </w:r>
          </w:p>
        </w:tc>
        <w:tc>
          <w:tcPr/>
          <w:p>
            <w:pPr>
              <w:pStyle w:val="Compact"/>
              <w:jc w:val="right"/>
            </w:pPr>
            <w:r>
              <w:t xml:space="preserve">0.3349</w:t>
            </w:r>
          </w:p>
        </w:tc>
        <w:tc>
          <w:tcPr/>
          <w:p>
            <w:pPr>
              <w:pStyle w:val="Compact"/>
            </w:pPr>
          </w:p>
        </w:tc>
        <w:tc>
          <w:tcPr/>
          <w:p>
            <w:pPr>
              <w:pStyle w:val="Compact"/>
              <w:jc w:val="right"/>
            </w:pPr>
            <w:r>
              <w:t xml:space="preserve">0.2169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0.066</w:t>
            </w:r>
          </w:p>
        </w:tc>
        <w:tc>
          <w:tcPr/>
          <w:p>
            <w:pPr>
              <w:pStyle w:val="Compact"/>
              <w:jc w:val="right"/>
            </w:pPr>
            <w:r>
              <w:t xml:space="preserve">0.081</w:t>
            </w:r>
          </w:p>
        </w:tc>
        <w:tc>
          <w:tcPr/>
          <w:p>
            <w:pPr>
              <w:pStyle w:val="Compact"/>
              <w:jc w:val="right"/>
            </w:pPr>
            <w:r>
              <w:t xml:space="preserve">0.4203</w:t>
            </w:r>
          </w:p>
        </w:tc>
        <w:tc>
          <w:tcPr/>
          <w:p>
            <w:pPr>
              <w:pStyle w:val="Compact"/>
            </w:pPr>
          </w:p>
        </w:tc>
        <w:tc>
          <w:tcPr/>
          <w:p>
            <w:pPr>
              <w:pStyle w:val="Compact"/>
              <w:jc w:val="right"/>
            </w:pPr>
            <w:r>
              <w:t xml:space="preserve">0.2160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0.060</w:t>
            </w:r>
          </w:p>
        </w:tc>
        <w:tc>
          <w:tcPr/>
          <w:p>
            <w:pPr>
              <w:pStyle w:val="Compact"/>
              <w:jc w:val="right"/>
            </w:pPr>
            <w:r>
              <w:t xml:space="preserve">0.080</w:t>
            </w:r>
          </w:p>
        </w:tc>
        <w:tc>
          <w:tcPr/>
          <w:p>
            <w:pPr>
              <w:pStyle w:val="Compact"/>
              <w:jc w:val="right"/>
            </w:pPr>
            <w:r>
              <w:t xml:space="preserve">0.4554</w:t>
            </w:r>
          </w:p>
        </w:tc>
        <w:tc>
          <w:tcPr/>
          <w:p>
            <w:pPr>
              <w:pStyle w:val="Compact"/>
            </w:pPr>
          </w:p>
        </w:tc>
        <w:tc>
          <w:tcPr/>
          <w:p>
            <w:pPr>
              <w:pStyle w:val="Compact"/>
              <w:jc w:val="right"/>
            </w:pPr>
            <w:r>
              <w:t xml:space="preserve">0.2149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0.162</w:t>
            </w:r>
          </w:p>
        </w:tc>
        <w:tc>
          <w:tcPr/>
          <w:p>
            <w:pPr>
              <w:pStyle w:val="Compact"/>
              <w:jc w:val="right"/>
            </w:pPr>
            <w:r>
              <w:t xml:space="preserve">0.091</w:t>
            </w:r>
          </w:p>
        </w:tc>
        <w:tc>
          <w:tcPr/>
          <w:p>
            <w:pPr>
              <w:pStyle w:val="Compact"/>
              <w:jc w:val="right"/>
            </w:pPr>
            <w:r>
              <w:t xml:space="preserve">0.0814</w:t>
            </w:r>
          </w:p>
        </w:tc>
        <w:tc>
          <w:tcPr/>
          <w:p>
            <w:pPr>
              <w:pStyle w:val="Compact"/>
              <w:jc w:val="left"/>
            </w:pPr>
            <w:r>
              <w:t xml:space="preserve">*</w:t>
            </w:r>
          </w:p>
        </w:tc>
        <w:tc>
          <w:tcPr/>
          <w:p>
            <w:pPr>
              <w:pStyle w:val="Compact"/>
              <w:jc w:val="right"/>
            </w:pPr>
            <w:r>
              <w:t xml:space="preserve">0.2291</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0.148</w:t>
            </w:r>
          </w:p>
        </w:tc>
        <w:tc>
          <w:tcPr/>
          <w:p>
            <w:pPr>
              <w:pStyle w:val="Compact"/>
              <w:jc w:val="right"/>
            </w:pPr>
            <w:r>
              <w:t xml:space="preserve">0.087</w:t>
            </w:r>
          </w:p>
        </w:tc>
        <w:tc>
          <w:tcPr/>
          <w:p>
            <w:pPr>
              <w:pStyle w:val="Compact"/>
              <w:jc w:val="right"/>
            </w:pPr>
            <w:r>
              <w:t xml:space="preserve">0.0958</w:t>
            </w:r>
          </w:p>
        </w:tc>
        <w:tc>
          <w:tcPr/>
          <w:p>
            <w:pPr>
              <w:pStyle w:val="Compact"/>
              <w:jc w:val="left"/>
            </w:pPr>
            <w:r>
              <w:t xml:space="preserve">*</w:t>
            </w:r>
          </w:p>
        </w:tc>
        <w:tc>
          <w:tcPr/>
          <w:p>
            <w:pPr>
              <w:pStyle w:val="Compact"/>
              <w:jc w:val="right"/>
            </w:pPr>
            <w:r>
              <w:t xml:space="preserve">0.2264</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0.110</w:t>
            </w:r>
          </w:p>
        </w:tc>
        <w:tc>
          <w:tcPr/>
          <w:p>
            <w:pPr>
              <w:pStyle w:val="Compact"/>
              <w:jc w:val="right"/>
            </w:pPr>
            <w:r>
              <w:t xml:space="preserve">0.125</w:t>
            </w:r>
          </w:p>
        </w:tc>
        <w:tc>
          <w:tcPr/>
          <w:p>
            <w:pPr>
              <w:pStyle w:val="Compact"/>
              <w:jc w:val="right"/>
            </w:pPr>
            <w:r>
              <w:t xml:space="preserve">0.3849</w:t>
            </w:r>
          </w:p>
        </w:tc>
        <w:tc>
          <w:tcPr/>
          <w:p>
            <w:pPr>
              <w:pStyle w:val="Compact"/>
            </w:pPr>
          </w:p>
        </w:tc>
        <w:tc>
          <w:tcPr/>
          <w:p>
            <w:pPr>
              <w:pStyle w:val="Compact"/>
              <w:jc w:val="right"/>
            </w:pPr>
            <w:r>
              <w:t xml:space="preserve">0.2192</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bl>
    <w:bookmarkEnd w:id="116"/>
    <w:bookmarkEnd w:id="117"/>
    <w:bookmarkEnd w:id="118"/>
    <w:bookmarkStart w:id="124" w:name="X6628dfa1638c2bca0a9c937b6626322759b5bd8"/>
    <w:p>
      <w:pPr>
        <w:pStyle w:val="Heading2"/>
      </w:pPr>
      <w:r>
        <w:t xml:space="preserve">B.2 WGI operationalization variants (ADR-0009)</w:t>
      </w:r>
    </w:p>
    <w:bookmarkStart w:id="123" w:name="Xee6576fc8e847602f600475edc74f88728c73e4"/>
    <w:p>
      <w:pPr>
        <w:pStyle w:val="Heading4"/>
      </w:pPr>
      <w:r>
        <w:t xml:space="preserve">Model 2 FE — WGI operationalization sensitivity (ADR-0009 lock)</w:t>
      </w:r>
    </w:p>
    <w:p>
      <w:pPr>
        <w:pStyle w:val="FirstParagraph"/>
      </w:pPr>
      <w:r>
        <w:t xml:space="preserve">Within-country two-way FE (iso3 + year). Country-clustered SE. Treatment:</w:t>
      </w:r>
      <w:r>
        <w:t xml:space="preserve"> </w:t>
      </w:r>
      <w:r>
        <w:rPr>
          <w:rStyle w:val="VerbatimChar"/>
        </w:rPr>
        <w:t xml:space="preserve">log(1 + crs_disburse_usd_defl_ma3_lag1)</w:t>
      </w:r>
      <w:r>
        <w:t xml:space="preserve"> </w:t>
      </w:r>
      <w:r>
        <w:t xml:space="preserve">(Session-03 lock). Base controls: log(GDP/cap) + PTR primary + ed_exp_%GDP. WGI varies across specs A-D. Primary window 2010-2020.</w:t>
      </w:r>
    </w:p>
    <w:p>
      <w:pPr>
        <w:pStyle w:val="BodyText"/>
      </w:pPr>
      <w:r>
        <w:t xml:space="preserve">PC1 variance share: 0.764. All six PC1 loadings positive after sign-flip: TRUE.</w:t>
      </w:r>
    </w:p>
    <w:bookmarkStart w:id="121" w:name="Xad2c0501ffea000c9ffce75f1a69ae5900dd0e8"/>
    <w:p>
      <w:pPr>
        <w:pStyle w:val="Heading5"/>
      </w:pPr>
      <w:r>
        <w:t xml:space="preserve">ODA coefficient across WGI representations</w:t>
      </w:r>
    </w:p>
    <w:bookmarkStart w:id="119" w:name="hlo-outcome-2"/>
    <w:p>
      <w:pPr>
        <w:pStyle w:val="Heading6"/>
      </w:pPr>
      <w:r>
        <w:t xml:space="preserve">HLO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143</w:t>
            </w:r>
          </w:p>
        </w:tc>
        <w:tc>
          <w:tcPr/>
          <w:p>
            <w:pPr>
              <w:pStyle w:val="Compact"/>
              <w:jc w:val="right"/>
            </w:pPr>
            <w:r>
              <w:t xml:space="preserve">10.331</w:t>
            </w:r>
          </w:p>
        </w:tc>
        <w:tc>
          <w:tcPr/>
          <w:p>
            <w:pPr>
              <w:pStyle w:val="Compact"/>
              <w:jc w:val="right"/>
            </w:pPr>
            <w:r>
              <w:t xml:space="preserve">5.211</w:t>
            </w:r>
          </w:p>
        </w:tc>
        <w:tc>
          <w:tcPr/>
          <w:p>
            <w:pPr>
              <w:pStyle w:val="Compact"/>
              <w:jc w:val="right"/>
            </w:pPr>
            <w:r>
              <w:t xml:space="preserve">0.0520</w:t>
            </w:r>
          </w:p>
        </w:tc>
        <w:tc>
          <w:tcPr/>
          <w:p>
            <w:pPr>
              <w:pStyle w:val="Compact"/>
              <w:jc w:val="left"/>
            </w:pPr>
            <w:r>
              <w:t xml:space="preserve">*</w:t>
            </w:r>
          </w:p>
        </w:tc>
        <w:tc>
          <w:tcPr/>
          <w:p>
            <w:pPr>
              <w:pStyle w:val="Compact"/>
              <w:jc w:val="right"/>
            </w:pPr>
            <w:r>
              <w:t xml:space="preserve">0.2536</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0.0481</w:t>
            </w:r>
          </w:p>
        </w:tc>
        <w:tc>
          <w:tcPr/>
          <w:p>
            <w:pPr>
              <w:pStyle w:val="Compact"/>
              <w:jc w:val="left"/>
            </w:pPr>
            <w:r>
              <w:t xml:space="preserve">**</w:t>
            </w:r>
          </w:p>
        </w:tc>
        <w:tc>
          <w:tcPr/>
          <w:p>
            <w:pPr>
              <w:pStyle w:val="Compact"/>
              <w:jc w:val="right"/>
            </w:pPr>
            <w:r>
              <w:t xml:space="preserve">0.1255</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143</w:t>
            </w:r>
          </w:p>
        </w:tc>
        <w:tc>
          <w:tcPr/>
          <w:p>
            <w:pPr>
              <w:pStyle w:val="Compact"/>
              <w:jc w:val="right"/>
            </w:pPr>
            <w:r>
              <w:t xml:space="preserve">8.754</w:t>
            </w:r>
          </w:p>
        </w:tc>
        <w:tc>
          <w:tcPr/>
          <w:p>
            <w:pPr>
              <w:pStyle w:val="Compact"/>
              <w:jc w:val="right"/>
            </w:pPr>
            <w:r>
              <w:t xml:space="preserve">5.322</w:t>
            </w:r>
          </w:p>
        </w:tc>
        <w:tc>
          <w:tcPr/>
          <w:p>
            <w:pPr>
              <w:pStyle w:val="Compact"/>
              <w:jc w:val="right"/>
            </w:pPr>
            <w:r>
              <w:t xml:space="preserve">0.1052</w:t>
            </w:r>
          </w:p>
        </w:tc>
        <w:tc>
          <w:tcPr/>
          <w:p>
            <w:pPr>
              <w:pStyle w:val="Compact"/>
            </w:pPr>
          </w:p>
        </w:tc>
        <w:tc>
          <w:tcPr/>
          <w:p>
            <w:pPr>
              <w:pStyle w:val="Compact"/>
              <w:jc w:val="right"/>
            </w:pPr>
            <w:r>
              <w:t xml:space="preserve">0.0540</w:t>
            </w:r>
          </w:p>
        </w:tc>
      </w:tr>
    </w:tbl>
    <w:bookmarkEnd w:id="119"/>
    <w:bookmarkStart w:id="120" w:name="lays-outcome-2"/>
    <w:p>
      <w:pPr>
        <w:pStyle w:val="Heading6"/>
      </w:pPr>
      <w:r>
        <w:t xml:space="preserve">LAYS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139</w:t>
            </w:r>
          </w:p>
        </w:tc>
        <w:tc>
          <w:tcPr/>
          <w:p>
            <w:pPr>
              <w:pStyle w:val="Compact"/>
              <w:jc w:val="right"/>
            </w:pPr>
            <w:r>
              <w:t xml:space="preserve">0.158</w:t>
            </w:r>
          </w:p>
        </w:tc>
        <w:tc>
          <w:tcPr/>
          <w:p>
            <w:pPr>
              <w:pStyle w:val="Compact"/>
              <w:jc w:val="right"/>
            </w:pPr>
            <w:r>
              <w:t xml:space="preserve">0.106</w:t>
            </w:r>
          </w:p>
        </w:tc>
        <w:tc>
          <w:tcPr/>
          <w:p>
            <w:pPr>
              <w:pStyle w:val="Compact"/>
              <w:jc w:val="right"/>
            </w:pPr>
            <w:r>
              <w:t xml:space="preserve">0.1439</w:t>
            </w:r>
          </w:p>
        </w:tc>
        <w:tc>
          <w:tcPr/>
          <w:p>
            <w:pPr>
              <w:pStyle w:val="Compact"/>
            </w:pPr>
          </w:p>
        </w:tc>
        <w:tc>
          <w:tcPr/>
          <w:p>
            <w:pPr>
              <w:pStyle w:val="Compact"/>
              <w:jc w:val="right"/>
            </w:pPr>
            <w:r>
              <w:t xml:space="preserve">0.4609</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139</w:t>
            </w:r>
          </w:p>
        </w:tc>
        <w:tc>
          <w:tcPr/>
          <w:p>
            <w:pPr>
              <w:pStyle w:val="Compact"/>
              <w:jc w:val="right"/>
            </w:pPr>
            <w:r>
              <w:t xml:space="preserve">0.179</w:t>
            </w:r>
          </w:p>
        </w:tc>
        <w:tc>
          <w:tcPr/>
          <w:p>
            <w:pPr>
              <w:pStyle w:val="Compact"/>
              <w:jc w:val="right"/>
            </w:pPr>
            <w:r>
              <w:t xml:space="preserve">0.145</w:t>
            </w:r>
          </w:p>
        </w:tc>
        <w:tc>
          <w:tcPr/>
          <w:p>
            <w:pPr>
              <w:pStyle w:val="Compact"/>
              <w:jc w:val="right"/>
            </w:pPr>
            <w:r>
              <w:t xml:space="preserve">0.2205</w:t>
            </w:r>
          </w:p>
        </w:tc>
        <w:tc>
          <w:tcPr/>
          <w:p>
            <w:pPr>
              <w:pStyle w:val="Compact"/>
            </w:pPr>
          </w:p>
        </w:tc>
        <w:tc>
          <w:tcPr/>
          <w:p>
            <w:pPr>
              <w:pStyle w:val="Compact"/>
              <w:jc w:val="right"/>
            </w:pPr>
            <w:r>
              <w:t xml:space="preserve">0.1743</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139</w:t>
            </w:r>
          </w:p>
        </w:tc>
        <w:tc>
          <w:tcPr/>
          <w:p>
            <w:pPr>
              <w:pStyle w:val="Compact"/>
              <w:jc w:val="right"/>
            </w:pPr>
            <w:r>
              <w:t xml:space="preserve">0.139</w:t>
            </w:r>
          </w:p>
        </w:tc>
        <w:tc>
          <w:tcPr/>
          <w:p>
            <w:pPr>
              <w:pStyle w:val="Compact"/>
              <w:jc w:val="right"/>
            </w:pPr>
            <w:r>
              <w:t xml:space="preserve">0.159</w:t>
            </w:r>
          </w:p>
        </w:tc>
        <w:tc>
          <w:tcPr/>
          <w:p>
            <w:pPr>
              <w:pStyle w:val="Compact"/>
              <w:jc w:val="right"/>
            </w:pPr>
            <w:r>
              <w:t xml:space="preserve">0.3855</w:t>
            </w:r>
          </w:p>
        </w:tc>
        <w:tc>
          <w:tcPr/>
          <w:p>
            <w:pPr>
              <w:pStyle w:val="Compact"/>
            </w:pPr>
          </w:p>
        </w:tc>
        <w:tc>
          <w:tcPr/>
          <w:p>
            <w:pPr>
              <w:pStyle w:val="Compact"/>
              <w:jc w:val="right"/>
            </w:pPr>
            <w:r>
              <w:t xml:space="preserve">0.0880</w:t>
            </w:r>
          </w:p>
        </w:tc>
      </w:tr>
    </w:tbl>
    <w:bookmarkEnd w:id="120"/>
    <w:bookmarkEnd w:id="121"/>
    <w:bookmarkStart w:id="122" w:name="Xbdbaa20f1bb287209453845797644654aab189f"/>
    <w:p>
      <w:pPr>
        <w:pStyle w:val="Heading5"/>
      </w:pPr>
      <w:r>
        <w:t xml:space="preserve">Per-dimension WGI coefficients in spec B (HLO)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wgi_va_est</w:t>
            </w:r>
          </w:p>
        </w:tc>
        <w:tc>
          <w:tcPr/>
          <w:p>
            <w:pPr>
              <w:pStyle w:val="Compact"/>
              <w:jc w:val="right"/>
            </w:pPr>
            <w:r>
              <w:t xml:space="preserve">-26.245</w:t>
            </w:r>
          </w:p>
        </w:tc>
        <w:tc>
          <w:tcPr/>
          <w:p>
            <w:pPr>
              <w:pStyle w:val="Compact"/>
              <w:jc w:val="right"/>
            </w:pPr>
            <w:r>
              <w:t xml:space="preserve">16.44</w:t>
            </w:r>
          </w:p>
        </w:tc>
        <w:tc>
          <w:tcPr/>
          <w:p>
            <w:pPr>
              <w:pStyle w:val="Compact"/>
              <w:jc w:val="right"/>
            </w:pPr>
            <w:r>
              <w:t xml:space="preserve">0.1156</w:t>
            </w:r>
          </w:p>
        </w:tc>
        <w:tc>
          <w:tcPr/>
          <w:p>
            <w:pPr>
              <w:pStyle w:val="Compact"/>
            </w:pPr>
          </w:p>
        </w:tc>
      </w:tr>
      <w:tr>
        <w:tc>
          <w:tcPr/>
          <w:p>
            <w:pPr>
              <w:pStyle w:val="Compact"/>
              <w:jc w:val="left"/>
            </w:pPr>
            <w:r>
              <w:t xml:space="preserve">wgi_pv_est</w:t>
            </w:r>
          </w:p>
        </w:tc>
        <w:tc>
          <w:tcPr/>
          <w:p>
            <w:pPr>
              <w:pStyle w:val="Compact"/>
              <w:jc w:val="right"/>
            </w:pPr>
            <w:r>
              <w:t xml:space="preserve">2.314</w:t>
            </w:r>
          </w:p>
        </w:tc>
        <w:tc>
          <w:tcPr/>
          <w:p>
            <w:pPr>
              <w:pStyle w:val="Compact"/>
              <w:jc w:val="right"/>
            </w:pPr>
            <w:r>
              <w:t xml:space="preserve">13.00</w:t>
            </w:r>
          </w:p>
        </w:tc>
        <w:tc>
          <w:tcPr/>
          <w:p>
            <w:pPr>
              <w:pStyle w:val="Compact"/>
              <w:jc w:val="right"/>
            </w:pPr>
            <w:r>
              <w:t xml:space="preserve">0.8593</w:t>
            </w:r>
          </w:p>
        </w:tc>
        <w:tc>
          <w:tcPr/>
          <w:p>
            <w:pPr>
              <w:pStyle w:val="Compact"/>
            </w:pPr>
          </w:p>
        </w:tc>
      </w:tr>
      <w:tr>
        <w:tc>
          <w:tcPr/>
          <w:p>
            <w:pPr>
              <w:pStyle w:val="Compact"/>
              <w:jc w:val="left"/>
            </w:pPr>
            <w:r>
              <w:t xml:space="preserve">wgi_ge_est</w:t>
            </w:r>
          </w:p>
        </w:tc>
        <w:tc>
          <w:tcPr/>
          <w:p>
            <w:pPr>
              <w:pStyle w:val="Compact"/>
              <w:jc w:val="right"/>
            </w:pPr>
            <w:r>
              <w:t xml:space="preserve">9.910</w:t>
            </w:r>
          </w:p>
        </w:tc>
        <w:tc>
          <w:tcPr/>
          <w:p>
            <w:pPr>
              <w:pStyle w:val="Compact"/>
              <w:jc w:val="right"/>
            </w:pPr>
            <w:r>
              <w:t xml:space="preserve">25.95</w:t>
            </w:r>
          </w:p>
        </w:tc>
        <w:tc>
          <w:tcPr/>
          <w:p>
            <w:pPr>
              <w:pStyle w:val="Compact"/>
              <w:jc w:val="right"/>
            </w:pPr>
            <w:r>
              <w:t xml:space="preserve">0.7039</w:t>
            </w:r>
          </w:p>
        </w:tc>
        <w:tc>
          <w:tcPr/>
          <w:p>
            <w:pPr>
              <w:pStyle w:val="Compact"/>
            </w:pPr>
          </w:p>
        </w:tc>
      </w:tr>
      <w:tr>
        <w:tc>
          <w:tcPr/>
          <w:p>
            <w:pPr>
              <w:pStyle w:val="Compact"/>
              <w:jc w:val="left"/>
            </w:pPr>
            <w:r>
              <w:t xml:space="preserve">wgi_rq_est</w:t>
            </w:r>
          </w:p>
        </w:tc>
        <w:tc>
          <w:tcPr/>
          <w:p>
            <w:pPr>
              <w:pStyle w:val="Compact"/>
              <w:jc w:val="right"/>
            </w:pPr>
            <w:r>
              <w:t xml:space="preserve">44.927</w:t>
            </w:r>
          </w:p>
        </w:tc>
        <w:tc>
          <w:tcPr/>
          <w:p>
            <w:pPr>
              <w:pStyle w:val="Compact"/>
              <w:jc w:val="right"/>
            </w:pPr>
            <w:r>
              <w:t xml:space="preserve">30.76</w:t>
            </w:r>
          </w:p>
        </w:tc>
        <w:tc>
          <w:tcPr/>
          <w:p>
            <w:pPr>
              <w:pStyle w:val="Compact"/>
              <w:jc w:val="right"/>
            </w:pPr>
            <w:r>
              <w:t xml:space="preserve">0.1494</w:t>
            </w:r>
          </w:p>
        </w:tc>
        <w:tc>
          <w:tcPr/>
          <w:p>
            <w:pPr>
              <w:pStyle w:val="Compact"/>
            </w:pPr>
          </w:p>
        </w:tc>
      </w:tr>
      <w:tr>
        <w:tc>
          <w:tcPr/>
          <w:p>
            <w:pPr>
              <w:pStyle w:val="Compact"/>
              <w:jc w:val="left"/>
            </w:pPr>
            <w:r>
              <w:t xml:space="preserve">wgi_rl_est</w:t>
            </w:r>
          </w:p>
        </w:tc>
        <w:tc>
          <w:tcPr/>
          <w:p>
            <w:pPr>
              <w:pStyle w:val="Compact"/>
              <w:jc w:val="right"/>
            </w:pPr>
            <w:r>
              <w:t xml:space="preserve">-9.414</w:t>
            </w:r>
          </w:p>
        </w:tc>
        <w:tc>
          <w:tcPr/>
          <w:p>
            <w:pPr>
              <w:pStyle w:val="Compact"/>
              <w:jc w:val="right"/>
            </w:pPr>
            <w:r>
              <w:t xml:space="preserve">26.56</w:t>
            </w:r>
          </w:p>
        </w:tc>
        <w:tc>
          <w:tcPr/>
          <w:p>
            <w:pPr>
              <w:pStyle w:val="Compact"/>
              <w:jc w:val="right"/>
            </w:pPr>
            <w:r>
              <w:t xml:space="preserve">0.7243</w:t>
            </w:r>
          </w:p>
        </w:tc>
        <w:tc>
          <w:tcPr/>
          <w:p>
            <w:pPr>
              <w:pStyle w:val="Compact"/>
            </w:pPr>
          </w:p>
        </w:tc>
      </w:tr>
      <w:tr>
        <w:tc>
          <w:tcPr/>
          <w:p>
            <w:pPr>
              <w:pStyle w:val="Compact"/>
              <w:jc w:val="left"/>
            </w:pPr>
            <w:r>
              <w:t xml:space="preserve">wgi_cc_est</w:t>
            </w:r>
          </w:p>
        </w:tc>
        <w:tc>
          <w:tcPr/>
          <w:p>
            <w:pPr>
              <w:pStyle w:val="Compact"/>
              <w:jc w:val="right"/>
            </w:pPr>
            <w:r>
              <w:t xml:space="preserve">32.742</w:t>
            </w:r>
          </w:p>
        </w:tc>
        <w:tc>
          <w:tcPr/>
          <w:p>
            <w:pPr>
              <w:pStyle w:val="Compact"/>
              <w:jc w:val="right"/>
            </w:pPr>
            <w:r>
              <w:t xml:space="preserve">21.36</w:t>
            </w:r>
          </w:p>
        </w:tc>
        <w:tc>
          <w:tcPr/>
          <w:p>
            <w:pPr>
              <w:pStyle w:val="Compact"/>
              <w:jc w:val="right"/>
            </w:pPr>
            <w:r>
              <w:t xml:space="preserve">0.1305</w:t>
            </w:r>
          </w:p>
        </w:tc>
        <w:tc>
          <w:tcPr/>
          <w:p>
            <w:pPr>
              <w:pStyle w:val="Compact"/>
            </w:pPr>
          </w:p>
        </w:tc>
      </w:tr>
    </w:tbl>
    <w:p>
      <w:pPr>
        <w:pStyle w:val="BodyText"/>
      </w:pPr>
      <w:r>
        <w:t xml:space="preserve">The PCA loadings supporting the PC1-variance-share claim (76.4% on this sample, single PC1 retained per Kaiser criterion) are at</w:t>
      </w:r>
      <w:r>
        <w:t xml:space="preserve"> </w:t>
      </w:r>
      <w:r>
        <w:rPr>
          <w:rStyle w:val="VerbatimChar"/>
        </w:rPr>
        <w:t xml:space="preserve">output/tables/model2_wgi_pca_loadings.csv</w:t>
      </w:r>
      <w:r>
        <w:t xml:space="preserve">.</w:t>
      </w:r>
    </w:p>
    <w:bookmarkEnd w:id="122"/>
    <w:bookmarkEnd w:id="123"/>
    <w:bookmarkEnd w:id="124"/>
    <w:bookmarkStart w:id="130" w:name="b.3-chinese-aid-robustness-adr-0008"/>
    <w:p>
      <w:pPr>
        <w:pStyle w:val="Heading2"/>
      </w:pPr>
      <w:r>
        <w:t xml:space="preserve">B.3 Chinese aid robustness (ADR-0008)</w:t>
      </w:r>
    </w:p>
    <w:bookmarkStart w:id="129" w:name="X7036b49db76036f564080fba237ae9b0690629f"/>
    <w:p>
      <w:pPr>
        <w:pStyle w:val="Heading4"/>
      </w:pPr>
      <w:r>
        <w:t xml:space="preserve">Model 2 FE — Chinese aid robustness (ADR-0008 lock)</w:t>
      </w:r>
    </w:p>
    <w:p>
      <w:pPr>
        <w:pStyle w:val="FirstParagraph"/>
      </w:pPr>
      <w:r>
        <w:t xml:space="preserve">Within-country two-way FE (iso3 + year). Country-clustered SE. Controls: log(GDP/cap), PTR primary, ed_exp_%GDP, WGI gov effectiveness. Primary window 2010-2020. Treatment columns enter as</w:t>
      </w:r>
      <w:r>
        <w:t xml:space="preserve"> </w:t>
      </w:r>
      <w:r>
        <w:rPr>
          <w:rStyle w:val="VerbatimChar"/>
        </w:rPr>
        <w:t xml:space="preserve">log(1 + x)</w:t>
      </w:r>
      <w:r>
        <w:t xml:space="preserve">; all use Session-03 lock encoding (strictly-past 3-yr MA, constant USD).</w:t>
      </w:r>
    </w:p>
    <w:p>
      <w:pPr>
        <w:pStyle w:val="BodyText"/>
      </w:pPr>
      <w:r>
        <w:t xml:space="preserve">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125" w:name="hlo-outcome-all-sample"/>
    <w:p>
      <w:pPr>
        <w:pStyle w:val="Heading5"/>
      </w:pPr>
      <w:r>
        <w:t xml:space="preserve">HLO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8.065</w:t>
            </w:r>
          </w:p>
        </w:tc>
        <w:tc>
          <w:tcPr/>
          <w:p>
            <w:pPr>
              <w:pStyle w:val="Compact"/>
              <w:jc w:val="right"/>
            </w:pPr>
            <w:r>
              <w:t xml:space="preserve">4.750</w:t>
            </w:r>
          </w:p>
        </w:tc>
        <w:tc>
          <w:tcPr/>
          <w:p>
            <w:pPr>
              <w:pStyle w:val="Compact"/>
              <w:jc w:val="right"/>
            </w:pPr>
            <w:r>
              <w:t xml:space="preserve">0.0947</w:t>
            </w:r>
          </w:p>
        </w:tc>
        <w:tc>
          <w:tcPr/>
          <w:p>
            <w:pPr>
              <w:pStyle w:val="Compact"/>
              <w:jc w:val="left"/>
            </w:pPr>
            <w:r>
              <w:t xml:space="preserve">*</w:t>
            </w: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-0.255</w:t>
            </w:r>
          </w:p>
        </w:tc>
        <w:tc>
          <w:tcPr/>
          <w:p>
            <w:pPr>
              <w:pStyle w:val="Compact"/>
              <w:jc w:val="right"/>
            </w:pPr>
            <w:r>
              <w:t xml:space="preserve">0.765</w:t>
            </w:r>
          </w:p>
        </w:tc>
        <w:tc>
          <w:tcPr/>
          <w:p>
            <w:pPr>
              <w:pStyle w:val="Compact"/>
              <w:jc w:val="right"/>
            </w:pPr>
            <w:r>
              <w:t xml:space="preserve">0.7404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143</w:t>
            </w:r>
          </w:p>
        </w:tc>
        <w:tc>
          <w:tcPr/>
          <w:p>
            <w:pPr>
              <w:pStyle w:val="Compact"/>
              <w:jc w:val="right"/>
            </w:pPr>
            <w:r>
              <w:t xml:space="preserve">-0.352</w:t>
            </w:r>
          </w:p>
        </w:tc>
        <w:tc>
          <w:tcPr/>
          <w:p>
            <w:pPr>
              <w:pStyle w:val="Compact"/>
              <w:jc w:val="right"/>
            </w:pPr>
            <w:r>
              <w:t xml:space="preserve">1.120</w:t>
            </w:r>
          </w:p>
        </w:tc>
        <w:tc>
          <w:tcPr/>
          <w:p>
            <w:pPr>
              <w:pStyle w:val="Compact"/>
              <w:jc w:val="right"/>
            </w:pPr>
            <w:r>
              <w:t xml:space="preserve">0.7546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-0.274</w:t>
            </w:r>
          </w:p>
        </w:tc>
        <w:tc>
          <w:tcPr/>
          <w:p>
            <w:pPr>
              <w:pStyle w:val="Compact"/>
              <w:jc w:val="right"/>
            </w:pPr>
            <w:r>
              <w:t xml:space="preserve">0.768</w:t>
            </w:r>
          </w:p>
        </w:tc>
        <w:tc>
          <w:tcPr/>
          <w:p>
            <w:pPr>
              <w:pStyle w:val="Compact"/>
              <w:jc w:val="right"/>
            </w:pPr>
            <w:r>
              <w:t xml:space="preserve">0.7220</w:t>
            </w:r>
          </w:p>
        </w:tc>
        <w:tc>
          <w:tcPr/>
          <w:p>
            <w:pPr>
              <w:pStyle w:val="Compact"/>
            </w:pPr>
          </w:p>
        </w:tc>
      </w:tr>
    </w:tbl>
    <w:bookmarkEnd w:id="125"/>
    <w:bookmarkStart w:id="126" w:name="hlo-outcome-ssa-sample"/>
    <w:p>
      <w:pPr>
        <w:pStyle w:val="Heading5"/>
      </w:pPr>
      <w:r>
        <w:t xml:space="preserve">HLO outcome — SSA sample</w:t>
      </w:r>
    </w:p>
    <w:tbl>
      <w:tblPr>
        <w:tblStyle w:val="Table"/>
        <w:tblW w:type="pct" w:w="5000"/>
        <w:tblLayout w:type="fixed"/>
        <w:tblLook w:firstRow="1" w:lastRow="0" w:firstColumn="0" w:lastColumn="0" w:noHBand="0" w:noVBand="0" w:val="0020"/>
      </w:tblPr>
      <w:tblGrid>
        <w:gridCol w:w="653"/>
        <w:gridCol w:w="2776"/>
        <w:gridCol w:w="1877"/>
        <w:gridCol w:w="244"/>
        <w:gridCol w:w="571"/>
        <w:gridCol w:w="571"/>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-5.951</w:t>
            </w:r>
          </w:p>
        </w:tc>
        <w:tc>
          <w:tcPr/>
          <w:p>
            <w:pPr>
              <w:pStyle w:val="Compact"/>
              <w:jc w:val="right"/>
            </w:pPr>
            <w:r>
              <w:t xml:space="preserve">14.088</w:t>
            </w:r>
          </w:p>
        </w:tc>
        <w:tc>
          <w:tcPr/>
          <w:p>
            <w:pPr>
              <w:pStyle w:val="Compact"/>
              <w:jc w:val="right"/>
            </w:pPr>
            <w:r>
              <w:t xml:space="preserve">0.6770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-5.758</w:t>
            </w:r>
          </w:p>
        </w:tc>
        <w:tc>
          <w:tcPr/>
          <w:p>
            <w:pPr>
              <w:pStyle w:val="Compact"/>
              <w:jc w:val="right"/>
            </w:pPr>
            <w:r>
              <w:t xml:space="preserve">13.092</w:t>
            </w:r>
          </w:p>
        </w:tc>
        <w:tc>
          <w:tcPr/>
          <w:p>
            <w:pPr>
              <w:pStyle w:val="Compact"/>
              <w:jc w:val="right"/>
            </w:pPr>
            <w:r>
              <w:t xml:space="preserve">0.6645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-0.098</w:t>
            </w:r>
          </w:p>
        </w:tc>
        <w:tc>
          <w:tcPr/>
          <w:p>
            <w:pPr>
              <w:pStyle w:val="Compact"/>
              <w:jc w:val="right"/>
            </w:pPr>
            <w:r>
              <w:t xml:space="preserve">0.989</w:t>
            </w:r>
          </w:p>
        </w:tc>
        <w:tc>
          <w:tcPr/>
          <w:p>
            <w:pPr>
              <w:pStyle w:val="Compact"/>
              <w:jc w:val="right"/>
            </w:pPr>
            <w:r>
              <w:t xml:space="preserve">0.9223</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52</w:t>
            </w:r>
          </w:p>
        </w:tc>
        <w:tc>
          <w:tcPr/>
          <w:p>
            <w:pPr>
              <w:pStyle w:val="Compact"/>
              <w:jc w:val="right"/>
            </w:pPr>
            <w:r>
              <w:t xml:space="preserve">-0.604</w:t>
            </w:r>
          </w:p>
        </w:tc>
        <w:tc>
          <w:tcPr/>
          <w:p>
            <w:pPr>
              <w:pStyle w:val="Compact"/>
              <w:jc w:val="right"/>
            </w:pPr>
            <w:r>
              <w:t xml:space="preserve">1.408</w:t>
            </w:r>
          </w:p>
        </w:tc>
        <w:tc>
          <w:tcPr/>
          <w:p>
            <w:pPr>
              <w:pStyle w:val="Compact"/>
              <w:jc w:val="right"/>
            </w:pPr>
            <w:r>
              <w:t xml:space="preserve">0.6726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-0.130</w:t>
            </w:r>
          </w:p>
        </w:tc>
        <w:tc>
          <w:tcPr/>
          <w:p>
            <w:pPr>
              <w:pStyle w:val="Compact"/>
              <w:jc w:val="right"/>
            </w:pPr>
            <w:r>
              <w:t xml:space="preserve">1.024</w:t>
            </w:r>
          </w:p>
        </w:tc>
        <w:tc>
          <w:tcPr/>
          <w:p>
            <w:pPr>
              <w:pStyle w:val="Compact"/>
              <w:jc w:val="right"/>
            </w:pPr>
            <w:r>
              <w:t xml:space="preserve">0.9005</w:t>
            </w:r>
          </w:p>
        </w:tc>
        <w:tc>
          <w:tcPr/>
          <w:p>
            <w:pPr>
              <w:pStyle w:val="Compact"/>
            </w:pPr>
          </w:p>
        </w:tc>
      </w:tr>
    </w:tbl>
    <w:bookmarkEnd w:id="126"/>
    <w:bookmarkStart w:id="127" w:name="lays-outcome-all-sample"/>
    <w:p>
      <w:pPr>
        <w:pStyle w:val="Heading5"/>
      </w:pPr>
      <w:r>
        <w:t xml:space="preserve">LAYS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0.3964</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0.9864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139</w:t>
            </w:r>
          </w:p>
        </w:tc>
        <w:tc>
          <w:tcPr/>
          <w:p>
            <w:pPr>
              <w:pStyle w:val="Compact"/>
              <w:jc w:val="right"/>
            </w:pPr>
            <w:r>
              <w:t xml:space="preserve">-0.001</w:t>
            </w:r>
          </w:p>
        </w:tc>
        <w:tc>
          <w:tcPr/>
          <w:p>
            <w:pPr>
              <w:pStyle w:val="Compact"/>
              <w:jc w:val="right"/>
            </w:pPr>
            <w:r>
              <w:t xml:space="preserve">0.019</w:t>
            </w:r>
          </w:p>
        </w:tc>
        <w:tc>
          <w:tcPr/>
          <w:p>
            <w:pPr>
              <w:pStyle w:val="Compact"/>
              <w:jc w:val="right"/>
            </w:pPr>
            <w:r>
              <w:t xml:space="preserve">0.9495</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0.9888</w:t>
            </w:r>
          </w:p>
        </w:tc>
        <w:tc>
          <w:tcPr/>
          <w:p>
            <w:pPr>
              <w:pStyle w:val="Compact"/>
            </w:pPr>
          </w:p>
        </w:tc>
      </w:tr>
    </w:tbl>
    <w:bookmarkEnd w:id="127"/>
    <w:bookmarkStart w:id="128" w:name="lays-outcome-ssa-sample"/>
    <w:p>
      <w:pPr>
        <w:pStyle w:val="Heading5"/>
      </w:pPr>
      <w:r>
        <w:t xml:space="preserve">LAYS outcome — SSA sample</w:t>
      </w:r>
    </w:p>
    <w:tbl>
      <w:tblPr>
        <w:tblStyle w:val="Table"/>
        <w:tblW w:type="pct" w:w="5000"/>
        <w:tblLayout w:type="fixed"/>
        <w:tblLook w:firstRow="1" w:lastRow="0" w:firstColumn="0" w:lastColumn="0" w:noHBand="0" w:noVBand="0" w:val="0020"/>
      </w:tblPr>
      <w:tblGrid>
        <w:gridCol w:w="666"/>
        <w:gridCol w:w="2834"/>
        <w:gridCol w:w="1917"/>
        <w:gridCol w:w="250"/>
        <w:gridCol w:w="500"/>
        <w:gridCol w:w="500"/>
        <w:gridCol w:w="666"/>
        <w:gridCol w:w="583"/>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0.232</w:t>
            </w:r>
          </w:p>
        </w:tc>
        <w:tc>
          <w:tcPr/>
          <w:p>
            <w:pPr>
              <w:pStyle w:val="Compact"/>
              <w:jc w:val="right"/>
            </w:pPr>
            <w:r>
              <w:t xml:space="preserve">0.474</w:t>
            </w:r>
          </w:p>
        </w:tc>
        <w:tc>
          <w:tcPr/>
          <w:p>
            <w:pPr>
              <w:pStyle w:val="Compact"/>
              <w:jc w:val="right"/>
            </w:pPr>
            <w:r>
              <w:t xml:space="preserve">0.6302</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0.180</w:t>
            </w:r>
          </w:p>
        </w:tc>
        <w:tc>
          <w:tcPr/>
          <w:p>
            <w:pPr>
              <w:pStyle w:val="Compact"/>
              <w:jc w:val="right"/>
            </w:pPr>
            <w:r>
              <w:t xml:space="preserve">0.460</w:t>
            </w:r>
          </w:p>
        </w:tc>
        <w:tc>
          <w:tcPr/>
          <w:p>
            <w:pPr>
              <w:pStyle w:val="Compact"/>
              <w:jc w:val="right"/>
            </w:pPr>
            <w:r>
              <w:t xml:space="preserve">0.7005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0.017</w:t>
            </w:r>
          </w:p>
        </w:tc>
        <w:tc>
          <w:tcPr/>
          <w:p>
            <w:pPr>
              <w:pStyle w:val="Compact"/>
              <w:jc w:val="right"/>
            </w:pPr>
            <w:r>
              <w:t xml:space="preserve">0.4447</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0.024</w:t>
            </w:r>
          </w:p>
        </w:tc>
        <w:tc>
          <w:tcPr/>
          <w:p>
            <w:pPr>
              <w:pStyle w:val="Compact"/>
              <w:jc w:val="right"/>
            </w:pPr>
            <w:r>
              <w:t xml:space="preserve">0.5999</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0.015</w:t>
            </w:r>
          </w:p>
        </w:tc>
        <w:tc>
          <w:tcPr/>
          <w:p>
            <w:pPr>
              <w:pStyle w:val="Compact"/>
              <w:jc w:val="right"/>
            </w:pPr>
            <w:r>
              <w:t xml:space="preserve">0.017</w:t>
            </w:r>
          </w:p>
        </w:tc>
        <w:tc>
          <w:tcPr/>
          <w:p>
            <w:pPr>
              <w:pStyle w:val="Compact"/>
              <w:jc w:val="right"/>
            </w:pPr>
            <w:r>
              <w:t xml:space="preserve">0.3980</w:t>
            </w:r>
          </w:p>
        </w:tc>
        <w:tc>
          <w:tcPr/>
          <w:p>
            <w:pPr>
              <w:pStyle w:val="Compact"/>
            </w:pPr>
          </w:p>
        </w:tc>
      </w:tr>
    </w:tbl>
    <w:bookmarkEnd w:id="128"/>
    <w:bookmarkEnd w:id="129"/>
    <w:bookmarkEnd w:id="130"/>
    <w:bookmarkStart w:id="132" w:name="X20a970173b305a008b34a11d8a04c8e21a62cfe"/>
    <w:p>
      <w:pPr>
        <w:pStyle w:val="Heading2"/>
      </w:pPr>
      <w:r>
        <w:t xml:space="preserve">B.4 HLO measure-fragility — AAP-2018 full + overlap (ADR-0004)</w:t>
      </w:r>
    </w:p>
    <w:bookmarkStart w:id="131" w:name="X6ce510fd7961764c78c2f5a678b1ee6e83d1342"/>
    <w:p>
      <w:pPr>
        <w:pStyle w:val="Heading4"/>
      </w:pPr>
      <w:r>
        <w:t xml:space="preserve">Pass 1 — HLO measure sensitivity (ADR-0004 principal robustness)</w:t>
      </w:r>
    </w:p>
    <w:p>
      <w:pPr>
        <w:pStyle w:val="FirstParagraph"/>
      </w:pPr>
      <w:r>
        <w:t xml:space="preserve">Refit of Model 2 spec 2e (locked encoding: log_crs_strict + log_gdp_pc + wdi_ptr_primary + wdi_edu_exp_pct_gdp + wgi_pc1; two-way FE country + year; country-clustered SE) with the AAP-2018 harmonized learning outcome (</w:t>
      </w:r>
      <w:r>
        <w:rPr>
          <w:rStyle w:val="VerbatimChar"/>
        </w:rPr>
        <w:t xml:space="preserve">aap_hlo_aap</w:t>
      </w:r>
      <w:r>
        <w:t xml:space="preserve">) substituted for the WB primary measure.</w:t>
      </w:r>
    </w:p>
    <w:p>
      <w:pPr>
        <w:pStyle w:val="BodyText"/>
      </w:pPr>
      <w:r>
        <w:rPr>
          <w:b/>
          <w:bCs/>
        </w:rPr>
        <w:t xml:space="preserve">Two AAP-2018 specifications</w:t>
      </w:r>
      <w:r>
        <w:t xml:space="preserve"> </w:t>
      </w:r>
      <w:r>
        <w:t xml:space="preserve">to disentangle measure-choice vs sample-window effects:</w:t>
      </w:r>
    </w:p>
    <w:p>
      <w:pPr>
        <w:pStyle w:val="Compact"/>
        <w:numPr>
          <w:ilvl w:val="0"/>
          <w:numId w:val="1004"/>
        </w:numPr>
      </w:pPr>
      <w:r>
        <w:rPr>
          <w:b/>
          <w:bCs/>
        </w:rPr>
        <w:t xml:space="preserve">AAP full coverage</w:t>
      </w:r>
      <w:r>
        <w:t xml:space="preserve"> </w:t>
      </w:r>
      <w:r>
        <w:t xml:space="preserve">— N = 69 rows, 62 countries, year range 2005-2015 (5 AAP cycles).</w:t>
      </w:r>
    </w:p>
    <w:p>
      <w:pPr>
        <w:pStyle w:val="Compact"/>
        <w:numPr>
          <w:ilvl w:val="0"/>
          <w:numId w:val="1004"/>
        </w:numPr>
      </w:pPr>
      <w:r>
        <w:rPr>
          <w:b/>
          <w:bCs/>
        </w:rPr>
        <w:t xml:space="preserve">AAP overlap window (year ≥ 2010)</w:t>
      </w:r>
      <w:r>
        <w:t xml:space="preserve"> </w:t>
      </w:r>
      <w:r>
        <w:t xml:space="preserve">— N = 36 rows, 42 countries (2 AAP cycles in primary window).</w:t>
      </w:r>
    </w:p>
    <w:tbl>
      <w:tblPr>
        <w:tblStyle w:val="Table"/>
        <w:tblW w:type="pct" w:w="5000"/>
        <w:tblLayout w:type="fixed"/>
        <w:tblLook w:firstRow="1" w:lastRow="0" w:firstColumn="0" w:lastColumn="0" w:noHBand="0" w:noVBand="0" w:val="0020"/>
      </w:tblPr>
      <w:tblGrid>
        <w:gridCol w:w="3909"/>
        <w:gridCol w:w="1403"/>
        <w:gridCol w:w="401"/>
        <w:gridCol w:w="802"/>
        <w:gridCol w:w="601"/>
        <w:gridCol w:w="802"/>
      </w:tblGrid>
      <w:tr>
        <w:trPr>
          <w:tblHeader w:val="on"/>
        </w:trPr>
        <w:tc>
          <w:tcPr/>
          <w:p>
            <w:pPr>
              <w:pStyle w:val="Compact"/>
              <w:jc w:val="left"/>
            </w:pPr>
            <w:r>
              <w:t xml:space="preserve">spec</w:t>
            </w:r>
          </w:p>
        </w:tc>
        <w:tc>
          <w:tcPr/>
          <w:p>
            <w:pPr>
              <w:pStyle w:val="Compact"/>
              <w:jc w:val="left"/>
            </w:pPr>
            <w:r>
              <w:t xml:space="preserve">outcome</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r>
      <w:tr>
        <w:tc>
          <w:tcPr/>
          <w:p>
            <w:pPr>
              <w:pStyle w:val="Compact"/>
              <w:jc w:val="left"/>
            </w:pPr>
            <w:r>
              <w:t xml:space="preserve">Primary (WB HD.HCI.HLOS, 2010-2020)</w:t>
            </w:r>
          </w:p>
        </w:tc>
        <w:tc>
          <w:tcPr/>
          <w:p>
            <w:pPr>
              <w:pStyle w:val="Compact"/>
              <w:jc w:val="left"/>
            </w:pPr>
            <w:r>
              <w:t xml:space="preserve">hlo_hlo_score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NA</w:t>
            </w:r>
          </w:p>
        </w:tc>
      </w:tr>
      <w:tr>
        <w:tc>
          <w:tcPr/>
          <w:p>
            <w:pPr>
              <w:pStyle w:val="Compact"/>
              <w:jc w:val="left"/>
            </w:pPr>
            <w:r>
              <w:t xml:space="preserve">AAP-2018 full coverage (1995-2015)</w:t>
            </w:r>
          </w:p>
        </w:tc>
        <w:tc>
          <w:tcPr/>
          <w:p>
            <w:pPr>
              <w:pStyle w:val="Compact"/>
              <w:jc w:val="left"/>
            </w:pPr>
            <w:r>
              <w:t xml:space="preserve">aap_hlo_aap</w:t>
            </w:r>
          </w:p>
        </w:tc>
        <w:tc>
          <w:tcPr/>
          <w:p>
            <w:pPr>
              <w:pStyle w:val="Compact"/>
              <w:jc w:val="right"/>
            </w:pPr>
            <w:r>
              <w:t xml:space="preserve">69</w:t>
            </w:r>
          </w:p>
        </w:tc>
        <w:tc>
          <w:tcPr/>
          <w:p>
            <w:pPr>
              <w:pStyle w:val="Compact"/>
              <w:jc w:val="right"/>
            </w:pPr>
            <w:r>
              <w:t xml:space="preserve">-16.673</w:t>
            </w:r>
          </w:p>
        </w:tc>
        <w:tc>
          <w:tcPr/>
          <w:p>
            <w:pPr>
              <w:pStyle w:val="Compact"/>
              <w:jc w:val="right"/>
            </w:pPr>
            <w:r>
              <w:t xml:space="preserve">5.965</w:t>
            </w:r>
          </w:p>
        </w:tc>
        <w:tc>
          <w:tcPr/>
          <w:p>
            <w:pPr>
              <w:pStyle w:val="Compact"/>
              <w:jc w:val="right"/>
            </w:pPr>
            <w:r>
              <w:t xml:space="preserve">0.0094</w:t>
            </w:r>
          </w:p>
        </w:tc>
      </w:tr>
      <w:tr>
        <w:tc>
          <w:tcPr/>
          <w:p>
            <w:pPr>
              <w:pStyle w:val="Compact"/>
              <w:jc w:val="left"/>
            </w:pPr>
            <w:r>
              <w:t xml:space="preserve">AAP-2018 overlap window (year &gt;= 2010)</w:t>
            </w:r>
          </w:p>
        </w:tc>
        <w:tc>
          <w:tcPr/>
          <w:p>
            <w:pPr>
              <w:pStyle w:val="Compact"/>
              <w:jc w:val="left"/>
            </w:pPr>
            <w:r>
              <w:t xml:space="preserve">aap_hlo_aap</w:t>
            </w:r>
          </w:p>
        </w:tc>
        <w:tc>
          <w:tcPr/>
          <w:p>
            <w:pPr>
              <w:pStyle w:val="Compact"/>
              <w:jc w:val="right"/>
            </w:pPr>
            <w:r>
              <w:t xml:space="preserve">36</w:t>
            </w:r>
          </w:p>
        </w:tc>
        <w:tc>
          <w:tcPr/>
          <w:p>
            <w:pPr>
              <w:pStyle w:val="Compact"/>
              <w:jc w:val="right"/>
            </w:pPr>
            <w:r>
              <w:t xml:space="preserve">-3.941</w:t>
            </w:r>
          </w:p>
        </w:tc>
        <w:tc>
          <w:tcPr/>
          <w:p>
            <w:pPr>
              <w:pStyle w:val="Compact"/>
              <w:jc w:val="right"/>
            </w:pPr>
            <w:r>
              <w:t xml:space="preserve">8.682</w:t>
            </w:r>
          </w:p>
        </w:tc>
        <w:tc>
          <w:tcPr/>
          <w:p>
            <w:pPr>
              <w:pStyle w:val="Compact"/>
              <w:jc w:val="right"/>
            </w:pPr>
            <w:r>
              <w:t xml:space="preserve">0.6556</w:t>
            </w:r>
          </w:p>
        </w:tc>
      </w:tr>
    </w:tbl>
    <w:p>
      <w:pPr>
        <w:pStyle w:val="BodyText"/>
      </w:pPr>
      <w:r>
        <w:rPr>
          <w:b/>
          <w:bCs/>
        </w:rPr>
        <w:t xml:space="preserve">Sign agreement (primary vs AAP full):</w:t>
      </w:r>
      <w:r>
        <w:t xml:space="preserve"> </w:t>
      </w:r>
      <w:r>
        <w:t xml:space="preserve">✗ DIFFERENT SIGN</w:t>
      </w:r>
      <w:r>
        <w:t xml:space="preserve"> </w:t>
      </w:r>
      <w:r>
        <w:rPr>
          <w:b/>
          <w:bCs/>
        </w:rPr>
        <w:t xml:space="preserve">Within-CI agreement (full):</w:t>
      </w:r>
      <w:r>
        <w:t xml:space="preserve"> </w:t>
      </w:r>
      <w:r>
        <w:t xml:space="preserve">✗ outside-CI</w:t>
      </w:r>
      <w:r>
        <w:t xml:space="preserve"> </w:t>
      </w:r>
      <w:r>
        <w:rPr>
          <w:b/>
          <w:bCs/>
        </w:rPr>
        <w:t xml:space="preserve">Sign agreement (primary vs AAP overlap-window):</w:t>
      </w:r>
      <w:r>
        <w:t xml:space="preserve"> </w:t>
      </w:r>
      <w:r>
        <w:t xml:space="preserve">✗ DIFFERENT SIGN</w:t>
      </w:r>
    </w:p>
    <w:p>
      <w:pPr>
        <w:pStyle w:val="BodyText"/>
      </w:pPr>
      <w:r>
        <w:rPr>
          <w:b/>
          <w:bCs/>
        </w:rPr>
        <w:t xml:space="preserve">Reading per methodology §3.4:</w:t>
      </w:r>
      <w:r>
        <w:t xml:space="preserve"> </w:t>
      </w:r>
      <w:r>
        <w:t xml:space="preserve">“the within-country coefficient must be the same sign and within-CI magnitude across the primary and AAP-2018 specifications for the headline claim to stand.”</w:t>
      </w:r>
      <w:r>
        <w:t xml:space="preserve"> </w:t>
      </w:r>
      <w:r>
        <w:t xml:space="preserve">The two AAP variants test whether any sign disagreement is driven by</w:t>
      </w:r>
      <w:r>
        <w:t xml:space="preserve"> </w:t>
      </w:r>
      <w:r>
        <w:rPr>
          <w:i/>
          <w:iCs/>
        </w:rPr>
        <w:t xml:space="preserve">measure choice</w:t>
      </w:r>
      <w:r>
        <w:t xml:space="preserve"> </w:t>
      </w:r>
      <w:r>
        <w:t xml:space="preserve">(AAP harmonization vs WB HCI) or by</w:t>
      </w:r>
      <w:r>
        <w:t xml:space="preserve"> </w:t>
      </w:r>
      <w:r>
        <w:rPr>
          <w:i/>
          <w:iCs/>
        </w:rPr>
        <w:t xml:space="preserve">sample-window composition</w:t>
      </w:r>
      <w:r>
        <w:t xml:space="preserve"> </w:t>
      </w:r>
      <w:r>
        <w:t xml:space="preserve">(AAP’s pre-2010 epoch vs primary’s 2010-2020). If full-AAP and overlap-AAP agree → measure-effect. If they disagree → window-effect.</w:t>
      </w:r>
    </w:p>
    <w:bookmarkEnd w:id="131"/>
    <w:bookmarkEnd w:id="132"/>
    <w:bookmarkStart w:id="134" w:name="X7dc7a8510f3b771e46d31a9f2678e4f8003b1e1"/>
    <w:p>
      <w:pPr>
        <w:pStyle w:val="Heading2"/>
      </w:pPr>
      <w:r>
        <w:t xml:space="preserve">B.5 UIS-augmented listwise (ADR-0006 Robustness 1)</w:t>
      </w:r>
    </w:p>
    <w:bookmarkStart w:id="133" w:name="Xd199ed3128ba45ca7eae48cdfdbc5e7b3ddeae7"/>
    <w:p>
      <w:pPr>
        <w:pStyle w:val="Heading4"/>
      </w:pPr>
      <w:r>
        <w:t xml:space="preserve">Pass 1 — UIS-augmented listwise (ADR-0006 Robustness 1)</w:t>
      </w:r>
    </w:p>
    <w:p>
      <w:pPr>
        <w:pStyle w:val="FirstParagraph"/>
      </w:pPr>
      <w:r>
        <w:t xml:space="preserve">Refit of Model 2 spec 2e with</w:t>
      </w:r>
      <w:r>
        <w:t xml:space="preserve"> </w:t>
      </w:r>
      <w:r>
        <w:rPr>
          <w:rStyle w:val="VerbatimChar"/>
        </w:rPr>
        <w:t xml:space="preserve">uis_priv_exp_pct_gdp</w:t>
      </w:r>
      <w:r>
        <w:t xml:space="preserve"> </w:t>
      </w:r>
      <w:r>
        <w:t xml:space="preserve">added to the regressor stack. Listwise-complete subset on the 2010-2020 primary window. Per ADR-0006, this is</w:t>
      </w:r>
      <w:r>
        <w:t xml:space="preserve"> </w:t>
      </w:r>
      <w:r>
        <w:rPr>
          <w:i/>
          <w:iCs/>
        </w:rPr>
        <w:t xml:space="preserve">Robustness 1</w:t>
      </w:r>
      <w:r>
        <w:t xml:space="preserve"> </w:t>
      </w:r>
      <w:r>
        <w:t xml:space="preserve">of three originally committed (Robustness 2 = MI, now retired per ADR-0012; Robustness 3 = the primary UIS-dropped spec).</w:t>
      </w:r>
    </w:p>
    <w:p>
      <w:pPr>
        <w:pStyle w:val="BodyText"/>
      </w:pPr>
      <w:r>
        <w:rPr>
          <w:b/>
          <w:bCs/>
        </w:rPr>
        <w:t xml:space="preserve">UIS-augmented listwise N = 41</w:t>
      </w:r>
      <w:r>
        <w:t xml:space="preserve"> </w:t>
      </w:r>
      <w:r>
        <w:t xml:space="preserve">vs primary N = 143 (~71% sample loss adding UIS).</w:t>
      </w:r>
    </w:p>
    <w:tbl>
      <w:tblPr>
        <w:tblStyle w:val="Table"/>
        <w:tblW w:type="pct" w:w="5000"/>
        <w:tblLayout w:type="fixed"/>
        <w:tblLook w:firstRow="1" w:lastRow="0" w:firstColumn="0" w:lastColumn="0" w:noHBand="0" w:noVBand="0" w:val="0020"/>
      </w:tblPr>
      <w:tblGrid>
        <w:gridCol w:w="2925"/>
        <w:gridCol w:w="285"/>
        <w:gridCol w:w="642"/>
        <w:gridCol w:w="499"/>
        <w:gridCol w:w="713"/>
        <w:gridCol w:w="713"/>
        <w:gridCol w:w="499"/>
        <w:gridCol w:w="642"/>
        <w:gridCol w:w="499"/>
        <w:gridCol w:w="499"/>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ci_lo_ODA</w:t>
            </w:r>
          </w:p>
        </w:tc>
        <w:tc>
          <w:tcPr/>
          <w:p>
            <w:pPr>
              <w:pStyle w:val="Compact"/>
              <w:jc w:val="right"/>
            </w:pPr>
            <w:r>
              <w:t xml:space="preserve">ci_hi_ODA</w:t>
            </w:r>
          </w:p>
        </w:tc>
        <w:tc>
          <w:tcPr/>
          <w:p>
            <w:pPr>
              <w:pStyle w:val="Compact"/>
              <w:jc w:val="right"/>
            </w:pPr>
            <w:r>
              <w:t xml:space="preserve">p_ODA</w:t>
            </w:r>
          </w:p>
        </w:tc>
        <w:tc>
          <w:tcPr/>
          <w:p>
            <w:pPr>
              <w:pStyle w:val="Compact"/>
              <w:jc w:val="right"/>
            </w:pPr>
            <w:r>
              <w:t xml:space="preserve">beta_UIS</w:t>
            </w:r>
          </w:p>
        </w:tc>
        <w:tc>
          <w:tcPr/>
          <w:p>
            <w:pPr>
              <w:pStyle w:val="Compact"/>
              <w:jc w:val="right"/>
            </w:pPr>
            <w:r>
              <w:t xml:space="preserve">se_UIS</w:t>
            </w:r>
          </w:p>
        </w:tc>
        <w:tc>
          <w:tcPr/>
          <w:p>
            <w:pPr>
              <w:pStyle w:val="Compact"/>
              <w:jc w:val="right"/>
            </w:pPr>
            <w:r>
              <w:t xml:space="preserve">p_UIS</w:t>
            </w:r>
          </w:p>
        </w:tc>
      </w:tr>
      <w:tr>
        <w:tc>
          <w:tcPr/>
          <w:p>
            <w:pPr>
              <w:pStyle w:val="Compact"/>
              <w:jc w:val="left"/>
            </w:pPr>
            <w:r>
              <w:t xml:space="preserve">Primary (UIS dropped, ADR-0006 Option 3)</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0.3207</w:t>
            </w:r>
          </w:p>
        </w:tc>
        <w:tc>
          <w:tcPr/>
          <w:p>
            <w:pPr>
              <w:pStyle w:val="Compact"/>
              <w:jc w:val="right"/>
            </w:pPr>
            <w:r>
              <w:t xml:space="preserve">21.951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Robustness 1 (UIS-augmented listwise)</w:t>
            </w:r>
          </w:p>
        </w:tc>
        <w:tc>
          <w:tcPr/>
          <w:p>
            <w:pPr>
              <w:pStyle w:val="Compact"/>
              <w:jc w:val="right"/>
            </w:pPr>
            <w:r>
              <w:t xml:space="preserve">41</w:t>
            </w:r>
          </w:p>
        </w:tc>
        <w:tc>
          <w:tcPr/>
          <w:p>
            <w:pPr>
              <w:pStyle w:val="Compact"/>
              <w:jc w:val="right"/>
            </w:pPr>
            <w:r>
              <w:t xml:space="preserve">-1.967</w:t>
            </w:r>
          </w:p>
        </w:tc>
        <w:tc>
          <w:tcPr/>
          <w:p>
            <w:pPr>
              <w:pStyle w:val="Compact"/>
              <w:jc w:val="right"/>
            </w:pPr>
            <w:r>
              <w:t xml:space="preserve">4.395</w:t>
            </w:r>
          </w:p>
        </w:tc>
        <w:tc>
          <w:tcPr/>
          <w:p>
            <w:pPr>
              <w:pStyle w:val="Compact"/>
              <w:jc w:val="right"/>
            </w:pPr>
            <w:r>
              <w:t xml:space="preserve">-10.5812</w:t>
            </w:r>
          </w:p>
        </w:tc>
        <w:tc>
          <w:tcPr/>
          <w:p>
            <w:pPr>
              <w:pStyle w:val="Compact"/>
              <w:jc w:val="right"/>
            </w:pPr>
            <w:r>
              <w:t xml:space="preserve">6.648</w:t>
            </w:r>
          </w:p>
        </w:tc>
        <w:tc>
          <w:tcPr/>
          <w:p>
            <w:pPr>
              <w:pStyle w:val="Compact"/>
              <w:jc w:val="right"/>
            </w:pPr>
            <w:r>
              <w:t xml:space="preserve">0.6602</w:t>
            </w:r>
          </w:p>
        </w:tc>
        <w:tc>
          <w:tcPr/>
          <w:p>
            <w:pPr>
              <w:pStyle w:val="Compact"/>
              <w:jc w:val="right"/>
            </w:pPr>
            <w:r>
              <w:t xml:space="preserve">24.15</w:t>
            </w:r>
          </w:p>
        </w:tc>
        <w:tc>
          <w:tcPr/>
          <w:p>
            <w:pPr>
              <w:pStyle w:val="Compact"/>
              <w:jc w:val="right"/>
            </w:pPr>
            <w:r>
              <w:t xml:space="preserve">17.37</w:t>
            </w:r>
          </w:p>
        </w:tc>
        <w:tc>
          <w:tcPr/>
          <w:p>
            <w:pPr>
              <w:pStyle w:val="Compact"/>
              <w:jc w:val="right"/>
            </w:pPr>
            <w:r>
              <w:t xml:space="preserve">0.1825</w:t>
            </w:r>
          </w:p>
        </w:tc>
      </w:tr>
    </w:tbl>
    <w:p>
      <w:pPr>
        <w:pStyle w:val="BodyText"/>
      </w:pPr>
      <w:r>
        <w:rPr>
          <w:b/>
          <w:bCs/>
        </w:rPr>
        <w:t xml:space="preserve">ODA-coefficient sign agreement:</w:t>
      </w:r>
      <w:r>
        <w:t xml:space="preserve"> </w:t>
      </w:r>
      <w:r>
        <w:t xml:space="preserve">✗ DIFFERENT SIGN — investigate</w:t>
      </w:r>
      <w:r>
        <w:t xml:space="preserve"> </w:t>
      </w:r>
      <w:r>
        <w:rPr>
          <w:b/>
          <w:bCs/>
        </w:rPr>
        <w:t xml:space="preserve">ODA-coefficient within-CI agreement:</w:t>
      </w:r>
      <w:r>
        <w:t xml:space="preserve"> </w:t>
      </w:r>
      <w:r>
        <w:t xml:space="preserve">✗ outside-CI — investigate</w:t>
      </w:r>
    </w:p>
    <w:p>
      <w:pPr>
        <w:pStyle w:val="BodyText"/>
      </w:pPr>
      <w:r>
        <w:rPr>
          <w:b/>
          <w:bCs/>
        </w:rPr>
        <w:t xml:space="preserve">Reading per ADR-0006:</w:t>
      </w:r>
      <w:r>
        <w:t xml:space="preserve"> </w:t>
      </w:r>
      <w:r>
        <w:t xml:space="preserve">if primary, listwise-UIS, and (former) MI-UIS all give the same sign and within-CI magnitude, the result is robust to the UIS-inclusion choice. With MI retired by ADR-0012, the listwise vs primary comparison carries the full robustness burden in that direction.</w:t>
      </w:r>
    </w:p>
    <w:bookmarkEnd w:id="133"/>
    <w:bookmarkEnd w:id="134"/>
    <w:bookmarkStart w:id="135" w:name="b.6-littles-mcar-test-results"/>
    <w:p>
      <w:pPr>
        <w:pStyle w:val="Heading2"/>
      </w:pPr>
      <w:r>
        <w:t xml:space="preserve">B.6 Little’s MCAR test results</w:t>
      </w:r>
    </w:p>
    <w:p>
      <w:pPr>
        <w:pStyle w:val="FirstParagraph"/>
      </w:pPr>
      <w:r>
        <w:t xml:space="preserve">Production-panel MCAR test (</w:t>
      </w:r>
      <w:r>
        <w:rPr>
          <w:rStyle w:val="VerbatimChar"/>
        </w:rPr>
        <w:t xml:space="preserve">naniar::mcar_test</w:t>
      </w:r>
      <w:r>
        <w:t xml:space="preserve">) rejects MCAR decisively on both the primary-window 6-column subset and the UIS-augmented 7-column subset:</w:t>
      </w:r>
    </w:p>
    <w:p>
      <w:pPr>
        <w:pStyle w:val="SourceCode"/>
      </w:pPr>
      <w:r>
        <w:rPr>
          <w:rStyle w:val="VerbatimChar"/>
        </w:rPr>
        <w:t xml:space="preserve">[6-column primary window, n = 1463 rows]</w:t>
      </w:r>
      <w:r>
        <w:br/>
      </w:r>
      <w:r>
        <w:rPr>
          <w:rStyle w:val="VerbatimChar"/>
        </w:rPr>
        <w:t xml:space="preserve">statistic = 175.796</w:t>
      </w:r>
      <w:r>
        <w:br/>
      </w:r>
      <w:r>
        <w:rPr>
          <w:rStyle w:val="VerbatimChar"/>
        </w:rPr>
        <w:t xml:space="preserve">df = 41</w:t>
      </w:r>
      <w:r>
        <w:br/>
      </w:r>
      <w:r>
        <w:rPr>
          <w:rStyle w:val="VerbatimChar"/>
        </w:rPr>
        <w:t xml:space="preserve">p_value &lt; 10⁻⁶</w:t>
      </w:r>
      <w:r>
        <w:br/>
      </w:r>
      <w:r>
        <w:rPr>
          <w:rStyle w:val="VerbatimChar"/>
        </w:rPr>
        <w:t xml:space="preserve">missing_patterns = 12</w:t>
      </w:r>
      <w:r>
        <w:br/>
      </w:r>
      <w:r>
        <w:rPr>
          <w:rStyle w:val="VerbatimChar"/>
        </w:rPr>
        <w:t xml:space="preserve">complete_row_count = 173</w:t>
      </w:r>
      <w:r>
        <w:br/>
      </w:r>
      <w:r>
        <w:br/>
      </w:r>
      <w:r>
        <w:rPr>
          <w:rStyle w:val="VerbatimChar"/>
        </w:rPr>
        <w:t xml:space="preserve">[7-column UIS-augmented, n = 1463 rows]</w:t>
      </w:r>
      <w:r>
        <w:br/>
      </w:r>
      <w:r>
        <w:rPr>
          <w:rStyle w:val="VerbatimChar"/>
        </w:rPr>
        <w:t xml:space="preserve">statistic = 341.900</w:t>
      </w:r>
      <w:r>
        <w:br/>
      </w:r>
      <w:r>
        <w:rPr>
          <w:rStyle w:val="VerbatimChar"/>
        </w:rPr>
        <w:t xml:space="preserve">p_value &lt; 10⁻⁶</w:t>
      </w:r>
    </w:p>
    <w:p>
      <w:pPr>
        <w:pStyle w:val="FirstParagraph"/>
      </w:pPr>
      <w:r>
        <w:t xml:space="preserve">The MAR assumption multiple imputation requires is therefore not empirically supportable on this data; ADR-0012 retires the MI sub-commitment of ADR-0006 on this basis (in conjunction with the project’s no-fabrication discipline; CLAUDE.md).</w:t>
      </w:r>
    </w:p>
    <w:bookmarkEnd w:id="135"/>
    <w:bookmarkStart w:id="137" w:name="X7a489275ca3ae3c73334f59590e9379de051949"/>
    <w:p>
      <w:pPr>
        <w:pStyle w:val="Heading2"/>
      </w:pPr>
      <w:r>
        <w:t xml:space="preserve">B.7 Dumitrescu-Hurlin panel Granger pre-test</w:t>
      </w:r>
    </w:p>
    <w:bookmarkStart w:id="136" w:name="pass-1-granger-causality-test-panel"/>
    <w:p>
      <w:pPr>
        <w:pStyle w:val="Heading4"/>
      </w:pPr>
      <w:r>
        <w:t xml:space="preserve">Pass 1 — Granger causality test (panel)</w:t>
      </w:r>
    </w:p>
    <w:p>
      <w:pPr>
        <w:pStyle w:val="FirstParagraph"/>
      </w:pPr>
      <w:r>
        <w:rPr>
          <w:b/>
          <w:bCs/>
        </w:rPr>
        <w:t xml:space="preserve">Direction:</w:t>
      </w:r>
      <w:r>
        <w:t xml:space="preserve"> </w:t>
      </w:r>
      <w:r>
        <w:rPr>
          <w:rStyle w:val="VerbatimChar"/>
        </w:rPr>
        <w:t xml:space="preserve">log_crs_strict → hlo_hlo_score</w:t>
      </w:r>
      <w:r>
        <w:t xml:space="preserve"> </w:t>
      </w:r>
      <w:r>
        <w:t xml:space="preserve">(one-cycle lag).</w:t>
      </w:r>
      <w:r>
        <w:t xml:space="preserve"> </w:t>
      </w:r>
      <w:r>
        <w:rPr>
          <w:b/>
          <w:bCs/>
        </w:rPr>
        <w:t xml:space="preserve">Test:</w:t>
      </w:r>
      <w:r>
        <w:t xml:space="preserve"> </w:t>
      </w:r>
      <w:r>
        <w:t xml:space="preserve">Dumitrescu-Hurlin (2012) Z-tilde panel Granger (</w:t>
      </w:r>
      <w:r>
        <w:rPr>
          <w:rStyle w:val="VerbatimChar"/>
        </w:rPr>
        <w:t xml:space="preserve">plm::pgrangertest</w:t>
      </w:r>
      <w:r>
        <w:t xml:space="preserve">).</w:t>
      </w:r>
      <w:r>
        <w:t xml:space="preserve"> </w:t>
      </w:r>
      <w:r>
        <w:rPr>
          <w:b/>
          <w:bCs/>
        </w:rPr>
        <w:t xml:space="preserve">Caveat:</w:t>
      </w:r>
      <w:r>
        <w:t xml:space="preserve"> </w:t>
      </w:r>
      <w:r>
        <w:t xml:space="preserve">T_eff ≤ 4 HCI cycles per country in primary window — interpret as exploratory pre-test, not a definitive reverse-causality verdict.</w:t>
      </w:r>
    </w:p>
    <w:tbl>
      <w:tblPr>
        <w:tblStyle w:val="Table"/>
        <w:tblW w:type="pct" w:w="5000"/>
        <w:tblLayout w:type="fixed"/>
        <w:tblLook w:firstRow="1" w:lastRow="0" w:firstColumn="0" w:lastColumn="0" w:noHBand="0" w:noVBand="0" w:val="0020"/>
      </w:tblPr>
      <w:tblGrid>
        <w:gridCol w:w="1526"/>
        <w:gridCol w:w="1479"/>
        <w:gridCol w:w="477"/>
        <w:gridCol w:w="477"/>
        <w:gridCol w:w="381"/>
        <w:gridCol w:w="572"/>
        <w:gridCol w:w="3005"/>
      </w:tblGrid>
      <w:tr>
        <w:trPr>
          <w:tblHeader w:val="on"/>
        </w:trPr>
        <w:tc>
          <w:tcPr/>
          <w:p>
            <w:pPr>
              <w:pStyle w:val="Compact"/>
              <w:jc w:val="left"/>
            </w:pPr>
            <w:r>
              <w:t xml:space="preserve">test</w:t>
            </w:r>
          </w:p>
        </w:tc>
        <w:tc>
          <w:tcPr/>
          <w:p>
            <w:pPr>
              <w:pStyle w:val="Compact"/>
              <w:jc w:val="left"/>
            </w:pPr>
            <w:r>
              <w:t xml:space="preserve">direction</w:t>
            </w:r>
          </w:p>
        </w:tc>
        <w:tc>
          <w:tcPr/>
          <w:p>
            <w:pPr>
              <w:pStyle w:val="Compact"/>
              <w:jc w:val="right"/>
            </w:pPr>
            <w:r>
              <w:t xml:space="preserve">order_lag</w:t>
            </w:r>
          </w:p>
        </w:tc>
        <w:tc>
          <w:tcPr/>
          <w:p>
            <w:pPr>
              <w:pStyle w:val="Compact"/>
              <w:jc w:val="right"/>
            </w:pPr>
            <w:r>
              <w:t xml:space="preserve">statistic</w:t>
            </w:r>
          </w:p>
        </w:tc>
        <w:tc>
          <w:tcPr/>
          <w:p>
            <w:pPr>
              <w:pStyle w:val="Compact"/>
              <w:jc w:val="right"/>
            </w:pPr>
            <w:r>
              <w:t xml:space="preserve">p_value</w:t>
            </w:r>
          </w:p>
        </w:tc>
        <w:tc>
          <w:tcPr/>
          <w:p>
            <w:pPr>
              <w:pStyle w:val="Compact"/>
              <w:jc w:val="right"/>
            </w:pPr>
            <w:r>
              <w:t xml:space="preserve">n_countries</w:t>
            </w:r>
          </w:p>
        </w:tc>
        <w:tc>
          <w:tcPr/>
          <w:p>
            <w:pPr>
              <w:pStyle w:val="Compact"/>
              <w:jc w:val="left"/>
            </w:pPr>
            <w:r>
              <w:t xml:space="preserve">note</w:t>
            </w:r>
          </w:p>
        </w:tc>
      </w:tr>
      <w:tr>
        <w:tc>
          <w:tcPr/>
          <w:p>
            <w:pPr>
              <w:pStyle w:val="Compact"/>
              <w:jc w:val="left"/>
            </w:pPr>
            <w:r>
              <w:t xml:space="preserve">Dumitrescu-Hurlin panel Granger</w:t>
            </w:r>
          </w:p>
        </w:tc>
        <w:tc>
          <w:tcPr/>
          <w:p>
            <w:pPr>
              <w:pStyle w:val="Compact"/>
              <w:jc w:val="left"/>
            </w:pPr>
            <w:r>
              <w:t xml:space="preserve">log_crs_strict → hlo_hlo_score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133</w:t>
            </w:r>
          </w:p>
        </w:tc>
        <w:tc>
          <w:tcPr/>
          <w:p>
            <w:pPr>
              <w:pStyle w:val="Compact"/>
              <w:jc w:val="left"/>
            </w:pPr>
            <w:r>
              <w:t xml:space="preserve">pgrangertest failed; see stdout / consider lag-order reduction</w:t>
            </w:r>
          </w:p>
        </w:tc>
      </w:tr>
    </w:tbl>
    <w:p>
      <w:pPr>
        <w:pStyle w:val="BodyText"/>
      </w:pPr>
      <w:r>
        <w:rPr>
          <w:b/>
          <w:bCs/>
        </w:rPr>
        <w:t xml:space="preserve">Reading:</w:t>
      </w:r>
      <w:r>
        <w:t xml:space="preserve"> </w:t>
      </w:r>
      <w:r>
        <w:t xml:space="preserve">rejection of the null</w:t>
      </w:r>
      <w:r>
        <w:t xml:space="preserve"> </w:t>
      </w:r>
      <w:r>
        <w:t xml:space="preserve">“log(CRS) does not Granger-cause HLO”</w:t>
      </w:r>
      <w:r>
        <w:t xml:space="preserve"> </w:t>
      </w:r>
      <w:r>
        <w:t xml:space="preserve">provides exploratory support for the treatment-side direction of the within-country association. Non-rejection at small T is uninformative rather than evidence of no causality.</w:t>
      </w:r>
    </w:p>
    <w:p>
      <w:pPr>
        <w:pStyle w:val="BodyText"/>
      </w:pPr>
      <w:r>
        <w:t xml:space="preserve">The test requires T &gt; 5 + 3·order = 8 per country at order 1, and is therefore not estimable on the HCI-cycle panel (T_eff ≤ 4). The same small-T limit forecloses the Arellano-Bond difference-GMM remedy committed in ADR-0010 (Bond 2002 minimum T ≥ 5–10).</w:t>
      </w:r>
    </w:p>
    <w:bookmarkEnd w:id="136"/>
    <w:bookmarkEnd w:id="137"/>
    <w:bookmarkEnd w:id="138"/>
    <w:bookmarkStart w:id="139" w:name="appendix-c-variable-operationalization"/>
    <w:p>
      <w:pPr>
        <w:pStyle w:val="Heading1"/>
      </w:pPr>
      <w:r>
        <w:t xml:space="preserve">Appendix C: Variable operationalization</w:t>
      </w:r>
    </w:p>
    <w:p>
      <w:pPr>
        <w:pStyle w:val="FirstParagraph"/>
      </w:pPr>
      <w:r>
        <w:t xml:space="preserve">Every variable used in the manuscript is sourced, operationalized, and transformed per the schedule documented in</w:t>
      </w:r>
      <w:r>
        <w:t xml:space="preserve"> </w:t>
      </w:r>
      <w:r>
        <w:rPr>
          <w:rStyle w:val="VerbatimChar"/>
        </w:rPr>
        <w:t xml:space="preserve">docs/data_dictionary.md</w:t>
      </w:r>
      <w:r>
        <w:t xml:space="preserve"> </w:t>
      </w:r>
      <w:r>
        <w:t xml:space="preserve">(the canonical machine-readable variable register, also serialized as</w:t>
      </w:r>
      <w:r>
        <w:t xml:space="preserve"> </w:t>
      </w:r>
      <w:r>
        <w:rPr>
          <w:rStyle w:val="VerbatimChar"/>
        </w:rPr>
        <w:t xml:space="preserve">data/catalog.yml</w:t>
      </w:r>
      <w:r>
        <w:t xml:space="preserve">). Coverage is summarized below by data source; the full per-variable register — with upstream indicator codes, unit definitions, transform notes, and observed missingness percentages — is reproduced from</w:t>
      </w:r>
      <w:r>
        <w:t xml:space="preserve"> </w:t>
      </w:r>
      <w:r>
        <w:rPr>
          <w:rStyle w:val="VerbatimChar"/>
        </w:rPr>
        <w:t xml:space="preserve">docs/data_dictionary.md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Indicator</w:t>
            </w:r>
          </w:p>
        </w:tc>
        <w:tc>
          <w:tcPr/>
          <w:p>
            <w:pPr>
              <w:pStyle w:val="Compact"/>
            </w:pPr>
            <w:r>
              <w:t xml:space="preserve">Coverage</w:t>
            </w:r>
          </w:p>
        </w:tc>
      </w:tr>
      <w:tr>
        <w:tc>
          <w:tcPr/>
          <w:p>
            <w:pPr>
              <w:pStyle w:val="Compact"/>
            </w:pPr>
            <w:r>
              <w:t xml:space="preserve">WDI (World Bank)</w:t>
            </w:r>
          </w:p>
        </w:tc>
        <w:tc>
          <w:tcPr/>
          <w:p>
            <w:pPr>
              <w:pStyle w:val="Compact"/>
            </w:pPr>
            <w:r>
              <w:t xml:space="preserve">13 controls + education indicators (GDP/cap, enrollment, PTR, ed. expenditure, completion, OOS)</w:t>
            </w:r>
          </w:p>
        </w:tc>
        <w:tc>
          <w:tcPr/>
          <w:p>
            <w:pPr>
              <w:pStyle w:val="Compact"/>
            </w:pPr>
            <w:r>
              <w:t xml:space="preserve">216 countries; 1995–2024</w:t>
            </w:r>
          </w:p>
        </w:tc>
      </w:tr>
      <w:tr>
        <w:tc>
          <w:tcPr/>
          <w:p>
            <w:pPr>
              <w:pStyle w:val="Compact"/>
            </w:pPr>
            <w:r>
              <w:t xml:space="preserve">HCI / HLO (World Bank)</w:t>
            </w:r>
          </w:p>
        </w:tc>
        <w:tc>
          <w:tcPr/>
          <w:p>
            <w:pPr>
              <w:pStyle w:val="Compact"/>
            </w:pPr>
            <w:r>
              <w:t xml:space="preserve">HLO score (primary outcome), LAYS, sex-stratified variants</w:t>
            </w:r>
          </w:p>
        </w:tc>
        <w:tc>
          <w:tcPr/>
          <w:p>
            <w:pPr>
              <w:pStyle w:val="Compact"/>
            </w:pPr>
            <w:r>
              <w:t xml:space="preserve">174 countries; 4 cycles (2010, 2017, 2018, 2020)</w:t>
            </w:r>
          </w:p>
        </w:tc>
      </w:tr>
      <w:tr>
        <w:tc>
          <w:tcPr/>
          <w:p>
            <w:pPr>
              <w:pStyle w:val="Compact"/>
            </w:pPr>
            <w:r>
              <w:t xml:space="preserve">AAP-2018 (Altinok-Angrist-Patrinos)</w:t>
            </w:r>
          </w:p>
        </w:tc>
        <w:tc>
          <w:tcPr/>
          <w:p>
            <w:pPr>
              <w:pStyle w:val="Compact"/>
            </w:pPr>
            <w:r>
              <w:t xml:space="preserve">HLO_AAP (parallel robustness outcome)</w:t>
            </w:r>
          </w:p>
        </w:tc>
        <w:tc>
          <w:tcPr/>
          <w:p>
            <w:pPr>
              <w:pStyle w:val="Compact"/>
            </w:pPr>
            <w:r>
              <w:t xml:space="preserve">144 countries; 5 cycles (1995–2015)</w:t>
            </w:r>
          </w:p>
        </w:tc>
      </w:tr>
      <w:tr>
        <w:tc>
          <w:tcPr/>
          <w:p>
            <w:pPr>
              <w:pStyle w:val="Compact"/>
            </w:pPr>
            <w:r>
              <w:t xml:space="preserve">WGI (World Bank)</w:t>
            </w:r>
          </w:p>
        </w:tc>
        <w:tc>
          <w:tcPr/>
          <w:p>
            <w:pPr>
              <w:pStyle w:val="Compact"/>
            </w:pPr>
            <w:r>
              <w:t xml:space="preserve">6 governance dimensions × estimate/SE/n_sources; PCA-PC1 primary per ADR-0009</w:t>
            </w:r>
          </w:p>
        </w:tc>
        <w:tc>
          <w:tcPr/>
          <w:p>
            <w:pPr>
              <w:pStyle w:val="Compact"/>
            </w:pPr>
            <w:r>
              <w:t xml:space="preserve">215 countries; annual 1996–2023</w:t>
            </w:r>
          </w:p>
        </w:tc>
      </w:tr>
      <w:tr>
        <w:tc>
          <w:tcPr/>
          <w:p>
            <w:pPr>
              <w:pStyle w:val="Compact"/>
            </w:pPr>
            <w:r>
              <w:t xml:space="preserve">UIS (UNESCO)</w:t>
            </w:r>
          </w:p>
        </w:tc>
        <w:tc>
          <w:tcPr/>
          <w:p>
            <w:pPr>
              <w:pStyle w:val="Compact"/>
            </w:pPr>
            <w:r>
              <w:t xml:space="preserve">Schooling-finance indicators (private expenditure, OOS by level)</w:t>
            </w:r>
          </w:p>
        </w:tc>
        <w:tc>
          <w:tcPr/>
          <w:p>
            <w:pPr>
              <w:pStyle w:val="Compact"/>
            </w:pPr>
            <w:r>
              <w:t xml:space="preserve">220 countries; 1970–2023; 91.8% SSA missing on private expenditure (Robustness only per ADR-0006)</w:t>
            </w:r>
          </w:p>
        </w:tc>
      </w:tr>
      <w:tr>
        <w:tc>
          <w:tcPr/>
          <w:p>
            <w:pPr>
              <w:pStyle w:val="Compact"/>
            </w:pPr>
            <w:r>
              <w:t xml:space="preserve">OECD CRS</w:t>
            </w:r>
          </w:p>
        </w:tc>
        <w:tc>
          <w:tcPr/>
          <w:p>
            <w:pPr>
              <w:pStyle w:val="Compact"/>
            </w:pPr>
            <w:r>
              <w:t xml:space="preserve">ODA disbursement + commitment, current + constant USD, by 5-digit purpose code (education sector 11110–11430)</w:t>
            </w:r>
          </w:p>
        </w:tc>
        <w:tc>
          <w:tcPr/>
          <w:p>
            <w:pPr>
              <w:pStyle w:val="Compact"/>
            </w:pPr>
            <w:r>
              <w:t xml:space="preserve">537,586 project rows; 1995–2023; locked encoding</w:t>
            </w:r>
            <w:r>
              <w:t xml:space="preserve"> </w:t>
            </w:r>
            <w:r>
              <w:rPr>
                <w:rStyle w:val="VerbatimChar"/>
              </w:rPr>
              <w:t xml:space="preserve">crs_disburse_usd_defl_ma3_lag1</w:t>
            </w:r>
            <w:r>
              <w:t xml:space="preserve"> </w:t>
            </w:r>
            <w:r>
              <w:t xml:space="preserve">per ADR-0005</w:t>
            </w:r>
          </w:p>
        </w:tc>
      </w:tr>
      <w:tr>
        <w:tc>
          <w:tcPr/>
          <w:p>
            <w:pPr>
              <w:pStyle w:val="Compact"/>
            </w:pPr>
            <w:r>
              <w:t xml:space="preserve">AidData GCDF</w:t>
            </w:r>
          </w:p>
        </w:tc>
        <w:tc>
          <w:tcPr/>
          <w:p>
            <w:pPr>
              <w:pStyle w:val="Compact"/>
            </w:pPr>
            <w:r>
              <w:t xml:space="preserve">Chinese education projects 2000–2021</w:t>
            </w:r>
          </w:p>
        </w:tc>
        <w:tc>
          <w:tcPr/>
          <w:p>
            <w:pPr>
              <w:pStyle w:val="Compact"/>
            </w:pPr>
            <w:r>
              <w:t xml:space="preserve">30 columns × 22,000 rows; China share = 60.4% in SSA</w:t>
            </w:r>
          </w:p>
        </w:tc>
      </w:tr>
      <w:tr>
        <w:tc>
          <w:tcPr/>
          <w:p>
            <w:pPr>
              <w:pStyle w:val="Compact"/>
            </w:pPr>
            <w:r>
              <w:t xml:space="preserve">UCDP/PRIO</w:t>
            </w:r>
          </w:p>
        </w:tc>
        <w:tc>
          <w:tcPr/>
          <w:p>
            <w:pPr>
              <w:pStyle w:val="Compact"/>
            </w:pPr>
            <w:r>
              <w:t xml:space="preserve">Conflict flag, intensity, battle deaths</w:t>
            </w:r>
          </w:p>
        </w:tc>
        <w:tc>
          <w:tcPr/>
          <w:p>
            <w:pPr>
              <w:pStyle w:val="Compact"/>
            </w:pPr>
            <w:r>
              <w:t xml:space="preserve">195 countries; 1989–2023; SSA prevalence 25.3% vs RoW 9.2%</w:t>
            </w:r>
          </w:p>
        </w:tc>
      </w:tr>
      <w:tr>
        <w:tc>
          <w:tcPr/>
          <w:p>
            <w:pPr>
              <w:pStyle w:val="Compact"/>
            </w:pPr>
            <w:r>
              <w:t xml:space="preserve">COVID closures</w:t>
            </w:r>
          </w:p>
        </w:tc>
        <w:tc>
          <w:tcPr/>
          <w:p>
            <w:pPr>
              <w:pStyle w:val="Compact"/>
            </w:pPr>
            <w:r>
              <w:t xml:space="preserve">Days closed by status category (UNESCO-cross-validated)</w:t>
            </w:r>
          </w:p>
        </w:tc>
        <w:tc>
          <w:tcPr/>
          <w:p>
            <w:pPr>
              <w:pStyle w:val="Compact"/>
            </w:pPr>
            <w:r>
              <w:t xml:space="preserve">195 countries; 2020–2022</w:t>
            </w:r>
          </w:p>
        </w:tc>
      </w:tr>
      <w:tr>
        <w:tc>
          <w:tcPr/>
          <w:p>
            <w:pPr>
              <w:pStyle w:val="Compact"/>
            </w:pPr>
            <w:r>
              <w:t xml:space="preserve">Oxford Insights GARI</w:t>
            </w:r>
          </w:p>
        </w:tc>
        <w:tc>
          <w:tcPr/>
          <w:p>
            <w:pPr>
              <w:pStyle w:val="Compact"/>
            </w:pPr>
            <w:r>
              <w:t xml:space="preserve">AI Readiness Index — 6 pillars + derived composite</w:t>
            </w:r>
          </w:p>
        </w:tc>
        <w:tc>
          <w:tcPr/>
          <w:p>
            <w:pPr>
              <w:pStyle w:val="Compact"/>
            </w:pPr>
            <w:r>
              <w:t xml:space="preserve">195 countries; 2025 edition</w:t>
            </w:r>
          </w:p>
        </w:tc>
      </w:tr>
    </w:tbl>
    <w:p>
      <w:pPr>
        <w:pStyle w:val="BodyText"/>
      </w:pPr>
      <w:r>
        <w:t xml:space="preserve">Treatment-variable construction details (the strictly-past 3-year moving average, the 16-cell sensitivity grid, the GCDF-strict variant) are documented in</w:t>
      </w:r>
      <w:r>
        <w:t xml:space="preserve"> </w:t>
      </w:r>
      <w:r>
        <w:rPr>
          <w:rStyle w:val="VerbatimChar"/>
        </w:rPr>
        <w:t xml:space="preserve">docs/methodology.md</w:t>
      </w:r>
      <w:r>
        <w:t xml:space="preserve"> </w:t>
      </w:r>
      <w:r>
        <w:t xml:space="preserve">§3.5. The WGI PC1 derivation (PCA on the six WGI estimate columns, single PC retained per Kaiser criterion with 76.4% variance on this sample) is documented in</w:t>
      </w:r>
      <w:r>
        <w:t xml:space="preserve"> </w:t>
      </w:r>
      <w:r>
        <w:rPr>
          <w:rStyle w:val="VerbatimChar"/>
        </w:rPr>
        <w:t xml:space="preserve">docs/methodology.md</w:t>
      </w:r>
      <w:r>
        <w:t xml:space="preserve"> </w:t>
      </w:r>
      <w:r>
        <w:t xml:space="preserve">§3.6 and ADR-0009. ISO3 normalization and the sub-national-row drop log are at</w:t>
      </w:r>
      <w:r>
        <w:t xml:space="preserve"> </w:t>
      </w:r>
      <w:r>
        <w:rPr>
          <w:rStyle w:val="VerbatimChar"/>
        </w:rPr>
        <w:t xml:space="preserve">output/logs/iso3_unresolved_&lt;src&gt;.csv</w:t>
      </w:r>
      <w:r>
        <w:t xml:space="preserve"> </w:t>
      </w:r>
      <w:r>
        <w:t xml:space="preserve">per source.</w:t>
      </w:r>
    </w:p>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28" Target="../docs/decisions/0004-hlo-measure.md" TargetMode="External" /><Relationship Type="http://schemas.openxmlformats.org/officeDocument/2006/relationships/hyperlink" Id="rId47"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82" Target="https://documents.worldbank.org/en/publication/documents-reports/documentdetail/099517502242572646" TargetMode="External" /><Relationship Type="http://schemas.openxmlformats.org/officeDocument/2006/relationships/hyperlink" Id="rId68" Target="https://doi.org/10.1016/j.socscimed.2017.12.005" TargetMode="External" /><Relationship Type="http://schemas.openxmlformats.org/officeDocument/2006/relationships/hyperlink" Id="rId80" Target="https://doi.org/10.1080/00220380902952399" TargetMode="External" /><Relationship Type="http://schemas.openxmlformats.org/officeDocument/2006/relationships/hyperlink" Id="rId88" Target="https://doi.org/10.1086/680324" TargetMode="External" /><Relationship Type="http://schemas.openxmlformats.org/officeDocument/2006/relationships/hyperlink" Id="rId90" Target="https://doi.org/10.1093/jeea/jvaa019" TargetMode="External" /><Relationship Type="http://schemas.openxmlformats.org/officeDocument/2006/relationships/hyperlink" Id="rId70" Target="https://doi.org/10.1257/0002828041464560" TargetMode="External" /><Relationship Type="http://schemas.openxmlformats.org/officeDocument/2006/relationships/hyperlink" Id="rId66" Target="https://doi.org/10.1257/aer.90.4.847" TargetMode="External" /><Relationship Type="http://schemas.openxmlformats.org/officeDocument/2006/relationships/hyperlink" Id="rId74" Target="https://doi.org/10.1257/jel.46.3.607" TargetMode="External" /><Relationship Type="http://schemas.openxmlformats.org/officeDocument/2006/relationships/hyperlink" Id="rId76" Target="https://doi.org/10.1787/9789264234833-en" TargetMode="External" /><Relationship Type="http://schemas.openxmlformats.org/officeDocument/2006/relationships/hyperlink" Id="rId78" Target="https://www.ilo.org/publications/disruption-without-dividend-how-digital-divide-and-task-differences-split" TargetMode="External" /><Relationship Type="http://schemas.openxmlformats.org/officeDocument/2006/relationships/hyperlink" Id="rId84" Target="https://www.undp.org/asia-pacific/publications/next-great-divergence" TargetMode="External" /></Relationships>
</file>

<file path=word/_rels/footnotes.xml.rels><?xml version="1.0" encoding="UTF-8"?><Relationships xmlns="http://schemas.openxmlformats.org/package/2006/relationships"><Relationship Type="http://schemas.openxmlformats.org/officeDocument/2006/relationships/hyperlink" Id="rId28" Target="../docs/decisions/0004-hlo-measure.md" TargetMode="External" /><Relationship Type="http://schemas.openxmlformats.org/officeDocument/2006/relationships/hyperlink" Id="rId47"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82" Target="https://documents.worldbank.org/en/publication/documents-reports/documentdetail/099517502242572646" TargetMode="External" /><Relationship Type="http://schemas.openxmlformats.org/officeDocument/2006/relationships/hyperlink" Id="rId68" Target="https://doi.org/10.1016/j.socscimed.2017.12.005" TargetMode="External" /><Relationship Type="http://schemas.openxmlformats.org/officeDocument/2006/relationships/hyperlink" Id="rId80" Target="https://doi.org/10.1080/00220380902952399" TargetMode="External" /><Relationship Type="http://schemas.openxmlformats.org/officeDocument/2006/relationships/hyperlink" Id="rId88" Target="https://doi.org/10.1086/680324" TargetMode="External" /><Relationship Type="http://schemas.openxmlformats.org/officeDocument/2006/relationships/hyperlink" Id="rId90" Target="https://doi.org/10.1093/jeea/jvaa019" TargetMode="External" /><Relationship Type="http://schemas.openxmlformats.org/officeDocument/2006/relationships/hyperlink" Id="rId70" Target="https://doi.org/10.1257/0002828041464560" TargetMode="External" /><Relationship Type="http://schemas.openxmlformats.org/officeDocument/2006/relationships/hyperlink" Id="rId66" Target="https://doi.org/10.1257/aer.90.4.847" TargetMode="External" /><Relationship Type="http://schemas.openxmlformats.org/officeDocument/2006/relationships/hyperlink" Id="rId74" Target="https://doi.org/10.1257/jel.46.3.607" TargetMode="External" /><Relationship Type="http://schemas.openxmlformats.org/officeDocument/2006/relationships/hyperlink" Id="rId76" Target="https://doi.org/10.1787/9789264234833-en" TargetMode="External" /><Relationship Type="http://schemas.openxmlformats.org/officeDocument/2006/relationships/hyperlink" Id="rId78" Target="https://www.ilo.org/publications/disruption-without-dividend-how-digital-divide-and-task-differences-split" TargetMode="External" /><Relationship Type="http://schemas.openxmlformats.org/officeDocument/2006/relationships/hyperlink" Id="rId84" Target="https://www.undp.org/asia-pacific/publications/next-great-diver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 Without Learning: A Cross-Country Analysis of ODA Allocation, Structural Determinants, and the Measurement Failure at the Heart of Global Education Finance</dc:title>
  <dc:creator>Shota Zurabishvili</dc:creator>
  <cp:keywords>education aid, learning outcomes, cross-country panel, fixed effects, methodological discipline, AI readiness, sub-Saharan Africa</cp:keywords>
  <dcterms:created xsi:type="dcterms:W3CDTF">2026-05-24T19:54:42Z</dcterms:created>
  <dcterms:modified xsi:type="dcterms:W3CDTF">2026-05-24T19:54:42Z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2026-05-23</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2</vt:lpwstr>
  </property>
  <property fmtid="{D5CDD505-2E9C-101B-9397-08002B2CF9AE}" pid="18" name="toc-title">
    <vt:lpwstr>Table of contents</vt:lpwstr>
  </property>
</Properties>
</file>