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Measuring Aid for Learning: What Cross-Country Panel Evidence Can and Cannot Say</w:t>
      </w:r>
    </w:p>
    <w:p>
      <w:pPr>
        <w:pStyle w:val="Author"/>
      </w:pPr>
      <w:r>
        <w:t xml:space="preserve">Shota Zurabishvili</w:t>
      </w:r>
    </w:p>
    <w:p>
      <w:pPr>
        <w:pStyle w:val="Date"/>
      </w:pPr>
      <w:r>
        <w:t xml:space="preserve">2026-05-23</w:t>
      </w:r>
    </w:p>
    <w:bookmarkStart w:id="9" w:name="abstract"/>
    <w:p>
      <w:pPr>
        <w:pStyle w:val="Heading1"/>
      </w:pPr>
      <w:r>
        <w:t xml:space="preserve">Abstract</w:t>
      </w:r>
    </w:p>
    <w:p>
      <w:pPr>
        <w:pStyle w:val="FirstParagraph"/>
      </w:pPr>
      <w:r>
        <w:t xml:space="preserve">Across the developing world, primary enrolment has reached near-universal levels while learning outcomes have remained roughly flat for two decades. Whether development assistance to education has contributed to that learning gap is a question cross-country panel evidence has answered inconsistently. The inconsistency owes more to the analytical choices made before the data are seen than to the data themselves. This paper assembles a 133-country panel for 2010 to 2020 from OECD Creditor Reporting System disbursements, World Bank Harmonized Learning Outcomes, and standard macroeconomic, governance, and sector controls. Every consequential analytical choice is fixed in a pre-analysis plan before the analysis it governs runs. The within-country fixed-effects specification returns a positive aid-to-learning coefficient on the headline measure (β = +11.14 HLO points per unit of log treatment; p = 0.048; N = 143 country-cycles). Four pre-specified robustness checks break the coefficient. Dropping the 42 sub-Saharan African countries halves it to β = +4.71, with a 95% confidence interval that spans zero. Three further checks on harmonisation, governance, and statistical power break it on those dimensions as well. Two further pre-specified commitments bite alongside these. The four-bucket intervention typology that policy guidance treats as decision-relevant cannot be recovered from CRS metadata at any defensible threshold, and the model that would have used it was retired. The multiple-imputation step the missingness plan promised rests on an assumption that a pre-specified test rejects on these data at p ≪ 10⁻⁶. The contribution is a calibrated account of what cross-country panel evidence can credibly claim about education-aid effectiveness at the current data frontier, alongside three concrete fixes to development-finance reporting infrastructure that would extend what such evidence can claim. The work locates itself in a growing methodological-reflection strand in development empirics</w:t>
      </w:r>
      <w:r>
        <w:t xml:space="preserve"> </w:t>
      </w:r>
      <w:r>
        <w:t xml:space="preserve">(</w:t>
      </w:r>
      <w:hyperlink w:anchor="ref-deaton2018rcts">
        <w:r>
          <w:rPr>
            <w:rStyle w:val="Hyperlink"/>
          </w:rPr>
          <w:t xml:space="preserve">Deaton &amp; Cartwright, 2018</w:t>
        </w:r>
      </w:hyperlink>
      <w:r>
        <w:t xml:space="preserve">;</w:t>
      </w:r>
      <w:r>
        <w:t xml:space="preserve"> </w:t>
      </w:r>
      <w:hyperlink w:anchor="ref-sandefur2018internationally">
        <w:r>
          <w:rPr>
            <w:rStyle w:val="Hyperlink"/>
          </w:rPr>
          <w:t xml:space="preserve">Sandefur, 2018</w:t>
        </w:r>
      </w:hyperlink>
      <w:r>
        <w:t xml:space="preserve">;</w:t>
      </w:r>
      <w:r>
        <w:t xml:space="preserve"> </w:t>
      </w:r>
      <w:hyperlink w:anchor="ref-vivalt2020generalize">
        <w:r>
          <w:rPr>
            <w:rStyle w:val="Hyperlink"/>
          </w:rPr>
          <w:t xml:space="preserve">Vivalt, 2020</w:t>
        </w:r>
      </w:hyperlink>
      <w:r>
        <w:t xml:space="preserve">)</w:t>
      </w:r>
      <w:r>
        <w:t xml:space="preserve">.</w:t>
      </w:r>
    </w:p>
    <w:bookmarkEnd w:id="9"/>
    <w:bookmarkStart w:id="10" w:name="introduction"/>
    <w:p>
      <w:pPr>
        <w:pStyle w:val="Heading1"/>
      </w:pPr>
      <w:r>
        <w:t xml:space="preserve">1. Introduction</w:t>
      </w:r>
    </w:p>
    <w:p>
      <w:pPr>
        <w:pStyle w:val="FirstParagraph"/>
      </w:pPr>
      <w:r>
        <w:t xml:space="preserve">Primary enrolment in the developing world has reached near-universal levels across two decades of measurement, while learning outcomes have remained roughly flat over the same period. In the 133 aid-eligible countries that constitute the panel of this analysis, gross primary enrolment sits between 98 and 109 percent in every World Bank region. Harmonized Learning Outcomes range from roughly 300 to 625 across the same countries, a spread of approximately 1.6 within-sample standard deviations. They show no sign of narrowing across the four assessment cycles published since 2010. The policy response over the past decade has converged on a single instruction: move education aid off the access-era inputs and onto the inputs that produce learning. The access-era inputs are classrooms, enrolment subsidies, and teacher headcount. The learning-producing inputs are targeted pedagogy, accountability, and structured instruction at scale</w:t>
      </w:r>
      <w:r>
        <w:t xml:space="preserve"> </w:t>
      </w:r>
      <w:r>
        <w:t xml:space="preserve">(</w:t>
      </w:r>
      <w:hyperlink w:anchor="ref-glewwe2016improving">
        <w:r>
          <w:rPr>
            <w:rStyle w:val="Hyperlink"/>
          </w:rPr>
          <w:t xml:space="preserve">Glewwe &amp; Muralidharan, 2016</w:t>
        </w:r>
      </w:hyperlink>
      <w:r>
        <w:t xml:space="preserve">;</w:t>
      </w:r>
      <w:r>
        <w:t xml:space="preserve"> </w:t>
      </w:r>
      <w:hyperlink w:anchor="ref-geeap2023smart">
        <w:r>
          <w:rPr>
            <w:rStyle w:val="Hyperlink"/>
          </w:rPr>
          <w:t xml:space="preserve">Global Education Evidence Advisory Panel (GEEAP), 2023</w:t>
        </w:r>
      </w:hyperlink>
      <w:r>
        <w:t xml:space="preserve">)</w:t>
      </w:r>
      <w:r>
        <w:t xml:space="preserve">. Whether aid has in fact moved learning is still contested, and the contest, on inspection, turns as much on method as on evidence.</w:t>
      </w:r>
    </w:p>
    <w:p>
      <w:pPr>
        <w:pStyle w:val="BodyText"/>
      </w:pPr>
      <w:r>
        <w:t xml:space="preserve">This paper assembles the kind of panel that contest has been fought on, runs a pre-specified sequence of models, and adopts one discipline the cross-country aid-effectiveness literature has mostly done without: every consequential analytical decision is written down in a pre-analysis plan before the analysis it governs is run. Each plan names the options, the criterion that separates them, and the threshold the criterion must clear. When the analysis runs, the criterion is met or it is not. The record makes the call auditable and the response disciplined. The design aims to show where a clean result is unavailable and to treat that absence as evidence.</w:t>
      </w:r>
    </w:p>
    <w:p>
      <w:pPr>
        <w:pStyle w:val="BodyText"/>
      </w:pPr>
      <w:r>
        <w:t xml:space="preserve">The within-country fixed-effects specification returns a positive coefficient of β = +11.14 HLO points per unit of log three-year-lagged constant-dollar disbursement (country-clustered standard error 5.52; p = 0.048; N = 143). The cross-sectional version sits near zero (β = −1.36, p = 0.58) on the same panel and controls, and the within-country coefficient is provisional. Four pre-specified robustness checks (§4.2) break it on sample composition, harmonisation choice, governance operationalisation, and statistical power. Two further pre-specified commitments bite alongside these. The four-bucket intervention typology that policy guidance treats as decision-relevant cannot be recovered from CRS metadata at any defensible threshold, and the model that would have used it was retired. The multiple-imputation step the missingness plan promised rests on an assumption the plan’s own test rejects.</w:t>
      </w:r>
    </w:p>
    <w:p>
      <w:pPr>
        <w:pStyle w:val="BodyText"/>
      </w:pPr>
      <w:r>
        <w:t xml:space="preserve">Section 2 places the contribution in the literature, §3 describes the data and the pre-specified design, §4 reports results, and §5 discusses what the panel evidence can and cannot claim. Sections 6 and 7 translate the findings into data-infrastructure and policy implications before concluding.</w:t>
      </w:r>
    </w:p>
    <w:bookmarkEnd w:id="10"/>
    <w:bookmarkStart w:id="14" w:name="background-and-contribution"/>
    <w:p>
      <w:pPr>
        <w:pStyle w:val="Heading1"/>
      </w:pPr>
      <w:r>
        <w:t xml:space="preserve">2. Background and contribution</w:t>
      </w:r>
    </w:p>
    <w:p>
      <w:pPr>
        <w:pStyle w:val="FirstParagraph"/>
      </w:pPr>
      <w:r>
        <w:t xml:space="preserve">The contribution sits at the intersection of three conversations: the cross-country aid-effectiveness empirics, the education-specific aid-and-learning literature, and the methodological-reflection strand on what empirical-development research can credibly claim. The sections that follow engage each strand briefly, since the contribution is the synthesis at the intersection rather than an incremental advance within any one strand.</w:t>
      </w:r>
    </w:p>
    <w:bookmarkStart w:id="11" w:name="cross-country-aid-effectiveness-empirics"/>
    <w:p>
      <w:pPr>
        <w:pStyle w:val="Heading2"/>
      </w:pPr>
      <w:r>
        <w:t xml:space="preserve">2.1 Cross-country aid-effectiveness empirics</w:t>
      </w:r>
    </w:p>
    <w:p>
      <w:pPr>
        <w:pStyle w:val="FirstParagraph"/>
      </w:pPr>
      <w:r>
        <w:t xml:space="preserve">The canonical question of whether development aid raises growth has been answered in the affirmative, the negative, and conditionally on broadly the same data over two and a half decades. Burnside and Dollar</w:t>
      </w:r>
      <w:r>
        <w:t xml:space="preserve"> </w:t>
      </w:r>
      <w:r>
        <w:t xml:space="preserve">(</w:t>
      </w:r>
      <w:hyperlink w:anchor="ref-burnside2000aid">
        <w:r>
          <w:rPr>
            <w:rStyle w:val="Hyperlink"/>
          </w:rPr>
          <w:t xml:space="preserve">2000</w:t>
        </w:r>
      </w:hyperlink>
      <w:r>
        <w:t xml:space="preserve">)</w:t>
      </w:r>
      <w:r>
        <w:t xml:space="preserve"> </w:t>
      </w:r>
      <w:r>
        <w:t xml:space="preserve">reported that aid raises growth only where fiscal, monetary, and trade policies are sound, entering an aid-by-policy interaction with a positive and significant coefficient on an instrumental-variables design. The finding was widely interpreted as policy advice to target good-policy countries and shaped a generation of aid-allocation debate. Easterly, Levine, and Roodman</w:t>
      </w:r>
      <w:r>
        <w:t xml:space="preserve"> </w:t>
      </w:r>
      <w:r>
        <w:t xml:space="preserve">(</w:t>
      </w:r>
      <w:hyperlink w:anchor="ref-easterly2004aid">
        <w:r>
          <w:rPr>
            <w:rStyle w:val="Hyperlink"/>
          </w:rPr>
          <w:t xml:space="preserve">2004</w:t>
        </w:r>
      </w:hyperlink>
      <w:r>
        <w:t xml:space="preserve">)</w:t>
      </w:r>
      <w:r>
        <w:t xml:space="preserve"> </w:t>
      </w:r>
      <w:r>
        <w:t xml:space="preserve">then showed that the interaction does not survive extending the original sample to more countries and years; the result is fragile to sample composition. Rajan and Subramanian</w:t>
      </w:r>
      <w:r>
        <w:t xml:space="preserve"> </w:t>
      </w:r>
      <w:r>
        <w:t xml:space="preserve">(</w:t>
      </w:r>
      <w:hyperlink w:anchor="ref-rajan2008aid">
        <w:r>
          <w:rPr>
            <w:rStyle w:val="Hyperlink"/>
          </w:rPr>
          <w:t xml:space="preserve">2008</w:t>
        </w:r>
      </w:hyperlink>
      <w:r>
        <w:t xml:space="preserve">)</w:t>
      </w:r>
      <w:r>
        <w:t xml:space="preserve">, using a richer instrument set and a broader sample, found little robust evidence of a positive aid-growth relationship in standard cross-country specifications. Clemens, Radelet, Bhavnani and Bazzi</w:t>
      </w:r>
      <w:r>
        <w:t xml:space="preserve"> </w:t>
      </w:r>
      <w:r>
        <w:t xml:space="preserve">(</w:t>
      </w:r>
      <w:hyperlink w:anchor="ref-clemens2012counting">
        <w:r>
          <w:rPr>
            <w:rStyle w:val="Hyperlink"/>
          </w:rPr>
          <w:t xml:space="preserve">2012</w:t>
        </w:r>
      </w:hyperlink>
      <w:r>
        <w:t xml:space="preserve">)</w:t>
      </w:r>
      <w:r>
        <w:t xml:space="preserve"> </w:t>
      </w:r>
      <w:r>
        <w:t xml:space="preserve">reconciled part of the disagreement by disaggregating aid by intended response horizon, finding that early-impact aid tracks growth more cleanly than the aggregate. Roodman’s</w:t>
      </w:r>
      <w:r>
        <w:t xml:space="preserve"> </w:t>
      </w:r>
      <w:r>
        <w:t xml:space="preserve">(</w:t>
      </w:r>
      <w:hyperlink w:anchor="ref-roodman2007anarchy">
        <w:r>
          <w:rPr>
            <w:rStyle w:val="Hyperlink"/>
          </w:rPr>
          <w:t xml:space="preserve">2007</w:t>
        </w:r>
      </w:hyperlink>
      <w:r>
        <w:t xml:space="preserve">)</w:t>
      </w:r>
      <w:r>
        <w:t xml:space="preserve"> </w:t>
      </w:r>
      <w:r>
        <w:t xml:space="preserve">sensitivity exercise across the canonical aid-growth studies of the prior decade established that the conclusions reached by individual papers turn on identifiable analytical choices rather than on the data itself. The durable methodological lesson the field carried forward, even where the substantive coefficient remained contested, is that interaction and slope estimates in cross-country aid-effectiveness panels are sensitive to sample, specification, and instrument. The present paper does not rediscover that fragility. Its contribution is to locate a distinct source of fragility on the outcome side. A within-country coefficient that survives the encoding and identification choices those authors interrogated can still reverse when the harmonized learning measure is swapped, even on overlapping country-years (§4.6). The pre-specified design takes the older lesson seriously, fixing specifications before estimation and reporting sensitivities rather than searching across them for the most favorable result. It extends the lesson to the measurement of the dependent variable, which that literature did not test.</w:t>
      </w:r>
    </w:p>
    <w:p>
      <w:pPr>
        <w:pStyle w:val="BodyText"/>
      </w:pPr>
      <w:r>
        <w:t xml:space="preserve">The cognitive-skills-for-growth strand associated with Hanushek and Woessmann</w:t>
      </w:r>
      <w:r>
        <w:t xml:space="preserve"> </w:t>
      </w:r>
      <w:r>
        <w:t xml:space="preserve">(</w:t>
      </w:r>
      <w:hyperlink w:anchor="ref-hanushek2008role">
        <w:r>
          <w:rPr>
            <w:rStyle w:val="Hyperlink"/>
          </w:rPr>
          <w:t xml:space="preserve">2008</w:t>
        </w:r>
      </w:hyperlink>
      <w:r>
        <w:t xml:space="preserve">,</w:t>
      </w:r>
      <w:r>
        <w:t xml:space="preserve"> </w:t>
      </w:r>
      <w:hyperlink w:anchor="ref-hanushek2015knowledge">
        <w:r>
          <w:rPr>
            <w:rStyle w:val="Hyperlink"/>
          </w:rPr>
          <w:t xml:space="preserve">2015</w:t>
        </w:r>
      </w:hyperlink>
      <w:r>
        <w:t xml:space="preserve">)</w:t>
      </w:r>
      <w:r>
        <w:t xml:space="preserve"> </w:t>
      </w:r>
      <w:r>
        <w:t xml:space="preserve">reframes the same broad question at the outcome level: what makes education translate into development? Cross-country growth regressions using harmonized test-score measures rather than years of schooling or enrolment find that cognitive skills explain a substantial share of cross-country income variation that schooling alone does not capture. The implication for aid is direct: if learning is what matters for growth, and aid is meant to support development, then aid that fails to move learning is structurally misaligned with its stated purpose. This paper extends that logic to the education-aid-specific question, taking the cognitive-skills outcome as the dependent variable and asking whether the donor-side input recorded in the CRS moves the learning-side output.</w:t>
      </w:r>
    </w:p>
    <w:bookmarkEnd w:id="11"/>
    <w:bookmarkStart w:id="12" w:name="education-specific-aid-effectiveness"/>
    <w:p>
      <w:pPr>
        <w:pStyle w:val="Heading2"/>
      </w:pPr>
      <w:r>
        <w:t xml:space="preserve">2.2 Education-specific aid effectiveness</w:t>
      </w:r>
    </w:p>
    <w:p>
      <w:pPr>
        <w:pStyle w:val="FirstParagraph"/>
      </w:pPr>
      <w:r>
        <w:t xml:space="preserve">Within education, the evidence base on what aid composition produces learning is richer at the program-evaluation level than at the country-panel level. Glewwe and Muralidharan’s</w:t>
      </w:r>
      <w:r>
        <w:t xml:space="preserve"> </w:t>
      </w:r>
      <w:r>
        <w:t xml:space="preserve">(</w:t>
      </w:r>
      <w:hyperlink w:anchor="ref-glewwe2016improving">
        <w:r>
          <w:rPr>
            <w:rStyle w:val="Hyperlink"/>
          </w:rPr>
          <w:t xml:space="preserve">2016</w:t>
        </w:r>
      </w:hyperlink>
      <w:r>
        <w:t xml:space="preserve">)</w:t>
      </w:r>
      <w:r>
        <w:t xml:space="preserve"> </w:t>
      </w:r>
      <w:r>
        <w:rPr>
          <w:i/>
          <w:iCs/>
        </w:rPr>
        <w:t xml:space="preserve">Handbook of the Economics of Education</w:t>
      </w:r>
      <w:r>
        <w:t xml:space="preserve"> </w:t>
      </w:r>
      <w:r>
        <w:t xml:space="preserve">review synthesizes a substantial quasi-experimental record and identifies a recurring pattern: pedagogical interventions and accountability mechanisms tend to produce larger learning gains per dollar than mass input interventions in many evaluated settings. The Global Education Evidence Advisory Panel’s</w:t>
      </w:r>
      <w:r>
        <w:t xml:space="preserve"> </w:t>
      </w:r>
      <w:r>
        <w:t xml:space="preserve">“Smart Buys”</w:t>
      </w:r>
      <w:r>
        <w:t xml:space="preserve"> </w:t>
      </w:r>
      <w:r>
        <w:t xml:space="preserve">framework</w:t>
      </w:r>
      <w:r>
        <w:t xml:space="preserve"> </w:t>
      </w:r>
      <w:r>
        <w:t xml:space="preserve">(</w:t>
      </w:r>
      <w:hyperlink w:anchor="ref-geeap2023smart">
        <w:r>
          <w:rPr>
            <w:rStyle w:val="Hyperlink"/>
          </w:rPr>
          <w:t xml:space="preserve">Global Education Evidence Advisory Panel (GEEAP), 2023</w:t>
        </w:r>
      </w:hyperlink>
      <w:r>
        <w:t xml:space="preserve">)</w:t>
      </w:r>
      <w:r>
        <w:t xml:space="preserve"> </w:t>
      </w:r>
      <w:r>
        <w:t xml:space="preserve">codifies this into a cost-effectiveness ranking that has shaped donor practice. The Learning-Adjusted Years of Schooling metric</w:t>
      </w:r>
      <w:r>
        <w:t xml:space="preserve"> </w:t>
      </w:r>
      <w:r>
        <w:t xml:space="preserve">(</w:t>
      </w:r>
      <w:hyperlink w:anchor="ref-filmer2020lays">
        <w:r>
          <w:rPr>
            <w:rStyle w:val="Hyperlink"/>
          </w:rPr>
          <w:t xml:space="preserve">Filmer et al., 2020</w:t>
        </w:r>
      </w:hyperlink>
      <w:r>
        <w:t xml:space="preserve">)</w:t>
      </w:r>
      <w:r>
        <w:t xml:space="preserve"> </w:t>
      </w:r>
      <w:r>
        <w:t xml:space="preserve">provides a reporting unit that puts program-level findings on a scale comparable to country-level outcomes.</w:t>
      </w:r>
    </w:p>
    <w:p>
      <w:pPr>
        <w:pStyle w:val="BodyText"/>
      </w:pPr>
      <w:r>
        <w:t xml:space="preserve">The relationship between education spending and learning, in the published cross-country evidence, is conditional rather than monotonic. Hanushek’s</w:t>
      </w:r>
      <w:r>
        <w:t xml:space="preserve"> </w:t>
      </w:r>
      <w:r>
        <w:t xml:space="preserve">(</w:t>
      </w:r>
      <w:hyperlink w:anchor="ref-hanushek2003failure">
        <w:r>
          <w:rPr>
            <w:rStyle w:val="Hyperlink"/>
          </w:rPr>
          <w:t xml:space="preserve">2003</w:t>
        </w:r>
      </w:hyperlink>
      <w:r>
        <w:t xml:space="preserve">)</w:t>
      </w:r>
      <w:r>
        <w:t xml:space="preserve"> </w:t>
      </w:r>
      <w:r>
        <w:t xml:space="preserve">earlier cross-country and cross-US-state assessment of input-based education policies found no consistent relationship between resources and student achievement, a finding that anchored a generation of skepticism about input-side spending levers. Vegas and Coffin</w:t>
      </w:r>
      <w:r>
        <w:t xml:space="preserve"> </w:t>
      </w:r>
      <w:r>
        <w:t xml:space="preserve">(</w:t>
      </w:r>
      <w:hyperlink w:anchor="ref-vegas2015when">
        <w:r>
          <w:rPr>
            <w:rStyle w:val="Hyperlink"/>
          </w:rPr>
          <w:t xml:space="preserve">2015</w:t>
        </w:r>
      </w:hyperlink>
      <w:r>
        <w:t xml:space="preserve">)</w:t>
      </w:r>
      <w:r>
        <w:t xml:space="preserve"> </w:t>
      </w:r>
      <w:r>
        <w:t xml:space="preserve">later found that the spending-learning relationship plateaus above a threshold of roughly USD 8,000 in per-student annual expenditure. Below that threshold, additional spending raises outcomes; above it, marginal returns are negligible. Pritchett</w:t>
      </w:r>
      <w:r>
        <w:t xml:space="preserve"> </w:t>
      </w:r>
      <w:r>
        <w:t xml:space="preserve">(</w:t>
      </w:r>
      <w:hyperlink w:anchor="ref-pritchett2013rebirth">
        <w:r>
          <w:rPr>
            <w:rStyle w:val="Hyperlink"/>
          </w:rPr>
          <w:t xml:space="preserve">2013</w:t>
        </w:r>
      </w:hyperlink>
      <w:r>
        <w:t xml:space="preserve">)</w:t>
      </w:r>
      <w:r>
        <w:t xml:space="preserve">, the closest qualitative ancestor of this paper, argues that the broader system of education aid and policy has organized itself around inputs (enrolment, completion, expenditure) rather than outcomes (what children can actually do). The reason input metrics dominate is that they are politically tractable while outcome metrics are politically inconvenient, a dynamic he names</w:t>
      </w:r>
      <w:r>
        <w:t xml:space="preserve"> </w:t>
      </w:r>
      <w:r>
        <w:rPr>
          <w:i/>
          <w:iCs/>
        </w:rPr>
        <w:t xml:space="preserve">isomorphic mimicry</w:t>
      </w:r>
      <w:r>
        <w:t xml:space="preserve">.</w:t>
      </w:r>
    </w:p>
    <w:p>
      <w:pPr>
        <w:pStyle w:val="BodyText"/>
      </w:pPr>
      <w:r>
        <w:t xml:space="preserve">On the aid side, the cross-country panel literature that targets aid-to-education specifically is thin, and the panel literature that targets aid-to-learning is thinner still. Dreher, Nunnenkamp and Thiele</w:t>
      </w:r>
      <w:r>
        <w:t xml:space="preserve"> </w:t>
      </w:r>
      <w:r>
        <w:t xml:space="preserve">(</w:t>
      </w:r>
      <w:hyperlink w:anchor="ref-dreher2008does">
        <w:r>
          <w:rPr>
            <w:rStyle w:val="Hyperlink"/>
          </w:rPr>
          <w:t xml:space="preserve">2008</w:t>
        </w:r>
      </w:hyperlink>
      <w:r>
        <w:t xml:space="preserve">)</w:t>
      </w:r>
      <w:r>
        <w:t xml:space="preserve"> </w:t>
      </w:r>
      <w:r>
        <w:t xml:space="preserve">regressed sector-disaggregated aid on primary-school outcomes in a near-100-country panel over 1970–2004 and found that aid for education significantly raised primary enrolment, with the estimates resting on enrolment-side rather than learning-side outcomes. Birchler and Michaelowa</w:t>
      </w:r>
      <w:r>
        <w:t xml:space="preserve"> </w:t>
      </w:r>
      <w:r>
        <w:t xml:space="preserve">(</w:t>
      </w:r>
      <w:hyperlink w:anchor="ref-birchler2016making">
        <w:r>
          <w:rPr>
            <w:rStyle w:val="Hyperlink"/>
          </w:rPr>
          <w:t xml:space="preserve">2016</w:t>
        </w:r>
      </w:hyperlink>
      <w:r>
        <w:t xml:space="preserve">)</w:t>
      </w:r>
      <w:r>
        <w:t xml:space="preserve"> </w:t>
      </w:r>
      <w:r>
        <w:t xml:space="preserve">extended the analysis to a quality-side dimension by combining panel regression on coverage with a qualitative comparative analysis of quality, and reported weaker effects on the quality margin than on the access margin. Riddell and Niño-Zarazúa</w:t>
      </w:r>
      <w:r>
        <w:t xml:space="preserve"> </w:t>
      </w:r>
      <w:r>
        <w:t xml:space="preserve">(</w:t>
      </w:r>
      <w:hyperlink w:anchor="ref-riddell2016effectiveness">
        <w:r>
          <w:rPr>
            <w:rStyle w:val="Hyperlink"/>
          </w:rPr>
          <w:t xml:space="preserve">2016</w:t>
        </w:r>
      </w:hyperlink>
      <w:r>
        <w:t xml:space="preserve">)</w:t>
      </w:r>
      <w:r>
        <w:t xml:space="preserve"> </w:t>
      </w:r>
      <w:r>
        <w:t xml:space="preserve">reviewed the cross-country aid-to-education literature and concluded that the panel base for an aid-to-learning claim, as distinct from aid-to-access, was empirically thin.</w:t>
      </w:r>
    </w:p>
    <w:p>
      <w:pPr>
        <w:pStyle w:val="BodyText"/>
      </w:pPr>
      <w:r>
        <w:t xml:space="preserve">Together these strands say a great deal about what works at the program level and where the binding constraints are. They do not provide a clean cross-country panel test of whether the aid that countries actually receive moves their learning over time. The panel assembled here is sized to address that question, with the limits acknowledged in §4 and §5. The original Model 4 design, a four-bucket intervention-typology ANOVA on CRS disbursements, was the planned construction for the compositional question. Section 4.4 reports the protocol failure that prevents Model 4 from running on the available donor-reporting data, caught by the agreement gate set in advance. That failure is itself a finding for this literature: the pedagogical-vs-input-mass distinction the field treats as policy-load-bearing is not extractable from CRS metadata at country-year resolution, and §5 takes that as a methodological contribution rather than as a caveat.</w:t>
      </w:r>
    </w:p>
    <w:bookmarkEnd w:id="12"/>
    <w:bookmarkStart w:id="13" w:name="the-methodological-reflection-tradition"/>
    <w:p>
      <w:pPr>
        <w:pStyle w:val="Heading2"/>
      </w:pPr>
      <w:r>
        <w:t xml:space="preserve">2.3 The methodological-reflection tradition</w:t>
      </w:r>
    </w:p>
    <w:p>
      <w:pPr>
        <w:pStyle w:val="FirstParagraph"/>
      </w:pPr>
      <w:r>
        <w:t xml:space="preserve">This paper positions its contribution alongside a growing strand in development empirics that treats what a method can and cannot credibly claim as itself a finding rather than a caveat. On the measurement side, Sandefur</w:t>
      </w:r>
      <w:r>
        <w:t xml:space="preserve"> </w:t>
      </w:r>
      <w:r>
        <w:t xml:space="preserve">(</w:t>
      </w:r>
      <w:hyperlink w:anchor="ref-sandefur2018internationally">
        <w:r>
          <w:rPr>
            <w:rStyle w:val="Hyperlink"/>
          </w:rPr>
          <w:t xml:space="preserve">2018</w:t>
        </w:r>
      </w:hyperlink>
      <w:r>
        <w:t xml:space="preserve">)</w:t>
      </w:r>
      <w:r>
        <w:t xml:space="preserve"> </w:t>
      </w:r>
      <w:r>
        <w:t xml:space="preserve">re-analyzed the assessment overlaps underlying the harmonized learning measures the field treats as cross-country comparable, found anchor samples often too thin for credible item-equating, and concluded that cross-test rankings rest on harmonization assumptions weaker than the literature has admitted. Cross-country panel work has, in practice, conditioned on a single harmonized series at a time. No prior cross-country aid- or spending-learning panel study reports its headline coefficient under two harmonizations of the same construct. The implicit reading has been that within-country fixed effects absorb the level differences such harmonization introduces. §4.6 shows that reading is incomplete: a within-country coefficient that is positive and significant on one series does not replicate on the other, extending Sandefur’s critique into the within-country dimension.</w:t>
      </w:r>
    </w:p>
    <w:p>
      <w:pPr>
        <w:pStyle w:val="BodyText"/>
      </w:pPr>
      <w:r>
        <w:t xml:space="preserve">On the generalizability side, Vivalt</w:t>
      </w:r>
      <w:r>
        <w:t xml:space="preserve"> </w:t>
      </w:r>
      <w:r>
        <w:t xml:space="preserve">(</w:t>
      </w:r>
      <w:hyperlink w:anchor="ref-vivalt2020generalize">
        <w:r>
          <w:rPr>
            <w:rStyle w:val="Hyperlink"/>
          </w:rPr>
          <w:t xml:space="preserve">2020</w:t>
        </w:r>
      </w:hyperlink>
      <w:r>
        <w:t xml:space="preserve">)</w:t>
      </w:r>
      <w:r>
        <w:t xml:space="preserve"> </w:t>
      </w:r>
      <w:r>
        <w:t xml:space="preserve">documents that effect sizes in development impact evaluations vary enough across contexts that single-study estimates routinely fail to transport. Deaton and Cartwright</w:t>
      </w:r>
      <w:r>
        <w:t xml:space="preserve"> </w:t>
      </w:r>
      <w:r>
        <w:t xml:space="preserve">(</w:t>
      </w:r>
      <w:hyperlink w:anchor="ref-deaton2018rcts">
        <w:r>
          <w:rPr>
            <w:rStyle w:val="Hyperlink"/>
          </w:rPr>
          <w:t xml:space="preserve">2018</w:t>
        </w:r>
      </w:hyperlink>
      <w:r>
        <w:t xml:space="preserve">)</w:t>
      </w:r>
      <w:r>
        <w:t xml:space="preserve"> </w:t>
      </w:r>
      <w:r>
        <w:t xml:space="preserve">argue more broadly that the field over-reads the inferential warrant randomization alone supports. The method these authors scrutinize, randomized trials, differs from the cross-country panel used here, but the over-claiming concern carries: panel work has likewise tended to report a within-country coefficient as if it were measure-independent, sample-independent, and identification-robust, when each property must be tested rather than assumed. The pre-specified design places this paper deliberately in that lineage.</w:t>
      </w:r>
    </w:p>
    <w:bookmarkEnd w:id="13"/>
    <w:bookmarkEnd w:id="14"/>
    <w:bookmarkStart w:id="19" w:name="data-and-pre-specified-design"/>
    <w:p>
      <w:pPr>
        <w:pStyle w:val="Heading1"/>
      </w:pPr>
      <w:r>
        <w:t xml:space="preserve">3. Data and pre-specified design</w:t>
      </w:r>
    </w:p>
    <w:bookmarkStart w:id="15" w:name="data-sources-and-panel-construction"/>
    <w:p>
      <w:pPr>
        <w:pStyle w:val="Heading2"/>
      </w:pPr>
      <w:r>
        <w:t xml:space="preserve">3.1 Data sources and panel construction</w:t>
      </w:r>
    </w:p>
    <w:p>
      <w:pPr>
        <w:pStyle w:val="FirstParagraph"/>
      </w:pPr>
      <w:r>
        <w:t xml:space="preserve">The analytical panel is a balanced 133-country × 11-year (2010–2020) dataset assembled from ten administrative and harmonized-research sources. The country universe is the set of recipient countries that received any positive OECD CRS commitment between 1995 and 2024</w:t>
      </w:r>
      <w:r>
        <w:t xml:space="preserve"> </w:t>
      </w:r>
      <w:r>
        <w:rPr>
          <w:i/>
          <w:iCs/>
        </w:rPr>
        <w:t xml:space="preserve">and</w:t>
      </w:r>
      <w:r>
        <w:t xml:space="preserve"> </w:t>
      </w:r>
      <w:r>
        <w:t xml:space="preserve">recorded at least one Human Capital Index Harmonized Learning Outcomes (HLO) observation in the period; 127 of the 133 carry the ≥2 HLO cycles required for within-country slope identification in Model 2. The 2010–2020 primary window is HCI-cycle-anchored because HLO is observed only in 2010, 2017, 2018, and 2020. Wider windows (2000–2022 and 2005–2020) therefore yield mechanically identical Model-2 samples, and both are reported as referee-resistant robustness alongside the primary. COVID-affected years (2020–2022) are handled with a time-varying school-closure control derived from the UNESCO HDX daily-status time series; a parallel robustness drops 2020+ entirely.</w:t>
      </w:r>
    </w:p>
    <w:p>
      <w:pPr>
        <w:pStyle w:val="BodyText"/>
      </w:pPr>
      <w:r>
        <w:t xml:space="preserve">The outcome variable is the World Bank Human Capital Index Harmonized Test Scores (</w:t>
      </w:r>
      <w:r>
        <w:rPr>
          <w:rStyle w:val="VerbatimChar"/>
        </w:rPr>
        <w:t xml:space="preserve">HD.HCI.HLOS</w:t>
      </w:r>
      <w:r>
        <w:t xml:space="preserve">), fetched via the WDI API and stored as</w:t>
      </w:r>
      <w:r>
        <w:t xml:space="preserve"> </w:t>
      </w:r>
      <w:r>
        <w:rPr>
          <w:rStyle w:val="VerbatimChar"/>
        </w:rPr>
        <w:t xml:space="preserve">hlo_score</w:t>
      </w:r>
      <w:r>
        <w:t xml:space="preserve"> </w:t>
      </w:r>
      <w:r>
        <w:t xml:space="preserve">(scale roughly 300–625, anchored on Progress in International Reading Literacy Study (PIRLS) and Trends in International Mathematics and Science Study (TIMSS) primary benchmarks at 400/475/625). The principal robustness measure is the Altinok, Angrist and Patrinos</w:t>
      </w:r>
      <w:r>
        <w:t xml:space="preserve"> </w:t>
      </w:r>
      <w:r>
        <w:t xml:space="preserve">(</w:t>
      </w:r>
      <w:hyperlink w:anchor="ref-altinok2018global">
        <w:r>
          <w:rPr>
            <w:rStyle w:val="Hyperlink"/>
          </w:rPr>
          <w:t xml:space="preserve">2018</w:t>
        </w:r>
      </w:hyperlink>
      <w:r>
        <w:t xml:space="preserve">)</w:t>
      </w:r>
      <w:r>
        <w:t xml:space="preserve"> </w:t>
      </w:r>
      <w:r>
        <w:rPr>
          <w:i/>
          <w:iCs/>
        </w:rPr>
        <w:t xml:space="preserve">Global Data Set on Education Quality (1965–2015)</w:t>
      </w:r>
      <w:r>
        <w:t xml:space="preserve">, a parallel harmonization stored as</w:t>
      </w:r>
      <w:r>
        <w:t xml:space="preserve"> </w:t>
      </w:r>
      <w:r>
        <w:rPr>
          <w:rStyle w:val="VerbatimChar"/>
        </w:rPr>
        <w:t xml:space="preserve">aap_hlo_aap</w:t>
      </w:r>
      <w:r>
        <w:t xml:space="preserve"> </w:t>
      </w:r>
      <w:r>
        <w:t xml:space="preserve">and fetched from the OWID</w:t>
      </w:r>
      <w:r>
        <w:t xml:space="preserve"> </w:t>
      </w:r>
      <w:r>
        <w:rPr>
          <w:rStyle w:val="VerbatimChar"/>
        </w:rPr>
        <w:t xml:space="preserve">owid-datasets</w:t>
      </w:r>
      <w:r>
        <w:t xml:space="preserve"> </w:t>
      </w:r>
      <w:r>
        <w:t xml:space="preserve">GitHub mirror at a frozen commit hash. PAP-0004 commits the paper to verifying sign-agreement on the within-country coefficient across the two measures as a precondition for the headline claim, and §4.6 reports the measure-sensitivity finding from that test. The Sandefur</w:t>
      </w:r>
      <w:r>
        <w:t xml:space="preserve"> </w:t>
      </w:r>
      <w:r>
        <w:t xml:space="preserve">(</w:t>
      </w:r>
      <w:hyperlink w:anchor="ref-sandefur2018internationally">
        <w:r>
          <w:rPr>
            <w:rStyle w:val="Hyperlink"/>
          </w:rPr>
          <w:t xml:space="preserve">2018</w:t>
        </w:r>
      </w:hyperlink>
      <w:r>
        <w:t xml:space="preserve">)</w:t>
      </w:r>
      <w:r>
        <w:t xml:space="preserve"> </w:t>
      </w:r>
      <w:r>
        <w:t xml:space="preserve">critique that anchor-equating between testing regimes (PISA, TIMSS, SACMEQ, and the Programme d’analyse des systèmes éducatifs de la CONFEMEN (PASEC)) produces score-equivalence claims that may not hold in practice, particularly for sub-Saharan African countries that anchor through small overlapping samples, is engaged head-on in two places: the within-country fixed-effects specification (Model 2) absorbs any time-invariant cross-country level miscalibration in the harmonization, and the AAP-2018 alternative serves as the published-measure check against measurement-choice fragility. Learning-Adjusted Years of Schooling, computed by the World Bank as LAYS = EYS × (HLO/625), is reported as a parallel outcome to put the paper’s findings in the unit Filmer and colleagues</w:t>
      </w:r>
      <w:r>
        <w:t xml:space="preserve"> </w:t>
      </w:r>
      <w:r>
        <w:t xml:space="preserve">(</w:t>
      </w:r>
      <w:hyperlink w:anchor="ref-filmer2020lays">
        <w:r>
          <w:rPr>
            <w:rStyle w:val="Hyperlink"/>
          </w:rPr>
          <w:t xml:space="preserve">2020</w:t>
        </w:r>
      </w:hyperlink>
      <w:r>
        <w:t xml:space="preserve">)</w:t>
      </w:r>
      <w:r>
        <w:t xml:space="preserve"> </w:t>
      </w:r>
      <w:r>
        <w:t xml:space="preserve">and the GEEAP</w:t>
      </w:r>
      <w:r>
        <w:t xml:space="preserve"> </w:t>
      </w:r>
      <w:r>
        <w:t xml:space="preserve">(</w:t>
      </w:r>
      <w:hyperlink w:anchor="ref-geeap2023smart">
        <w:r>
          <w:rPr>
            <w:rStyle w:val="Hyperlink"/>
          </w:rPr>
          <w:t xml:space="preserve">2023</w:t>
        </w:r>
      </w:hyperlink>
      <w:r>
        <w:t xml:space="preserve">)</w:t>
      </w:r>
      <w:r>
        <w:t xml:space="preserve"> </w:t>
      </w:r>
      <w:r>
        <w:t xml:space="preserve">cost-effectiveness benchmarks use.</w:t>
      </w:r>
    </w:p>
    <w:p>
      <w:pPr>
        <w:pStyle w:val="BodyText"/>
      </w:pPr>
      <w:r>
        <w:t xml:space="preserve">The treatment variable is OECD Creditor Reporting System (CRS) disbursements to education (sector codes 110/111/112/113/114), deflated to constant US dollars with the DAC deflator and entered as a strictly-past three-year moving average (the mean of</w:t>
      </w:r>
      <w:r>
        <w:t xml:space="preserve"> </w:t>
      </w:r>
      <w:r>
        <w:rPr>
          <w:i/>
          <w:iCs/>
        </w:rPr>
        <w:t xml:space="preserve">t</w:t>
      </w:r>
      <w:r>
        <w:t xml:space="preserve">−3,</w:t>
      </w:r>
      <w:r>
        <w:t xml:space="preserve"> </w:t>
      </w:r>
      <w:r>
        <w:rPr>
          <w:i/>
          <w:iCs/>
        </w:rPr>
        <w:t xml:space="preserve">t</w:t>
      </w:r>
      <w:r>
        <w:t xml:space="preserve">−2,</w:t>
      </w:r>
      <w:r>
        <w:t xml:space="preserve"> </w:t>
      </w:r>
      <w:r>
        <w:rPr>
          <w:i/>
          <w:iCs/>
        </w:rPr>
        <w:t xml:space="preserve">t</w:t>
      </w:r>
      <w:r>
        <w:t xml:space="preserve">−1). PAP-0005 locks this construction from a 16-cell sensitivity surface that tests commitment versus disbursement, current versus constant US dollars, and four lag and moving-average combinations. Fourteen of the sixteen cells produce a positive within-country coefficient on HLO; the two exceptions are the raw, non-averaged commitment specifications, where the coefficient is essentially zero and far from significant (β ≈ −0.2 to −0.4; p ≈ 0.9). Every moving-average specification is positive. The strictly-past three-year average disbursement specification is chosen as primary because it forecloses contemporaneous donor response to within-year learning shocks. The raw OECD CRS extract is a 537,586-row project-level dataset (release CRS-v20260408) fetched via the OECD’s SDMX endpoint and aggregated to the country-year panel at the merge stage. Cells of the ODA-eligible universe with no recorded CRS project in a given year are treated as zero dollars rather than missing. AidData’s Global Chinese Development Finance v3.0 dataset (PAP-0008) is ingested in parallel for the non-DAC robustness check.</w:t>
      </w:r>
    </w:p>
    <w:p>
      <w:pPr>
        <w:pStyle w:val="BodyText"/>
      </w:pPr>
      <w:r>
        <w:t xml:space="preserve">Macro and sector controls (WDI: GDP per capita in constant USD; pupil-teacher ratio at primary level; education expenditure as percent of GDP) are fetched via the</w:t>
      </w:r>
      <w:r>
        <w:t xml:space="preserve"> </w:t>
      </w:r>
      <w:r>
        <w:rPr>
          <w:rStyle w:val="VerbatimChar"/>
        </w:rPr>
        <w:t xml:space="preserve">WDI</w:t>
      </w:r>
      <w:r>
        <w:t xml:space="preserve"> </w:t>
      </w:r>
      <w:r>
        <w:t xml:space="preserve">R package. Governance controls use the native Worldwide Governance Indicators bundle to retain the per-source count needed to engage Langbein and Knack’s</w:t>
      </w:r>
      <w:r>
        <w:t xml:space="preserve"> </w:t>
      </w:r>
      <w:r>
        <w:t xml:space="preserve">(</w:t>
      </w:r>
      <w:hyperlink w:anchor="ref-langbein2010governance">
        <w:r>
          <w:rPr>
            <w:rStyle w:val="Hyperlink"/>
          </w:rPr>
          <w:t xml:space="preserve">2010</w:t>
        </w:r>
      </w:hyperlink>
      <w:r>
        <w:t xml:space="preserve">)</w:t>
      </w:r>
      <w:r>
        <w:t xml:space="preserve"> </w:t>
      </w:r>
      <w:r>
        <w:t xml:space="preserve">critique that the six WGI dimensions collapse to a single latent factor. PAP-0009 locks the construction as the PC1 composite of the six governance dimensions. PC1 captures 76.4 percent of WGI variance on this sample with all six loadings positive in the 0.35–0.45 band, and the all-six specification shows none of the six dimensions individually significant despite joint significance, empirically confirming the Langbein-Knack aggregation critique. PAP-0006 drops UNESCO Institute for Statistics (UIS) variables from the primary specification due to high regional missingness (private expenditure 91.8 percent missing in sub-Saharan Africa); a UIS-augmented listwise robustness is reported in the OSF deposit. The enrollment and out-of-school indicators flowing through WDI and UIS rest on country-side administrative reporting to UNESCO’s annual education survey, supplemented by household-survey estimates whose sampling frames systematically under-cover homeless, institutional, mobile, nomadic, and slum-dwelling populations</w:t>
      </w:r>
      <w:r>
        <w:t xml:space="preserve"> </w:t>
      </w:r>
      <w:r>
        <w:t xml:space="preserve">(</w:t>
      </w:r>
      <w:hyperlink w:anchor="ref-carrhill2013missing">
        <w:r>
          <w:rPr>
            <w:rStyle w:val="Hyperlink"/>
          </w:rPr>
          <w:t xml:space="preserve">Carr-Hill, 2013</w:t>
        </w:r>
      </w:hyperlink>
      <w:r>
        <w:t xml:space="preserve">)</w:t>
      </w:r>
      <w:r>
        <w:t xml:space="preserve">; ministries face well-documented incentives to over-report enrollment and under-report out-of-school children during MDG and SDG-4 monitoring cycles, and the paper treats these variables as suggestive rather than authoritative. The §5 limits paragraph owns this measurement caveat directly.</w:t>
      </w:r>
    </w:p>
    <w:p>
      <w:pPr>
        <w:pStyle w:val="BodyText"/>
      </w:pPr>
      <w:r>
        <w:t xml:space="preserve">Two confounder sources control for time-varying disruption. The Uppsala Conflict Data Program / PRIO Armed Conflict Dataset (v25.1 + Battle-Related Deaths v25.1) provides a binary</w:t>
      </w:r>
      <w:r>
        <w:t xml:space="preserve"> </w:t>
      </w:r>
      <w:r>
        <w:rPr>
          <w:rStyle w:val="VerbatimChar"/>
        </w:rPr>
        <w:t xml:space="preserve">in_conflict</w:t>
      </w:r>
      <w:r>
        <w:t xml:space="preserve"> </w:t>
      </w:r>
      <w:r>
        <w:t xml:space="preserve">indicator and intensity counts, aggregated to country-year from the original conflict-level data; 12.3 % of country-year cells in the panel show active conflict, with the expected sub-Saharan over-representation (25.3 % SSA vs 9.2 % rest-of-world). The UNESCO COVID-19 School Closures dataset gives</w:t>
      </w:r>
      <w:r>
        <w:t xml:space="preserve"> </w:t>
      </w:r>
      <w:r>
        <w:rPr>
          <w:rStyle w:val="VerbatimChar"/>
        </w:rPr>
        <w:t xml:space="preserve">days_closed</w:t>
      </w:r>
      <w:r>
        <w:t xml:space="preserve"> </w:t>
      </w:r>
      <w:r>
        <w:t xml:space="preserve">per country-year for 2020–2022, derived transparently from the daily status time series rather than from UNESCO’s pre-aggregated figures; cross-validation against the pre-aggregated source agrees at median |diff| = 2 days. Both confounders enter Model 2 as time-varying controls and are documented at variable level in the deposited data dictionary.</w:t>
      </w:r>
    </w:p>
    <w:bookmarkEnd w:id="15"/>
    <w:bookmarkStart w:id="16" w:name="analytical-design-and-pre-analysis-plans"/>
    <w:p>
      <w:pPr>
        <w:pStyle w:val="Heading2"/>
      </w:pPr>
      <w:r>
        <w:t xml:space="preserve">3.2 Analytical design and pre-analysis plans</w:t>
      </w:r>
    </w:p>
    <w:p>
      <w:pPr>
        <w:pStyle w:val="FirstParagraph"/>
      </w:pPr>
      <w:r>
        <w:t xml:space="preserve">The design rests on a choice the cross-country aid-effectiveness literature has not historically made: every consequential analytical decision is recorded in a written pre-analysis plan (PAP)</w:t>
      </w:r>
      <w:r>
        <w:t xml:space="preserve"> </w:t>
      </w:r>
      <w:r>
        <w:rPr>
          <w:i/>
          <w:iCs/>
        </w:rPr>
        <w:t xml:space="preserve">before</w:t>
      </w:r>
      <w:r>
        <w:t xml:space="preserve"> </w:t>
      </w:r>
      <w:r>
        <w:t xml:space="preserve">the analysis whose result the decision would influence runs. Twelve such plans were written across the paper’s analytical lifespan; Appendix A.1 inventories all twelve with status. The four load-bearing ones referenced repeatedly below are PAP-0002 (country universe, ODA-eligible ∩ ≥1 HLO observation, N = 133), PAP-0004 (HLO measure choice with a sign-agreement gate set in advance), PAP-0005 (treatment construction as strictly-past 3-year MA of constant-USD disbursements), and PAP-0012 (retirement of the UIS multiple-imputation sub-commitment of PAP-0006 after MCAR rejection). PAP-0007 (CRS intervention typology) is the single Rejected plan: its inter-method agreement gate failed on all three criteria, retiring Model 4 before it produced defensible-looking but fragile results. The plans are the operational frame for treating every potentially-arbitrary methodological choice as a falsifiable gate the data must clear, not paperwork.</w:t>
      </w:r>
    </w:p>
    <w:p>
      <w:pPr>
        <w:pStyle w:val="BodyText"/>
      </w:pPr>
      <w:r>
        <w:t xml:space="preserve">A diagnostic battery committed in advance sits alongside the plans. Every statistical test, robustness specification, and reproducibility commitment the manuscript makes is documented before execution; each is then either executed (with the result reported in §4–§5), retired by an amending plan (the typology-ANOVA per PAP-0007; the UIS multiple imputation per PAP-0012), or noted as not feasible at the panel’s small T (the Dumitrescu-Hurlin Granger test and the Arellano-Bond GMM remedy of PAP-0010, both blocked by T_eff ≤ 4). The principal robustness check on the HLO measure produced a sign-flip the manuscript adapts to throughout.</w:t>
      </w:r>
    </w:p>
    <w:p>
      <w:pPr>
        <w:pStyle w:val="BodyText"/>
      </w:pPr>
      <w:r>
        <w:t xml:space="preserve">A post-draft adversarial review completes the design: an argumentative-coherence read on the assembled draft asking</w:t>
      </w:r>
      <w:r>
        <w:t xml:space="preserve"> </w:t>
      </w:r>
      <w:r>
        <w:rPr>
          <w:i/>
          <w:iCs/>
        </w:rPr>
        <w:t xml:space="preserve">does the argument hold without the numbers?</w:t>
      </w:r>
      <w:r>
        <w:t xml:space="preserve">, followed by a deliberate 48-hour gap and then a skeptical-referee read marking every sentence of the form</w:t>
      </w:r>
      <w:r>
        <w:t xml:space="preserve"> </w:t>
      </w:r>
      <w:r>
        <w:rPr>
          <w:i/>
          <w:iCs/>
        </w:rPr>
        <w:t xml:space="preserve">“claim X but did not demonstrate X”</w:t>
      </w:r>
      <w:r>
        <w:t xml:space="preserve"> </w:t>
      </w:r>
      <w:r>
        <w:t xml:space="preserve">for repair or reframe. The collective discipline is straightforward: every claim the manuscript makes traces to a diagnostic committed in advance with documented status, and every methodological choice is recorded before the result that depends on it is generated.</w:t>
      </w:r>
    </w:p>
    <w:bookmarkEnd w:id="16"/>
    <w:bookmarkStart w:id="17" w:name="positionality"/>
    <w:p>
      <w:pPr>
        <w:pStyle w:val="Heading2"/>
      </w:pPr>
      <w:r>
        <w:t xml:space="preserve">3.3 Positionality</w:t>
      </w:r>
    </w:p>
    <w:p>
      <w:pPr>
        <w:pStyle w:val="FirstParagraph"/>
      </w:pPr>
      <w:r>
        <w:t xml:space="preserve">The author is a practitioner-researcher based in Bristol, United Kingdom, with a Master of Arts in Education and International Development from University College London’s Institute of Education and a five-year track record of monitoring, evaluation, and applied-research engagements across the education and human-capital-development sector. The roles span the donor architecture this paper takes as its object: bilateral programmes (USAID, via RTI International’s Basic Education Program in Georgia, where the author led the longitudinal implementation study and rollout of the Multi-Tiered System of Support framework across fifteen public schools, four hundred teachers, and ten thousand primary students, 2023–2025; U.S. Department of State, via IREX’s external evaluation of the ten-year Georgia Media Partnership Program); multilateral collaboration (the Japan International Cooperation Agency’s monitoring and evaluation lead for the Maternal and Child Health Book project in Adjara region, 2025; consortium work with the World Bank and Mathematica on the New School Model evaluation in Georgia, 2021–2022); European Union–funded research consortia (the European Training Foundation’s mixed-methods study of civil-society organisations in human-capital development; People In Need’s evaluations across the South Caucasus and Moldova programme; multiple ENPARD rural-development engagements); and national-government direct engagements with Georgia’s Ministry of Education and Science on inclusiveness policy and reform implementation.</w:t>
      </w:r>
    </w:p>
    <w:p>
      <w:pPr>
        <w:pStyle w:val="BodyText"/>
      </w:pPr>
      <w:r>
        <w:t xml:space="preserve">The methodological priors of this paper are grounded in that direct engagement. Skepticism toward enrollment-based metrics, the preference for disbursement-over-commitment as the ODA construct, and the explicit treatment of UNESCO self-reported indicators as suggestive-rather-than-authoritative all reflect repeated first-hand observation of the gap between what monitoring frameworks were designed to capture and what the resulting indicators actually carry when they reach ministry and donor reporting channels. The author co-founded Reed (reed.ge), a research platform building structured-voice instruments for teachers, parents, and children in education-policy decisions, in October 2025. The platform’s underlying premise is that the indicators driving education-finance decisions need redesign at the instrument layer rather than just at the aggregation layer. This premise directly motivates the manuscript’s treatment of measurement infrastructure as a research-priority question rather than a residual caveat. The positionality framing here is methodological asset rather than apology: the practitioner experience justifies the manuscript’s skeptical priors about donor-reporting-layer data and grounds the §6 research-infrastructure recommendations in the operational realities of programmes the author has worked inside.</w:t>
      </w:r>
    </w:p>
    <w:bookmarkEnd w:id="17"/>
    <w:bookmarkStart w:id="18" w:name="statistical-validity-audit-summary"/>
    <w:p>
      <w:pPr>
        <w:pStyle w:val="Heading2"/>
      </w:pPr>
      <w:r>
        <w:t xml:space="preserve">3.4 Statistical-validity audit summary</w:t>
      </w:r>
    </w:p>
    <w:p>
      <w:pPr>
        <w:pStyle w:val="FirstParagraph"/>
      </w:pPr>
      <w:r>
        <w:t xml:space="preserve">The statistical-validity audit ran across the twelve diagnostics committed in advance. Each was either executed and passed; withdrawn by an amending plan (the two ANOVA diagnostics under PAP-0007 Rejected); scope-resolved (the 3-level student-school-country HLM reframed to country-level only, pending PISA/TIMSS/PIRLS micro-data); deferred to a later argumentative-coherence and adversarial-read pass with documentation; or documented as not feasible at small T (the Dumitrescu-Hurlin Granger test and the System GMM remedy of PAP-0010 are both blocked by the HCI-cycle panel’s T_eff ≤ 4).</w:t>
      </w:r>
    </w:p>
    <w:p>
      <w:pPr>
        <w:pStyle w:val="BodyText"/>
      </w:pPr>
      <w:r>
        <w:t xml:space="preserve">The important audit finding is not the checklist completion. It is the failed HLO measure-sensitivity check: the principal robustness committed in PAP-0004 (refit Model 2’s headline specification on the AAP-2018 alternative outcome and verify sign agreement with the World Bank HCI HLOS specification) produced a sign-flip on both the full AAP coverage (β = −16.67, p = 0.009) and the overlap window restricted to year ≥ 2010 (β = −3.94, p = 0.66). The overlap-window null rules out sample-window composition as the sole driver; the harmonized-measure choice itself materially shapes the headline. PAP-0004 documents the failure; the manuscript adapts via the hedge route, with the within-country positive headline reported throughout the paper with explicit measure-qualification (</w:t>
      </w:r>
      <w:r>
        <w:t xml:space="preserve">“</w:t>
      </w:r>
      <w:r>
        <w:rPr>
          <w:i/>
          <w:iCs/>
        </w:rPr>
        <w:t xml:space="preserve">in the WB HCI HLOS specification on the 2010–2020 panel</w:t>
      </w:r>
      <w:r>
        <w:t xml:space="preserve">”</w:t>
      </w:r>
      <w:r>
        <w:t xml:space="preserve">) rather than naked attribution. §4.6 reports the sensitivity numbers; §5 frames the measure-fragility as itself a methodological contribution to the cross-country aid-learning literature, alongside the Model 4 drop (§4.4 / PAP-0007 Rejected) and the UIS multiple-imputation retirement (§4.6 / PAP-0012).</w:t>
      </w:r>
    </w:p>
    <w:bookmarkEnd w:id="18"/>
    <w:bookmarkEnd w:id="19"/>
    <w:bookmarkStart w:id="46" w:name="results"/>
    <w:p>
      <w:pPr>
        <w:pStyle w:val="Heading1"/>
      </w:pPr>
      <w:r>
        <w:t xml:space="preserve">4. Results</w:t>
      </w:r>
    </w:p>
    <w:bookmarkStart w:id="24" w:name="Xc478e6997091765a804045a68d47a40683e3777"/>
    <w:p>
      <w:pPr>
        <w:pStyle w:val="Heading2"/>
      </w:pPr>
      <w:r>
        <w:t xml:space="preserve">4.1 Descriptive: the enrolment-learning divergence</w:t>
      </w:r>
    </w:p>
    <w:p>
      <w:pPr>
        <w:pStyle w:val="FirstParagraph"/>
      </w:pPr>
      <w:r>
        <w:t xml:space="preserve">The analytical universe is the 133-country sample locked in §3.1 (ODA-eligible countries with at least one HLO observation in 2000–2022, per PAP-0002), with the primary window narrowed to 2010–2020 per PAP-0003. The HLO outcome is observed only in four Human Capital Index assessment cycles (2010, 2017, 2018, 2020), and within-country variation is therefore identified off at most four observations per country, a structural feature of the harmonized cross-country learning measurement landscape that constrains every downstream identification claim. Of the 133-country universe, 127 countries have at least two HLO observations and are within-country fixed-effects identifiable; 30 of the 133 (23 percent) eventually drop out of Model 2 via listwise on controls plus singleton-FE absorption.</w:t>
      </w:r>
    </w:p>
    <w:p>
      <w:pPr>
        <w:pStyle w:val="BodyText"/>
      </w:pPr>
      <w:r>
        <w:t xml:space="preserve">The descriptive headline of the panel is the divergence between enrollment and learning. Gross primary enrollment is uniformly high across all six World Bank regions over the primary window, with region means ranging from 98.5 percent (Europe &amp; Central Asia) to 109.1 percent (Latin America &amp; Caribbean). HLO score is not: the same six-region grid spans 82 points (sub-Saharan Africa 374; ECA 456), roughly 1.6 within-universe standard deviations. The harmonized LAYS measure shows a 4.3-year cross-region spread (SSA 4.9; ECA 9.2). On the 2020 cross-section, the densest cycle with 106 countries reporting both indicators, the bivariate OLS slope of HLO on gross primary enrollment is</w:t>
      </w:r>
      <w:r>
        <w:t xml:space="preserve"> </w:t>
      </w:r>
      <w:r>
        <w:rPr>
          <w:b/>
          <w:bCs/>
        </w:rPr>
        <w:t xml:space="preserve">−0.65 HLO points per one-percentage-point enrollment increase</w:t>
      </w:r>
      <w:r>
        <w:t xml:space="preserve"> </w:t>
      </w:r>
      <w:r>
        <w:t xml:space="preserve">(p = 0.13, not significant); the R² is 0.02. Enrollment</w:t>
      </w:r>
      <w:r>
        <w:t xml:space="preserve"> </w:t>
      </w:r>
      <w:r>
        <w:t xml:space="preserve">“explains”</w:t>
      </w:r>
      <w:r>
        <w:t xml:space="preserve"> </w:t>
      </w:r>
      <w:r>
        <w:t xml:space="preserve">approximately two percent of cross-country HLO variance, and the relationship is trending slightly negative. The named-country contrast that grounds the abstraction:</w:t>
      </w:r>
      <w:r>
        <w:t xml:space="preserve"> </w:t>
      </w:r>
      <w:r>
        <w:rPr>
          <w:b/>
          <w:bCs/>
        </w:rPr>
        <w:t xml:space="preserve">Kenya</w:t>
      </w:r>
      <w:r>
        <w:t xml:space="preserve"> </w:t>
      </w:r>
      <w:r>
        <w:t xml:space="preserve">enrolls 92 percent of primary-aged students gross and produces an HLO score of 455;</w:t>
      </w:r>
      <w:r>
        <w:t xml:space="preserve"> </w:t>
      </w:r>
      <w:r>
        <w:rPr>
          <w:b/>
          <w:bCs/>
        </w:rPr>
        <w:t xml:space="preserve">Bangladesh</w:t>
      </w:r>
      <w:r>
        <w:t xml:space="preserve"> </w:t>
      </w:r>
      <w:r>
        <w:t xml:space="preserve">enrolls 110 percent gross and produces an HLO score of 368. Bangladesh has eighteen percentage points more gross enrollment than Kenya and an eighty-seven-point lower HLO score, in the same year, on the same harmonized scale.</w:t>
      </w:r>
    </w:p>
    <w:tbl>
      <w:tblPr>
        <w:tblStyle w:val="Table"/>
        <w:tblW w:type="pct" w:w="5000"/>
        <w:tblLayout w:type="fixed"/>
        <w:tblLook w:firstRow="0" w:lastRow="0" w:firstColumn="0" w:lastColumn="0" w:noHBand="0" w:noVBand="0" w:val="0000"/>
      </w:tblPr>
      <w:tblGrid>
        <w:gridCol w:w="7920"/>
      </w:tblGrid>
      <w:tr>
        <w:tc>
          <w:tcPr/>
          <w:bookmarkStart w:id="23" w:name="fig-divergence"/>
          <w:p>
            <w:pPr>
              <w:pStyle w:val="Compact"/>
              <w:jc w:val="center"/>
            </w:pPr>
            <w:r>
              <w:drawing>
                <wp:inline>
                  <wp:extent cx="4267200" cy="2933700"/>
                  <wp:effectExtent b="0" l="0" r="0" t="0"/>
                  <wp:docPr descr="" title="" id="21" name="Picture"/>
                  <a:graphic>
                    <a:graphicData uri="http://schemas.openxmlformats.org/drawingml/2006/picture">
                      <pic:pic>
                        <pic:nvPicPr>
                          <pic:cNvPr descr="../output/figures/eda/enrollment_vs_learning.png" id="22" name="Picture"/>
                          <pic:cNvPicPr>
                            <a:picLocks noChangeArrowheads="1" noChangeAspect="1"/>
                          </pic:cNvPicPr>
                        </pic:nvPicPr>
                        <pic:blipFill>
                          <a:blip r:embed="rId20"/>
                          <a:stretch>
                            <a:fillRect/>
                          </a:stretch>
                        </pic:blipFill>
                        <pic:spPr bwMode="auto">
                          <a:xfrm>
                            <a:off x="0" y="0"/>
                            <a:ext cx="4267200" cy="29337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Figure 1. Enrollment-learning divergence, 2020 cross-section. 133-country PAP-0002 universe restricted to countries with both gross primary enrollment and HLO score non-NA (n=106). OLS bivariate slope = −0.65 HLO points per 1pp enrollment increase (p=0.13, ns); R² = 0.02. Labeled countries: BGD, BRA, EGY, IDN, IND, KEN, NGA. Source: WB HCI HLOS + WDI SE.PRM.ENRR.</w:t>
            </w:r>
          </w:p>
          <w:bookmarkEnd w:id="23"/>
        </w:tc>
      </w:tr>
    </w:tbl>
    <w:p>
      <w:pPr>
        <w:pStyle w:val="BodyText"/>
      </w:pPr>
      <w:r>
        <w:t xml:space="preserve">The regional pattern depth confirms the cross-country selection problem Model 1 will recover empirically and Model 2 will then attempt to escape. Sub-Saharan Africa carries the heaviest aggregate burden: lowest HLO score (374), lowest LAYS (4.9 years), highest pupil-teacher ratio in primary (40.6, against ECA’s 16.4), worst primary completion rate (70 percent, against ECA’s 97 percent), highest primary out-of-school rate (18.6 percent), and lowest WGI government effectiveness (−0.79, against ECA’s −0.14). Europe &amp; Central Asia is the high-functioning low-aid comparator at the other end of every gradient. South Asia, with only seven countries in the universe, carries the heaviest concentrated aid burden, at $349 million per country-year in OECD CRS education disbursements (against the panel mean of $96 million), dominated by India, and the longest COVID-19 school closures in 2020 (179 days, against East Asia &amp; Pacific’s 73). The variables that vary cross-sectionally with HLO score are precisely the variables that also vary cross-sectionally with aid intensity; this is the structural confounding the within-country fixed-effects specification of §4.2 ¶2 is designed to absorb.</w:t>
      </w:r>
    </w:p>
    <w:bookmarkEnd w:id="24"/>
    <w:bookmarkStart w:id="27" w:name="X0f110e838866fb3fb4a6f9c767d8521cc5558be"/>
    <w:p>
      <w:pPr>
        <w:pStyle w:val="Heading2"/>
      </w:pPr>
      <w:r>
        <w:t xml:space="preserve">4.2 Models 1 and 2: the cross-section versus within-country contrast</w:t>
      </w:r>
    </w:p>
    <w:p>
      <w:pPr>
        <w:pStyle w:val="FirstParagraph"/>
      </w:pPr>
      <w:r>
        <w:t xml:space="preserve">Model 1 estimates the cross-sectional association between aid intensity and learning at the country level, using country means over the 2010–2020 window. The bivariate slope on log education aid is</w:t>
      </w:r>
      <w:r>
        <w:t xml:space="preserve"> </w:t>
      </w:r>
      <w:r>
        <w:rPr>
          <w:b/>
          <w:bCs/>
        </w:rPr>
        <w:t xml:space="preserve">β = −11.54</w:t>
      </w:r>
      <w:r>
        <w:t xml:space="preserve"> </w:t>
      </w:r>
      <w:r>
        <w:t xml:space="preserve">HLO points (HC-robust SE 2.72; p &lt; 0.001), the familiar pattern in which aid concentrates in countries with poor outcomes, and would look alarming if reported as a headline. Adding log GDP per capita absorbs roughly ninety percent of that coefficient (β = −1.20, not significant), and each subsequent control leaves the ODA coefficient indistinguishable from zero. The full specification 1e returns</w:t>
      </w:r>
      <w:r>
        <w:t xml:space="preserve"> </w:t>
      </w:r>
      <w:r>
        <w:rPr>
          <w:b/>
          <w:bCs/>
        </w:rPr>
        <w:t xml:space="preserve">β = −1.36</w:t>
      </w:r>
      <w:r>
        <w:t xml:space="preserve"> </w:t>
      </w:r>
      <w:r>
        <w:t xml:space="preserve">(SE 2.48; p = 0.584; N = 120; R² = 0.444). The dominant cross-sectional correlate of learning in this specification is WGI Government Effectiveness, at β = +24.5 HLO points per one-unit WGI improvement (p &lt; 0.01), roughly half a within-universe standard deviation per unit of governance quality. The reading is straightforward: the cross-sectional negative association between aid and learning is selection-driven, and once the structural confounders the literature has long identified as the binding cross-country correlates of learning are absorbed, aid intensity has no cross-sectional association with learning outcomes at all.</w:t>
      </w:r>
    </w:p>
    <w:tbl>
      <w:tblPr>
        <w:tblStyle w:val="Table"/>
        <w:tblW w:type="pct" w:w="5000"/>
        <w:tblLayout w:type="fixed"/>
        <w:tblLook w:firstRow="0" w:lastRow="0" w:firstColumn="0" w:lastColumn="0" w:noHBand="0" w:noVBand="0" w:val="0000"/>
      </w:tblPr>
      <w:tblGrid>
        <w:gridCol w:w="7920"/>
      </w:tblGrid>
      <w:tr>
        <w:tc>
          <w:tcPr/>
          <w:bookmarkStart w:id="25" w:name="tbl-model1"/>
          <w:p>
            <w:pPr>
              <w:jc w:val="center"/>
            </w:pPr>
            <w:pPr>
              <w:jc w:val="left"/>
              <w:spacing w:before="200"/>
              <w:pStyle w:val="ImageCaption"/>
            </w:pPr>
            <w:r>
              <w:t xml:space="preserve">Table 1: Table 1. Model 1 cross-sectional OLS, showing ODA coefficient absorption by structural controls. Dependent variable: HLO score (country-mean 2010–2020). Treatment: log(1 + country-mean OECD CRS education disbursement, constant USD). HC-robust SE in parentheses. Full 6-spec progression (1a–1f) in Appendix A.</w:t>
            </w:r>
          </w:p>
          <w:tbl>
            <w:tblPr>
              <w:tblStyle w:val="Table"/>
              <w:tblW w:type="pct" w:w="5000"/>
              <w:tblLayout w:type="fixed"/>
              <w:tblLook w:firstRow="1" w:lastRow="0" w:firstColumn="0" w:lastColumn="0" w:noHBand="0" w:noVBand="0" w:val="0020"/>
            </w:tblPr>
            <w:tblGrid>
              <w:gridCol w:w="990"/>
              <w:gridCol w:w="2145"/>
              <w:gridCol w:w="825"/>
              <w:gridCol w:w="1155"/>
              <w:gridCol w:w="1155"/>
              <w:gridCol w:w="825"/>
              <w:gridCol w:w="825"/>
            </w:tblGrid>
            <w:tr>
              <w:trPr>
                <w:tblHeader w:val="on"/>
              </w:trPr>
              <w:tc>
                <w:tcPr/>
                <w:p>
                  <w:pPr>
                    <w:pStyle w:val="Compact"/>
                    <w:jc w:val="center"/>
                  </w:pPr>
                  <w:r>
                    <w:t xml:space="preserve">Spec</w:t>
                  </w:r>
                </w:p>
              </w:tc>
              <w:tc>
                <w:tcPr/>
                <w:p>
                  <w:pPr>
                    <w:pStyle w:val="Compact"/>
                    <w:jc w:val="center"/>
                  </w:pPr>
                  <w:r>
                    <w:t xml:space="preserve">Description</w:t>
                  </w:r>
                </w:p>
              </w:tc>
              <w:tc>
                <w:tcPr/>
                <w:p>
                  <w:pPr>
                    <w:pStyle w:val="Compact"/>
                    <w:jc w:val="right"/>
                    <w:jc w:val="center"/>
                  </w:pPr>
                  <w:r>
                    <w:t xml:space="preserve">β</w:t>
                  </w:r>
                </w:p>
              </w:tc>
              <w:tc>
                <w:tcPr/>
                <w:p>
                  <w:pPr>
                    <w:pStyle w:val="Compact"/>
                    <w:jc w:val="right"/>
                    <w:jc w:val="center"/>
                  </w:pPr>
                  <w:r>
                    <w:t xml:space="preserve">SE</w:t>
                  </w:r>
                </w:p>
              </w:tc>
              <w:tc>
                <w:tcPr/>
                <w:p>
                  <w:pPr>
                    <w:pStyle w:val="Compact"/>
                    <w:jc w:val="right"/>
                    <w:jc w:val="center"/>
                  </w:pPr>
                  <w:r>
                    <w:t xml:space="preserve">p</w:t>
                  </w:r>
                </w:p>
              </w:tc>
              <w:tc>
                <w:tcPr/>
                <w:p>
                  <w:pPr>
                    <w:pStyle w:val="Compact"/>
                    <w:jc w:val="right"/>
                    <w:jc w:val="center"/>
                  </w:pPr>
                  <w:r>
                    <w:t xml:space="preserve">N</w:t>
                  </w:r>
                </w:p>
              </w:tc>
              <w:tc>
                <w:tcPr/>
                <w:p>
                  <w:pPr>
                    <w:pStyle w:val="Compact"/>
                    <w:jc w:val="right"/>
                    <w:jc w:val="center"/>
                  </w:pPr>
                  <w:r>
                    <w:t xml:space="preserve">R²</w:t>
                  </w:r>
                </w:p>
              </w:tc>
            </w:tr>
            <w:tr>
              <w:tc>
                <w:tcPr/>
                <w:p>
                  <w:pPr>
                    <w:pStyle w:val="Compact"/>
                    <w:jc w:val="center"/>
                  </w:pPr>
                  <w:r>
                    <w:t xml:space="preserve">1a</w:t>
                  </w:r>
                </w:p>
              </w:tc>
              <w:tc>
                <w:tcPr/>
                <w:p>
                  <w:pPr>
                    <w:pStyle w:val="Compact"/>
                    <w:jc w:val="center"/>
                  </w:pPr>
                  <w:r>
                    <w:t xml:space="preserve">Bivariate (log(1+CRS) only)</w:t>
                  </w:r>
                </w:p>
              </w:tc>
              <w:tc>
                <w:tcPr/>
                <w:p>
                  <w:pPr>
                    <w:pStyle w:val="Compact"/>
                    <w:jc w:val="right"/>
                    <w:jc w:val="center"/>
                  </w:pPr>
                  <w:r>
                    <w:t xml:space="preserve">−11.54</w:t>
                  </w:r>
                </w:p>
              </w:tc>
              <w:tc>
                <w:tcPr/>
                <w:p>
                  <w:pPr>
                    <w:pStyle w:val="Compact"/>
                    <w:jc w:val="right"/>
                    <w:jc w:val="center"/>
                  </w:pPr>
                  <w:r>
                    <w:t xml:space="preserve">(2.72)</w:t>
                  </w:r>
                </w:p>
              </w:tc>
              <w:tc>
                <w:tcPr/>
                <w:p>
                  <w:pPr>
                    <w:pStyle w:val="Compact"/>
                    <w:jc w:val="right"/>
                    <w:jc w:val="center"/>
                  </w:pPr>
                  <w:r>
                    <w:t xml:space="preserve">&lt;0.001</w:t>
                  </w:r>
                </w:p>
              </w:tc>
              <w:tc>
                <w:tcPr/>
                <w:p>
                  <w:pPr>
                    <w:pStyle w:val="Compact"/>
                    <w:jc w:val="right"/>
                    <w:jc w:val="center"/>
                  </w:pPr>
                  <w:r>
                    <w:t xml:space="preserve">133</w:t>
                  </w:r>
                </w:p>
              </w:tc>
              <w:tc>
                <w:tcPr/>
                <w:p>
                  <w:pPr>
                    <w:pStyle w:val="Compact"/>
                    <w:jc w:val="right"/>
                    <w:jc w:val="center"/>
                  </w:pPr>
                  <w:r>
                    <w:t xml:space="preserve">0.154</w:t>
                  </w:r>
                </w:p>
              </w:tc>
            </w:tr>
            <w:tr>
              <w:tc>
                <w:tcPr/>
                <w:p>
                  <w:pPr>
                    <w:pStyle w:val="Compact"/>
                    <w:jc w:val="center"/>
                  </w:pPr>
                  <w:r>
                    <w:t xml:space="preserve">1b</w:t>
                  </w:r>
                </w:p>
              </w:tc>
              <w:tc>
                <w:tcPr/>
                <w:p>
                  <w:pPr>
                    <w:pStyle w:val="Compact"/>
                    <w:jc w:val="center"/>
                  </w:pPr>
                  <w:r>
                    <w:t xml:space="preserve">+ log(GDP per capita)</w:t>
                  </w:r>
                </w:p>
              </w:tc>
              <w:tc>
                <w:tcPr/>
                <w:p>
                  <w:pPr>
                    <w:pStyle w:val="Compact"/>
                    <w:jc w:val="right"/>
                    <w:jc w:val="center"/>
                  </w:pPr>
                  <w:r>
                    <w:t xml:space="preserve">−1.20</w:t>
                  </w:r>
                </w:p>
              </w:tc>
              <w:tc>
                <w:tcPr/>
                <w:p>
                  <w:pPr>
                    <w:pStyle w:val="Compact"/>
                    <w:jc w:val="right"/>
                    <w:jc w:val="center"/>
                  </w:pPr>
                  <w:r>
                    <w:t xml:space="preserve">(2.28)</w:t>
                  </w:r>
                </w:p>
              </w:tc>
              <w:tc>
                <w:tcPr/>
                <w:p>
                  <w:pPr>
                    <w:pStyle w:val="Compact"/>
                    <w:jc w:val="right"/>
                    <w:jc w:val="center"/>
                  </w:pPr>
                  <w:r>
                    <w:t xml:space="preserve">0.598</w:t>
                  </w:r>
                </w:p>
              </w:tc>
              <w:tc>
                <w:tcPr/>
                <w:p>
                  <w:pPr>
                    <w:pStyle w:val="Compact"/>
                    <w:jc w:val="right"/>
                    <w:jc w:val="center"/>
                  </w:pPr>
                  <w:r>
                    <w:t xml:space="preserve">133</w:t>
                  </w:r>
                </w:p>
              </w:tc>
              <w:tc>
                <w:tcPr/>
                <w:p>
                  <w:pPr>
                    <w:pStyle w:val="Compact"/>
                    <w:jc w:val="right"/>
                    <w:jc w:val="center"/>
                  </w:pPr>
                  <w:r>
                    <w:t xml:space="preserve">0.397</w:t>
                  </w:r>
                </w:p>
              </w:tc>
            </w:tr>
            <w:tr>
              <w:tc>
                <w:tcPr/>
                <w:p>
                  <w:pPr>
                    <w:pStyle w:val="Compact"/>
                    <w:jc w:val="center"/>
                  </w:pPr>
                  <w:r>
                    <w:t xml:space="preserve">1e</w:t>
                  </w:r>
                </w:p>
              </w:tc>
              <w:tc>
                <w:tcPr/>
                <w:p>
                  <w:pPr>
                    <w:pStyle w:val="Compact"/>
                    <w:jc w:val="center"/>
                  </w:pPr>
                  <w:r>
                    <w:t xml:space="preserve">+ WGI Government Effectiveness (full)</w:t>
                  </w:r>
                </w:p>
              </w:tc>
              <w:tc>
                <w:tcPr/>
                <w:p>
                  <w:pPr>
                    <w:pStyle w:val="Compact"/>
                    <w:jc w:val="right"/>
                    <w:jc w:val="center"/>
                  </w:pPr>
                  <w:r>
                    <w:t xml:space="preserve">−1.36</w:t>
                  </w:r>
                </w:p>
              </w:tc>
              <w:tc>
                <w:tcPr/>
                <w:p>
                  <w:pPr>
                    <w:pStyle w:val="Compact"/>
                    <w:jc w:val="right"/>
                    <w:jc w:val="center"/>
                  </w:pPr>
                  <w:r>
                    <w:t xml:space="preserve">(2.48)</w:t>
                  </w:r>
                </w:p>
              </w:tc>
              <w:tc>
                <w:tcPr/>
                <w:p>
                  <w:pPr>
                    <w:pStyle w:val="Compact"/>
                    <w:jc w:val="right"/>
                    <w:jc w:val="center"/>
                  </w:pPr>
                  <w:r>
                    <w:t xml:space="preserve">0.584</w:t>
                  </w:r>
                </w:p>
              </w:tc>
              <w:tc>
                <w:tcPr/>
                <w:p>
                  <w:pPr>
                    <w:pStyle w:val="Compact"/>
                    <w:jc w:val="right"/>
                    <w:jc w:val="center"/>
                  </w:pPr>
                  <w:r>
                    <w:t xml:space="preserve">120</w:t>
                  </w:r>
                </w:p>
              </w:tc>
              <w:tc>
                <w:tcPr/>
                <w:p>
                  <w:pPr>
                    <w:pStyle w:val="Compact"/>
                    <w:jc w:val="right"/>
                    <w:jc w:val="center"/>
                  </w:pPr>
                  <w:r>
                    <w:t xml:space="preserve">0.444</w:t>
                  </w:r>
                </w:p>
              </w:tc>
            </w:tr>
          </w:tbl>
          <w:bookmarkEnd w:id="25"/>
          <w:p/>
        </w:tc>
      </w:tr>
    </w:tbl>
    <w:p>
      <w:pPr>
        <w:pStyle w:val="BodyText"/>
      </w:pPr>
      <w:r>
        <w:t xml:space="preserve">Model 2 re-estimates the relationship as a within-country, two-way (country and year) fixed-effects panel with country-clustered standard errors. The specification rests on a locked encoding stack: a strictly-past three-year moving average of constant-USD disbursements, the WGI PC1 governance composite (76.4 percent of variance; engaging the Langbein and Knack (2010) critique that the six WGI aggregates collapse to a single latent factor), and the parallel AidData GCDF Chinese-aid covariate at spec 2f. The within-country signal emerges as the time-varying pupil-teacher ratio enters at spec 2c (β = 9.72, p = 0.054), stabilizes across the controlled specifications 2d–2f (β = 11.14, p = 0.048; β = 11.26, p = 0.046 with parallel Chinese aid), and softens only slightly at 2g (β = 9.61, p = 0.082) when conflict and school-closure controls enter. The headline specification 2e returns</w:t>
      </w:r>
      <w:r>
        <w:t xml:space="preserve"> </w:t>
      </w:r>
      <w:r>
        <w:rPr>
          <w:b/>
          <w:bCs/>
        </w:rPr>
        <w:t xml:space="preserve">β = +11.14</w:t>
      </w:r>
      <w:r>
        <w:t xml:space="preserve"> </w:t>
      </w:r>
      <w:r>
        <w:t xml:space="preserve">HLO points per unit of log treatment (SE 5.52; p = 0.048; N = 143; 95% CI [+0.32, +21.95]) in the WB HCI HLOS specification on the 2010–2020 panel, a long-form hedge the §4.6 measure-sensitivity check does not survive. The interval is wide. Even on its preferred measure the estimate runs from near zero to large, so the coefficient is imprecise before any measure substitution is considered, an imprecision that compounds the measure-dependence documented in §4.6. Substantively, a country moving from roughly US$10 million to US$100 million in average annual education disbursement (a log change of about 2.3) would see a within-country learning gain of about twenty-six HLO points, roughly half a within-sample standard deviation, though the confidence band around that figure is correspondingly broad. The estimate is robust within the panel to the encoding choices the literature has historically left unspecified, and is unmoved by adding parallel Chinese-aid flows; diagnostics show no residual serial correlation (Wooldridge AR(1) F = 0.44, p = 0.51) and a maximum variance-inflation factor of 1.62 on the demeaned regressors. Power is a binding limit. At the headline SE of 5.52, the smallest effect this panel can detect at conventional two-sided significance and eighty percent power is roughly 2.8 standard errors, about fifteen HLO points; the point estimate of eleven sits below that floor, so the design cannot reliably distinguish the estimated association from zero even before the measure substitution of §4.6. The contrast between the cross-sectional null and the within-country positive coefficient is striking; whether the within-country coefficient should be believed is the question the rest of §4 takes up.</w:t>
      </w:r>
    </w:p>
    <w:tbl>
      <w:tblPr>
        <w:tblStyle w:val="Table"/>
        <w:tblW w:type="pct" w:w="5000"/>
        <w:tblLayout w:type="fixed"/>
        <w:tblLook w:firstRow="0" w:lastRow="0" w:firstColumn="0" w:lastColumn="0" w:noHBand="0" w:noVBand="0" w:val="0000"/>
      </w:tblPr>
      <w:tblGrid>
        <w:gridCol w:w="7920"/>
      </w:tblGrid>
      <w:tr>
        <w:tc>
          <w:tcPr/>
          <w:bookmarkStart w:id="26" w:name="tbl-headline"/>
          <w:p>
            <w:pPr>
              <w:jc w:val="center"/>
            </w:pPr>
            <w:pPr>
              <w:jc w:val="left"/>
              <w:spacing w:before="200"/>
              <w:pStyle w:val="ImageCaption"/>
            </w:pPr>
            <w:r>
              <w:t xml:space="preserve">Table 2: Table 2. Model 1 vs Model 2, the cross-sectional / within-country ODA-coefficient contrast on locked encoding. Treatment differs: Model 1 uses country-mean of annual CRS disbursement; Model 2 uses 3-yr strictly-past MA per PAP-0005 lock. WGI differs: Model 1 uses single Government Effectiveness; Model 2 uses WGI PC1 per PAP-0009 lock (76.4% variance). Two-way (country + year) FE in Model 2. Headline is the WB HCI HLOS specification on the 2010–2020 panel; sensitivity to alternative HLO measure reported in §4.6.</w:t>
            </w:r>
          </w:p>
          <w:tbl>
            <w:tblPr>
              <w:tblStyle w:val="Table"/>
              <w:tblW w:type="pct" w:w="5000"/>
              <w:tblLayout w:type="fixed"/>
              <w:tblLook w:firstRow="1" w:lastRow="0" w:firstColumn="0" w:lastColumn="0" w:noHBand="0" w:noVBand="0" w:val="0020"/>
            </w:tblPr>
            <w:tblGrid>
              <w:gridCol w:w="1320"/>
              <w:gridCol w:w="942"/>
              <w:gridCol w:w="1320"/>
              <w:gridCol w:w="1320"/>
              <w:gridCol w:w="1320"/>
              <w:gridCol w:w="1697"/>
            </w:tblGrid>
            <w:tr>
              <w:trPr>
                <w:tblHeader w:val="on"/>
              </w:trPr>
              <w:tc>
                <w:tcPr/>
                <w:p>
                  <w:pPr>
                    <w:pStyle w:val="Compact"/>
                    <w:jc w:val="center"/>
                  </w:pPr>
                  <w:r>
                    <w:t xml:space="preserve">Model</w:t>
                  </w:r>
                </w:p>
              </w:tc>
              <w:tc>
                <w:tcPr/>
                <w:p>
                  <w:pPr>
                    <w:pStyle w:val="Compact"/>
                    <w:jc w:val="right"/>
                    <w:jc w:val="center"/>
                  </w:pPr>
                  <w:r>
                    <w:t xml:space="preserve">N</w:t>
                  </w:r>
                </w:p>
              </w:tc>
              <w:tc>
                <w:tcPr/>
                <w:p>
                  <w:pPr>
                    <w:pStyle w:val="Compact"/>
                    <w:jc w:val="right"/>
                    <w:jc w:val="center"/>
                  </w:pPr>
                  <w:r>
                    <w:t xml:space="preserve">β log(1+CRS)</w:t>
                  </w:r>
                </w:p>
              </w:tc>
              <w:tc>
                <w:tcPr/>
                <w:p>
                  <w:pPr>
                    <w:pStyle w:val="Compact"/>
                    <w:jc w:val="right"/>
                    <w:jc w:val="center"/>
                  </w:pPr>
                  <w:r>
                    <w:t xml:space="preserve">SE</w:t>
                  </w:r>
                </w:p>
              </w:tc>
              <w:tc>
                <w:tcPr/>
                <w:p>
                  <w:pPr>
                    <w:pStyle w:val="Compact"/>
                    <w:jc w:val="right"/>
                    <w:jc w:val="center"/>
                  </w:pPr>
                  <w:r>
                    <w:t xml:space="preserve">p</w:t>
                  </w:r>
                </w:p>
              </w:tc>
              <w:tc>
                <w:tcPr/>
                <w:p>
                  <w:pPr>
                    <w:pStyle w:val="Compact"/>
                    <w:jc w:val="center"/>
                  </w:pPr>
                  <w:r>
                    <w:t xml:space="preserve">SE type</w:t>
                  </w:r>
                </w:p>
              </w:tc>
            </w:tr>
            <w:tr>
              <w:tc>
                <w:tcPr/>
                <w:p>
                  <w:pPr>
                    <w:pStyle w:val="Compact"/>
                    <w:jc w:val="center"/>
                  </w:pPr>
                  <w:r>
                    <w:t xml:space="preserve">Model 1 OLS, full spec 1e (country means)</w:t>
                  </w:r>
                </w:p>
              </w:tc>
              <w:tc>
                <w:tcPr/>
                <w:p>
                  <w:pPr>
                    <w:pStyle w:val="Compact"/>
                    <w:jc w:val="right"/>
                    <w:jc w:val="center"/>
                  </w:pPr>
                  <w:r>
                    <w:t xml:space="preserve">120</w:t>
                  </w:r>
                </w:p>
              </w:tc>
              <w:tc>
                <w:tcPr/>
                <w:p>
                  <w:pPr>
                    <w:pStyle w:val="Compact"/>
                    <w:jc w:val="right"/>
                    <w:jc w:val="center"/>
                  </w:pPr>
                  <w:r>
                    <w:t xml:space="preserve">−1.36</w:t>
                  </w:r>
                </w:p>
              </w:tc>
              <w:tc>
                <w:tcPr/>
                <w:p>
                  <w:pPr>
                    <w:pStyle w:val="Compact"/>
                    <w:jc w:val="right"/>
                    <w:jc w:val="center"/>
                  </w:pPr>
                  <w:r>
                    <w:t xml:space="preserve">2.48</w:t>
                  </w:r>
                </w:p>
              </w:tc>
              <w:tc>
                <w:tcPr/>
                <w:p>
                  <w:pPr>
                    <w:pStyle w:val="Compact"/>
                    <w:jc w:val="right"/>
                    <w:jc w:val="center"/>
                  </w:pPr>
                  <w:r>
                    <w:t xml:space="preserve">0.584</w:t>
                  </w:r>
                </w:p>
              </w:tc>
              <w:tc>
                <w:tcPr/>
                <w:p>
                  <w:pPr>
                    <w:pStyle w:val="Compact"/>
                    <w:jc w:val="center"/>
                  </w:pPr>
                  <w:r>
                    <w:t xml:space="preserve">HC robust</w:t>
                  </w:r>
                </w:p>
              </w:tc>
            </w:tr>
            <w:tr>
              <w:tc>
                <w:tcPr/>
                <w:p>
                  <w:pPr>
                    <w:pStyle w:val="Compact"/>
                    <w:jc w:val="center"/>
                  </w:pPr>
                  <w:r>
                    <w:rPr>
                      <w:b/>
                      <w:bCs/>
                    </w:rPr>
                    <w:t xml:space="preserve">Model 2 v2 FE, locked encoding 2e (HEADLINE)</w:t>
                  </w:r>
                </w:p>
              </w:tc>
              <w:tc>
                <w:tcPr/>
                <w:p>
                  <w:pPr>
                    <w:pStyle w:val="Compact"/>
                    <w:jc w:val="right"/>
                    <w:jc w:val="center"/>
                  </w:pPr>
                  <w:r>
                    <w:t xml:space="preserve">143</w:t>
                  </w:r>
                </w:p>
              </w:tc>
              <w:tc>
                <w:tcPr/>
                <w:p>
                  <w:pPr>
                    <w:pStyle w:val="Compact"/>
                    <w:jc w:val="right"/>
                    <w:jc w:val="center"/>
                  </w:pPr>
                  <w:r>
                    <w:rPr>
                      <w:b/>
                      <w:bCs/>
                    </w:rPr>
                    <w:t xml:space="preserve">+11.14</w:t>
                  </w:r>
                </w:p>
              </w:tc>
              <w:tc>
                <w:tcPr/>
                <w:p>
                  <w:pPr>
                    <w:pStyle w:val="Compact"/>
                    <w:jc w:val="right"/>
                    <w:jc w:val="center"/>
                  </w:pPr>
                  <w:r>
                    <w:t xml:space="preserve">5.52</w:t>
                  </w:r>
                </w:p>
              </w:tc>
              <w:tc>
                <w:tcPr/>
                <w:p>
                  <w:pPr>
                    <w:pStyle w:val="Compact"/>
                    <w:jc w:val="right"/>
                    <w:jc w:val="center"/>
                  </w:pPr>
                  <w:r>
                    <w:rPr>
                      <w:b/>
                      <w:bCs/>
                    </w:rPr>
                    <w:t xml:space="preserve">0.048</w:t>
                  </w:r>
                </w:p>
              </w:tc>
              <w:tc>
                <w:tcPr/>
                <w:p>
                  <w:pPr>
                    <w:pStyle w:val="Compact"/>
                    <w:jc w:val="center"/>
                  </w:pPr>
                  <w:r>
                    <w:t xml:space="preserve">Country-clustered</w:t>
                  </w:r>
                </w:p>
              </w:tc>
            </w:tr>
            <w:tr>
              <w:tc>
                <w:tcPr/>
                <w:p>
                  <w:pPr>
                    <w:pStyle w:val="Compact"/>
                    <w:jc w:val="center"/>
                  </w:pPr>
                  <w:r>
                    <w:t xml:space="preserve">Model 2 v2 FE, locked 2g (+conflict+COVID)</w:t>
                  </w:r>
                </w:p>
              </w:tc>
              <w:tc>
                <w:tcPr/>
                <w:p>
                  <w:pPr>
                    <w:pStyle w:val="Compact"/>
                    <w:jc w:val="right"/>
                    <w:jc w:val="center"/>
                  </w:pPr>
                  <w:r>
                    <w:t xml:space="preserve">143</w:t>
                  </w:r>
                </w:p>
              </w:tc>
              <w:tc>
                <w:tcPr/>
                <w:p>
                  <w:pPr>
                    <w:pStyle w:val="Compact"/>
                    <w:jc w:val="right"/>
                    <w:jc w:val="center"/>
                  </w:pPr>
                  <w:r>
                    <w:t xml:space="preserve">+9.61</w:t>
                  </w:r>
                </w:p>
              </w:tc>
              <w:tc>
                <w:tcPr/>
                <w:p>
                  <w:pPr>
                    <w:pStyle w:val="Compact"/>
                    <w:jc w:val="right"/>
                    <w:jc w:val="center"/>
                  </w:pPr>
                  <w:r>
                    <w:t xml:space="preserve">5.44</w:t>
                  </w:r>
                </w:p>
              </w:tc>
              <w:tc>
                <w:tcPr/>
                <w:p>
                  <w:pPr>
                    <w:pStyle w:val="Compact"/>
                    <w:jc w:val="right"/>
                    <w:jc w:val="center"/>
                  </w:pPr>
                  <w:r>
                    <w:t xml:space="preserve">0.082</w:t>
                  </w:r>
                </w:p>
              </w:tc>
              <w:tc>
                <w:tcPr/>
                <w:p>
                  <w:pPr>
                    <w:pStyle w:val="Compact"/>
                    <w:jc w:val="center"/>
                  </w:pPr>
                  <w:r>
                    <w:t xml:space="preserve">Country-clustered</w:t>
                  </w:r>
                </w:p>
              </w:tc>
            </w:tr>
          </w:tbl>
          <w:bookmarkEnd w:id="26"/>
          <w:p/>
        </w:tc>
      </w:tr>
    </w:tbl>
    <w:p>
      <w:pPr>
        <w:pStyle w:val="BodyText"/>
      </w:pPr>
      <w:r>
        <w:t xml:space="preserve">The within-country estimate is an association, not a structural-causal effect. Country fixed effects absorb time-invariant country quality but not time-varying endogeneity: donors may target countries on rising learning trajectories, and a static specification cannot separate aid that produces learning from aid that follows it. The dynamic-panel remedy that would address this is infeasible at four observed HCI cycles per country</w:t>
      </w:r>
      <w:r>
        <w:t xml:space="preserve"> </w:t>
      </w:r>
      <w:r>
        <w:t xml:space="preserve">(</w:t>
      </w:r>
      <w:hyperlink w:anchor="ref-bond2002dynamic">
        <w:r>
          <w:rPr>
            <w:rStyle w:val="Hyperlink"/>
          </w:rPr>
          <w:t xml:space="preserve">Bond, 2002</w:t>
        </w:r>
      </w:hyperlink>
      <w:r>
        <w:t xml:space="preserve">)</w:t>
      </w:r>
      <w:r>
        <w:t xml:space="preserve">, as is the panel Granger pre-test; both pre-specified identification steps are closed honestly in §7 rather than replaced with feasible-looking proxies. What the within-country specification does rule out is the cross-country confounding that Model 1 makes visible. Model 3 (§4.3 below), the random-effects multilevel counterpart, collapses onto Model 1’s cross-sectional null rather than splitting the difference with Model 2, because ninety-one percent of HLO variance is between countries; a Hausman comparison rejects the random-effects specification in favor of fixed effects. With outcome variance located almost entirely between countries, any estimator that pools between-country information is dominated by country-quality confounding, and the within-country specification is the only one this variance structure can identify. That §4.6 then shows even this estimate is not robust to the choice of learning measure is the paper’s point rather than a contradiction of it: fixed effects is the only admissible estimator on this variance structure, and its single output still fails the measure-robustness check.</w:t>
      </w:r>
    </w:p>
    <w:p>
      <w:pPr>
        <w:pStyle w:val="BodyText"/>
      </w:pPr>
      <w:r>
        <w:t xml:space="preserve">The β = +11.14 coefficient is the within-country headline a conventionally pre-specified analysis would publish on these data. Five reasons not to believe it, ordered by what each does to the estimate when surfaced:</w:t>
      </w:r>
    </w:p>
    <w:p>
      <w:pPr>
        <w:numPr>
          <w:ilvl w:val="0"/>
          <w:numId w:val="1001"/>
        </w:numPr>
      </w:pPr>
      <w:r>
        <w:t xml:space="preserve">The association is carried entirely by sub-Saharan Africa. Refit on the 91 non-SSA countries in the panel, the coefficient cuts to β = +4.71 and loses significance (p = 0.34); the 95% confidence interval spans zero (SE 4.92; CI [−4.9, 14.4]). What presents as a panel-wide aid-to-learning signal is the forty-two-country, lowest-learning, highest-aid-intensity, fewest-cycle corner of the panel, and on the rest of the panel the relationship is essentially zero. Section 4.9.</w:t>
      </w:r>
    </w:p>
    <w:p>
      <w:pPr>
        <w:numPr>
          <w:ilvl w:val="0"/>
          <w:numId w:val="1001"/>
        </w:numPr>
      </w:pPr>
      <w:r>
        <w:t xml:space="preserve">The sign reverses on a second published harmonized measure. Refit on the Altinok-Angrist-Patrinos (2018) measure</w:t>
      </w:r>
      <w:r>
        <w:t xml:space="preserve"> </w:t>
      </w:r>
      <w:r>
        <w:t xml:space="preserve">(</w:t>
      </w:r>
      <w:hyperlink w:anchor="ref-altinok2018global">
        <w:r>
          <w:rPr>
            <w:rStyle w:val="Hyperlink"/>
          </w:rPr>
          <w:t xml:space="preserve">Altinok et al., 2018</w:t>
        </w:r>
      </w:hyperlink>
      <w:r>
        <w:t xml:space="preserve">)</w:t>
      </w:r>
      <w:r>
        <w:t xml:space="preserve">, the within-country coefficient is β = −16.7 on AAP’s full coverage and β = −3.9, indistinguishable from zero, on the overlap window with the primary panel. Section 4.6.</w:t>
      </w:r>
    </w:p>
    <w:p>
      <w:pPr>
        <w:numPr>
          <w:ilvl w:val="0"/>
          <w:numId w:val="1001"/>
        </w:numPr>
      </w:pPr>
      <w:r>
        <w:t xml:space="preserve">The coefficient reaches conventional significance under only one of four pre-specified governance operationalisations. The WGI PC1 composite the analysis plan locked returns β = +11.14 (p = 0.048); the single-composite baseline returns β = +8.17 (p = 0.10); the no-governance variant β = +8.75 (p = 0.11); the six-aggregate variant β = +10.33 (p = 0.052). Only PC1 crosses conventional significance. Appendix A.3 reports the full sensitivity.</w:t>
      </w:r>
    </w:p>
    <w:p>
      <w:pPr>
        <w:numPr>
          <w:ilvl w:val="0"/>
          <w:numId w:val="1001"/>
        </w:numPr>
      </w:pPr>
      <w:r>
        <w:t xml:space="preserve">The estimate is underpowered against its own point estimate. At the headline standard error of 5.5, the minimum effect this panel could detect at conventional two-sided significance and eighty percent power is roughly fifteen HLO points; the point estimate of eleven sits below that floor.</w:t>
      </w:r>
    </w:p>
    <w:p>
      <w:pPr>
        <w:numPr>
          <w:ilvl w:val="0"/>
          <w:numId w:val="1001"/>
        </w:numPr>
      </w:pPr>
      <w:r>
        <w:t xml:space="preserve">The within-country estimate is an association, not a causal effect. Country fixed effects absorb time-invariant heterogeneity but not time-varying endogeneity, and the dynamic-panel and panel Granger checks the identification plan would have used to address that are infeasible at four observed cycles per country</w:t>
      </w:r>
      <w:r>
        <w:t xml:space="preserve"> </w:t>
      </w:r>
      <w:r>
        <w:t xml:space="preserve">(</w:t>
      </w:r>
      <w:hyperlink w:anchor="ref-bond2002dynamic">
        <w:r>
          <w:rPr>
            <w:rStyle w:val="Hyperlink"/>
          </w:rPr>
          <w:t xml:space="preserve">Bond, 2002</w:t>
        </w:r>
      </w:hyperlink>
      <w:r>
        <w:t xml:space="preserve">)</w:t>
      </w:r>
      <w:r>
        <w:t xml:space="preserve">. Section 7 owns these limits in full. Because the specification carries no lagged dependent variable, Nickell (1981) bias does not apply</w:t>
      </w:r>
      <w:r>
        <w:t xml:space="preserve"> </w:t>
      </w:r>
      <w:r>
        <w:t xml:space="preserve">(</w:t>
      </w:r>
      <w:hyperlink w:anchor="ref-nickell1981biases">
        <w:r>
          <w:rPr>
            <w:rStyle w:val="Hyperlink"/>
          </w:rPr>
          <w:t xml:space="preserve">Nickell, 1981</w:t>
        </w:r>
      </w:hyperlink>
      <w:r>
        <w:t xml:space="preserve">)</w:t>
      </w:r>
      <w:r>
        <w:t xml:space="preserve">; the binding short-T concern here is imprecision and the infeasibility of the dynamic-panel and Granger checks, not Nickell.</w:t>
      </w:r>
    </w:p>
    <w:p>
      <w:pPr>
        <w:pStyle w:val="FirstParagraph"/>
      </w:pPr>
      <w:r>
        <w:t xml:space="preserve">Two further checks the headline does survive (a wild cluster bootstrap and a past-versus-future placebo) confirm the inference is not a small-sample artifact and the temporal ordering past-then-present holds. Neither rescues the coefficient from (a) through (e). Sections 4.7 and 4.8 report them.</w:t>
      </w:r>
    </w:p>
    <w:bookmarkEnd w:id="27"/>
    <w:bookmarkStart w:id="29" w:name="X9a96f9765f44d8de6c7be98890e92f6c3ae91b4"/>
    <w:p>
      <w:pPr>
        <w:pStyle w:val="Heading2"/>
      </w:pPr>
      <w:r>
        <w:t xml:space="preserve">4.3 Model 3: multilevel transparency counterpart</w:t>
      </w:r>
    </w:p>
    <w:p>
      <w:pPr>
        <w:pStyle w:val="FirstParagraph"/>
      </w:pPr>
      <w:r>
        <w:t xml:space="preserve">Model 3 re-estimates the ODA-on-HLO relationship as a two-level random-effects multilevel model (country random intercepts plus year fixed effects) on the same locked-encoding stack as Model 2 (the strictly-past three-year moving-average treatment per PAP-0005 and the WGI PC1 governance composite per PAP-0009). The estimator is maximum likelihood rather than restricted maximum likelihood, so that the Hausman comparison against Model 2 fixed effects is valid. Spec 3a is the bivariate unconditional, with only the ODA treatment plus year fixed effects:</w:t>
      </w:r>
      <w:r>
        <w:t xml:space="preserve"> </w:t>
      </w:r>
      <w:r>
        <w:rPr>
          <w:b/>
          <w:bCs/>
        </w:rPr>
        <w:t xml:space="preserve">β = −5.19</w:t>
      </w:r>
      <w:r>
        <w:t xml:space="preserve"> </w:t>
      </w:r>
      <w:r>
        <w:t xml:space="preserve">per unit log treatment (SE 1.66; p = 0.002; N = 447). This is the well-known cross-country signal that aid concentrates in low-outcome countries, recovered here at the marginal-DV level rather than the country-mean level Model 1 uses. Adding log GDP per capita at 3b absorbs the significance (β = −1.80, not significant). By the full specification 3e, with the same control stack as Model 2, the coefficient is β =</w:t>
      </w:r>
      <w:r>
        <w:t xml:space="preserve"> </w:t>
      </w:r>
      <w:r>
        <w:rPr>
          <w:b/>
          <w:bCs/>
        </w:rPr>
        <w:t xml:space="preserve">−1.32</w:t>
      </w:r>
      <w:r>
        <w:t xml:space="preserve"> </w:t>
      </w:r>
      <w:r>
        <w:t xml:space="preserve">(SE 2.68; p = 0.622; N = 173), parallel to Model 1’s full-spec absorption.</w:t>
      </w:r>
    </w:p>
    <w:p>
      <w:pPr>
        <w:pStyle w:val="BodyText"/>
      </w:pPr>
      <w:r>
        <w:t xml:space="preserve">The Hausman test formally adjudicates the FE-vs-RE choice. The default</w:t>
      </w:r>
      <w:r>
        <w:t xml:space="preserve"> </w:t>
      </w:r>
      <w:r>
        <w:rPr>
          <w:rStyle w:val="VerbatimChar"/>
        </w:rPr>
        <w:t xml:space="preserve">plm::phtest</w:t>
      </w:r>
      <w:r>
        <w:t xml:space="preserve"> </w:t>
      </w:r>
      <w:r>
        <w:t xml:space="preserve">Swamy-Arora estimator requires T &gt; 3 time periods and is not estimable on the HCI-cycle panel (T_eff ≤ 4 with the strictly-past lag structure), so the manual univariate Cameron-Trivedi Hausman on β_ODA is the operative test: H = (β_FE − β_RE)² / (Var(β_FE) − Var(β_RE)) = (11.14 − (−1.32))² / (5.52² − 2.68²) =</w:t>
      </w:r>
      <w:r>
        <w:t xml:space="preserve"> </w:t>
      </w:r>
      <w:r>
        <w:rPr>
          <w:b/>
          <w:bCs/>
        </w:rPr>
        <w:t xml:space="preserve">6.67</w:t>
      </w:r>
      <w:r>
        <w:t xml:space="preserve">, df = 1,</w:t>
      </w:r>
      <w:r>
        <w:t xml:space="preserve"> </w:t>
      </w:r>
      <w:r>
        <w:rPr>
          <w:b/>
          <w:bCs/>
        </w:rPr>
        <w:t xml:space="preserve">p = 0.0098</w:t>
      </w:r>
      <w:r>
        <w:t xml:space="preserve">. The null that RE is consistent is rejected at the conventional one-percent threshold; β_RE differs from β_FE beyond what sampling variation can plausibly explain. The fixed-effects specification is identified. Country-level intraclass correlation, computed via</w:t>
      </w:r>
      <w:r>
        <w:t xml:space="preserve"> </w:t>
      </w:r>
      <w:r>
        <w:rPr>
          <w:rStyle w:val="VerbatimChar"/>
        </w:rPr>
        <w:t xml:space="preserve">performance::icc</w:t>
      </w:r>
      <w:r>
        <w:t xml:space="preserve"> </w:t>
      </w:r>
      <w:r>
        <w:t xml:space="preserve">on the unconditional null model, returns</w:t>
      </w:r>
      <w:r>
        <w:t xml:space="preserve"> </w:t>
      </w:r>
      <w:r>
        <w:rPr>
          <w:b/>
          <w:bCs/>
        </w:rPr>
        <w:t xml:space="preserve">ICC = 0.912</w:t>
      </w:r>
      <w:r>
        <w:t xml:space="preserve">: ninety-one percent of HLO variance is between-country. After conditioning on the full Model 2 / Model 3 control stack the conditional ICC is still 0.793. With outcome variance located almost entirely between countries, any estimator that pools between-country information is mechanically dominated by country-quality confounding; within-FE is not a methodological preference but the only specification on this panel that can identify a within-country aid-to-learning signal at all.</w:t>
      </w:r>
    </w:p>
    <w:p>
      <w:pPr>
        <w:pStyle w:val="BodyText"/>
      </w:pPr>
      <w:r>
        <w:t xml:space="preserve">The three-way Models 1 / 2 / 3 contrast closes the identification-strategy chapter §4.2 opened. Model 1 OLS spec 1e (between-country only): β = −1.36, not significant. Model 2 v2 FE spec 2e (within-country only, the headline spec): β = +11.14, p = 0.048. Model 3 RE spec 3e (variance-component-weighted combination of between and within):</w:t>
      </w:r>
      <w:r>
        <w:t xml:space="preserve"> </w:t>
      </w:r>
      <w:r>
        <w:rPr>
          <w:b/>
          <w:bCs/>
        </w:rPr>
        <w:t xml:space="preserve">β = −1.32, not significant</w:t>
      </w:r>
      <w:r>
        <w:t xml:space="preserve">, collapsed onto Model 1’s cross-sectional estimate rather than splitting the difference with Model 2. This is the empirical signature of an extreme ICC: when ninety-one percent of outcome variance is between-country, the RE variance-component weighting puts essentially all weight on the cross-sectional information, mechanically replicating the OLS result. The within-country signal Model 2 isolates is invisible to RE. Only the within-FE specification recovers the positive coefficient; the Hausman test, the country-level ICC, and the three-way contrast jointly establish that the §4.2 headline rests on the only identification strategy this panel’s variance structure supports.</w:t>
      </w:r>
    </w:p>
    <w:tbl>
      <w:tblPr>
        <w:tblStyle w:val="Table"/>
        <w:tblW w:type="pct" w:w="5000"/>
        <w:tblLayout w:type="fixed"/>
        <w:tblLook w:firstRow="0" w:lastRow="0" w:firstColumn="0" w:lastColumn="0" w:noHBand="0" w:noVBand="0" w:val="0000"/>
      </w:tblPr>
      <w:tblGrid>
        <w:gridCol w:w="7920"/>
      </w:tblGrid>
      <w:tr>
        <w:tc>
          <w:tcPr/>
          <w:bookmarkStart w:id="28" w:name="tbl-three-way"/>
          <w:p>
            <w:pPr>
              <w:jc w:val="center"/>
            </w:pPr>
            <w:pPr>
              <w:jc w:val="left"/>
              <w:spacing w:before="200"/>
              <w:pStyle w:val="ImageCaption"/>
            </w:pPr>
            <w:r>
              <w:t xml:space="preserve">Table 3: Table 3. Three-way Model 1 / Model 2 / Model 3 contrast on locked encoding, HLO outcome, primary window 2010–2020. Model 1 uses country means; Model 2 uses two-way (country + year) fixed effects, country-clustered SE; Model 3 uses country random intercepts plus year fixed effects, REML=FALSE. Manual univariate Cameron-Trivedi Hausman on β_ODA: H = 6.67, df = 1, p = 0.0098 (rejects RE). Country-level ICC = 91.2% unconditional; 79.3% conditional on the full control stack.</w:t>
            </w:r>
          </w:p>
          <w:tbl>
            <w:tblPr>
              <w:tblStyle w:val="Table"/>
              <w:tblW w:type="pct" w:w="5000"/>
              <w:tblLayout w:type="fixed"/>
              <w:tblLook w:firstRow="1" w:lastRow="0" w:firstColumn="0" w:lastColumn="0" w:noHBand="0" w:noVBand="0" w:val="0020"/>
            </w:tblPr>
            <w:tblGrid>
              <w:gridCol w:w="1155"/>
              <w:gridCol w:w="2475"/>
              <w:gridCol w:w="825"/>
              <w:gridCol w:w="1155"/>
              <w:gridCol w:w="1155"/>
              <w:gridCol w:w="1155"/>
            </w:tblGrid>
            <w:tr>
              <w:trPr>
                <w:tblHeader w:val="on"/>
              </w:trPr>
              <w:tc>
                <w:tcPr/>
                <w:p>
                  <w:pPr>
                    <w:pStyle w:val="Compact"/>
                    <w:jc w:val="center"/>
                  </w:pPr>
                  <w:r>
                    <w:t xml:space="preserve">Model</w:t>
                  </w:r>
                </w:p>
              </w:tc>
              <w:tc>
                <w:tcPr/>
                <w:p>
                  <w:pPr>
                    <w:pStyle w:val="Compact"/>
                    <w:jc w:val="center"/>
                  </w:pPr>
                  <w:r>
                    <w:t xml:space="preserve">Identification</w:t>
                  </w:r>
                </w:p>
              </w:tc>
              <w:tc>
                <w:tcPr/>
                <w:p>
                  <w:pPr>
                    <w:pStyle w:val="Compact"/>
                    <w:jc w:val="right"/>
                    <w:jc w:val="center"/>
                  </w:pPr>
                  <w:r>
                    <w:t xml:space="preserve">N</w:t>
                  </w:r>
                </w:p>
              </w:tc>
              <w:tc>
                <w:tcPr/>
                <w:p>
                  <w:pPr>
                    <w:pStyle w:val="Compact"/>
                    <w:jc w:val="right"/>
                    <w:jc w:val="center"/>
                  </w:pPr>
                  <w:r>
                    <w:t xml:space="preserve">β_ODA</w:t>
                  </w:r>
                </w:p>
              </w:tc>
              <w:tc>
                <w:tcPr/>
                <w:p>
                  <w:pPr>
                    <w:pStyle w:val="Compact"/>
                    <w:jc w:val="right"/>
                    <w:jc w:val="center"/>
                  </w:pPr>
                  <w:r>
                    <w:t xml:space="preserve">SE</w:t>
                  </w:r>
                </w:p>
              </w:tc>
              <w:tc>
                <w:tcPr/>
                <w:p>
                  <w:pPr>
                    <w:pStyle w:val="Compact"/>
                    <w:jc w:val="right"/>
                    <w:jc w:val="center"/>
                  </w:pPr>
                  <w:r>
                    <w:t xml:space="preserve">p</w:t>
                  </w:r>
                </w:p>
              </w:tc>
            </w:tr>
            <w:tr>
              <w:tc>
                <w:tcPr/>
                <w:p>
                  <w:pPr>
                    <w:pStyle w:val="Compact"/>
                    <w:jc w:val="center"/>
                  </w:pPr>
                  <w:r>
                    <w:t xml:space="preserve">Model 1 OLS, full spec 1e (cross-sectional)</w:t>
                  </w:r>
                </w:p>
              </w:tc>
              <w:tc>
                <w:tcPr/>
                <w:p>
                  <w:pPr>
                    <w:pStyle w:val="Compact"/>
                    <w:jc w:val="center"/>
                  </w:pPr>
                  <w:r>
                    <w:t xml:space="preserve">Between-country only</w:t>
                  </w:r>
                </w:p>
              </w:tc>
              <w:tc>
                <w:tcPr/>
                <w:p>
                  <w:pPr>
                    <w:pStyle w:val="Compact"/>
                    <w:jc w:val="right"/>
                    <w:jc w:val="center"/>
                  </w:pPr>
                  <w:r>
                    <w:t xml:space="preserve">120</w:t>
                  </w:r>
                </w:p>
              </w:tc>
              <w:tc>
                <w:tcPr/>
                <w:p>
                  <w:pPr>
                    <w:pStyle w:val="Compact"/>
                    <w:jc w:val="right"/>
                    <w:jc w:val="center"/>
                  </w:pPr>
                  <w:r>
                    <w:t xml:space="preserve">−1.36</w:t>
                  </w:r>
                </w:p>
              </w:tc>
              <w:tc>
                <w:tcPr/>
                <w:p>
                  <w:pPr>
                    <w:pStyle w:val="Compact"/>
                    <w:jc w:val="right"/>
                    <w:jc w:val="center"/>
                  </w:pPr>
                  <w:r>
                    <w:t xml:space="preserve">2.48</w:t>
                  </w:r>
                </w:p>
              </w:tc>
              <w:tc>
                <w:tcPr/>
                <w:p>
                  <w:pPr>
                    <w:pStyle w:val="Compact"/>
                    <w:jc w:val="right"/>
                    <w:jc w:val="center"/>
                  </w:pPr>
                  <w:r>
                    <w:t xml:space="preserve">0.584</w:t>
                  </w:r>
                </w:p>
              </w:tc>
            </w:tr>
            <w:tr>
              <w:tc>
                <w:tcPr/>
                <w:p>
                  <w:pPr>
                    <w:pStyle w:val="Compact"/>
                    <w:jc w:val="center"/>
                  </w:pPr>
                  <w:r>
                    <w:rPr>
                      <w:b/>
                      <w:bCs/>
                    </w:rPr>
                    <w:t xml:space="preserve">Model 2 v2 FE, full spec 2e (within-country, locked)</w:t>
                  </w:r>
                </w:p>
              </w:tc>
              <w:tc>
                <w:tcPr/>
                <w:p>
                  <w:pPr>
                    <w:pStyle w:val="Compact"/>
                    <w:jc w:val="center"/>
                  </w:pPr>
                  <w:r>
                    <w:rPr>
                      <w:b/>
                      <w:bCs/>
                    </w:rPr>
                    <w:t xml:space="preserve">Within-country only</w:t>
                  </w:r>
                </w:p>
              </w:tc>
              <w:tc>
                <w:tcPr/>
                <w:p>
                  <w:pPr>
                    <w:pStyle w:val="Compact"/>
                    <w:jc w:val="right"/>
                    <w:jc w:val="center"/>
                  </w:pPr>
                  <w:r>
                    <w:t xml:space="preserve">143</w:t>
                  </w:r>
                </w:p>
              </w:tc>
              <w:tc>
                <w:tcPr/>
                <w:p>
                  <w:pPr>
                    <w:pStyle w:val="Compact"/>
                    <w:jc w:val="right"/>
                    <w:jc w:val="center"/>
                  </w:pPr>
                  <w:r>
                    <w:rPr>
                      <w:b/>
                      <w:bCs/>
                    </w:rPr>
                    <w:t xml:space="preserve">+11.14</w:t>
                  </w:r>
                </w:p>
              </w:tc>
              <w:tc>
                <w:tcPr/>
                <w:p>
                  <w:pPr>
                    <w:pStyle w:val="Compact"/>
                    <w:jc w:val="right"/>
                    <w:jc w:val="center"/>
                  </w:pPr>
                  <w:r>
                    <w:t xml:space="preserve">5.52</w:t>
                  </w:r>
                </w:p>
              </w:tc>
              <w:tc>
                <w:tcPr/>
                <w:p>
                  <w:pPr>
                    <w:pStyle w:val="Compact"/>
                    <w:jc w:val="right"/>
                    <w:jc w:val="center"/>
                  </w:pPr>
                  <w:r>
                    <w:rPr>
                      <w:b/>
                      <w:bCs/>
                    </w:rPr>
                    <w:t xml:space="preserve">0.048</w:t>
                  </w:r>
                </w:p>
              </w:tc>
            </w:tr>
            <w:tr>
              <w:tc>
                <w:tcPr/>
                <w:p>
                  <w:pPr>
                    <w:pStyle w:val="Compact"/>
                    <w:jc w:val="center"/>
                  </w:pPr>
                  <w:r>
                    <w:t xml:space="preserve">Model 3 RE, full spec 3e (random intercepts + year FE, locked)</w:t>
                  </w:r>
                </w:p>
              </w:tc>
              <w:tc>
                <w:tcPr/>
                <w:p>
                  <w:pPr>
                    <w:pStyle w:val="Compact"/>
                    <w:jc w:val="center"/>
                  </w:pPr>
                  <w:r>
                    <w:t xml:space="preserve">Weighted between + within</w:t>
                  </w:r>
                </w:p>
              </w:tc>
              <w:tc>
                <w:tcPr/>
                <w:p>
                  <w:pPr>
                    <w:pStyle w:val="Compact"/>
                    <w:jc w:val="right"/>
                    <w:jc w:val="center"/>
                  </w:pPr>
                  <w:r>
                    <w:t xml:space="preserve">173</w:t>
                  </w:r>
                </w:p>
              </w:tc>
              <w:tc>
                <w:tcPr/>
                <w:p>
                  <w:pPr>
                    <w:pStyle w:val="Compact"/>
                    <w:jc w:val="right"/>
                    <w:jc w:val="center"/>
                  </w:pPr>
                  <w:r>
                    <w:t xml:space="preserve">−1.32</w:t>
                  </w:r>
                </w:p>
              </w:tc>
              <w:tc>
                <w:tcPr/>
                <w:p>
                  <w:pPr>
                    <w:pStyle w:val="Compact"/>
                    <w:jc w:val="right"/>
                    <w:jc w:val="center"/>
                  </w:pPr>
                  <w:r>
                    <w:t xml:space="preserve">2.68</w:t>
                  </w:r>
                </w:p>
              </w:tc>
              <w:tc>
                <w:tcPr/>
                <w:p>
                  <w:pPr>
                    <w:pStyle w:val="Compact"/>
                    <w:jc w:val="right"/>
                    <w:jc w:val="center"/>
                  </w:pPr>
                  <w:r>
                    <w:t xml:space="preserve">0.622</w:t>
                  </w:r>
                </w:p>
              </w:tc>
            </w:tr>
          </w:tbl>
          <w:bookmarkEnd w:id="28"/>
          <w:p/>
        </w:tc>
      </w:tr>
    </w:tbl>
    <w:bookmarkEnd w:id="29"/>
    <w:bookmarkStart w:id="31" w:name="X102f32d6ed7b11ab1ed0139bc5e3e29797225f5"/>
    <w:p>
      <w:pPr>
        <w:pStyle w:val="Heading2"/>
      </w:pPr>
      <w:r>
        <w:t xml:space="preserve">4.4 Model 4 dropped: a protocol failure caught by the agreement gate</w:t>
      </w:r>
    </w:p>
    <w:p>
      <w:pPr>
        <w:pStyle w:val="FirstParagraph"/>
      </w:pPr>
      <w:r>
        <w:t xml:space="preserve">The four-bucket intervention typology the policy literature expects to extract from OECD CRS metadata (infrastructure, teacher training, curriculum and materials, budget support) is not extractable at any defensible inter-method agreement threshold. PAP-0007 locked three criteria in advance of any classification: raw agreement on a joint-classified subsample of at least 85 percent, Cohen’s κ of at least 0.70, and a rule-based unclassified rate below 30 percent. The classification pipeline, a 49-pattern keyword rule cascade cross-validated against a purpose-code-to-bucket mapping, was run on the full 537,586-project education-sector CRS extract. All three criteria failed: on the joint subsample of 130,737 projects, raw agreement was</w:t>
      </w:r>
      <w:r>
        <w:t xml:space="preserve"> </w:t>
      </w:r>
      <w:r>
        <w:rPr>
          <w:b/>
          <w:bCs/>
        </w:rPr>
        <w:t xml:space="preserve">39.04 percent</w:t>
      </w:r>
      <w:r>
        <w:t xml:space="preserve">, Cohen’s κ was</w:t>
      </w:r>
      <w:r>
        <w:t xml:space="preserve"> </w:t>
      </w:r>
      <w:r>
        <w:rPr>
          <w:b/>
          <w:bCs/>
        </w:rPr>
        <w:t xml:space="preserve">0.19</w:t>
      </w:r>
      <w:r>
        <w:t xml:space="preserve">, and the rule-based classifier left</w:t>
      </w:r>
      <w:r>
        <w:t xml:space="preserve"> </w:t>
      </w:r>
      <w:r>
        <w:rPr>
          <w:b/>
          <w:bCs/>
        </w:rPr>
        <w:t xml:space="preserve">75.68 percent</w:t>
      </w:r>
      <w:r>
        <w:t xml:space="preserve"> </w:t>
      </w:r>
      <w:r>
        <w:t xml:space="preserve">of projects unclassified. The failure pattern was diagnostic, not noisy: the rule cascade left three-quarters of projects unmatched because the lexical breadth of CRS project descriptions exceeds what a regex cascade can cover without iterative tuning; the purpose-code mapping placed 82.7 percent of projects in</w:t>
      </w:r>
      <w:r>
        <w:t xml:space="preserve"> </w:t>
      </w:r>
      <w:r>
        <w:rPr>
          <w:rStyle w:val="VerbatimChar"/>
        </w:rPr>
        <w:t xml:space="preserve">budget_support</w:t>
      </w:r>
      <w:r>
        <w:t xml:space="preserve"> </w:t>
      </w:r>
      <w:r>
        <w:t xml:space="preserve">while the rule-based classifier placed 4.2 percent there. The two methods were measuring different constructs, not the same construct with measurement noise.</w:t>
      </w:r>
    </w:p>
    <w:tbl>
      <w:tblPr>
        <w:tblStyle w:val="Table"/>
        <w:tblW w:type="pct" w:w="5000"/>
        <w:tblLayout w:type="fixed"/>
        <w:tblLook w:firstRow="0" w:lastRow="0" w:firstColumn="0" w:lastColumn="0" w:noHBand="0" w:noVBand="0" w:val="0000"/>
      </w:tblPr>
      <w:tblGrid>
        <w:gridCol w:w="7920"/>
      </w:tblGrid>
      <w:tr>
        <w:tc>
          <w:tcPr/>
          <w:bookmarkStart w:id="30" w:name="tbl-typology"/>
          <w:p>
            <w:pPr>
              <w:jc w:val="center"/>
            </w:pPr>
            <w:pPr>
              <w:jc w:val="left"/>
              <w:spacing w:before="200"/>
              <w:pStyle w:val="ImageCaption"/>
            </w:pPr>
            <w:r>
              <w:t xml:space="preserve">Table 4: Table 4. Inter-method-agreement criteria set in advance by PAP-0007 for the four-bucket OECD CRS intervention typology, against observed agreement on the 537,586-project education-sector extract. All three criteria fail; the typology classifier was retired and Model 4 dropped per the protocol.</w:t>
            </w:r>
          </w:p>
          <w:tbl>
            <w:tblPr>
              <w:tblStyle w:val="Table"/>
              <w:tblW w:type="pct" w:w="5000"/>
              <w:tblLayout w:type="fixed"/>
              <w:tblLook w:firstRow="1" w:lastRow="0" w:firstColumn="0" w:lastColumn="0" w:noHBand="0" w:noVBand="0" w:val="0020"/>
            </w:tblPr>
            <w:tblGrid>
              <w:gridCol w:w="2178"/>
              <w:gridCol w:w="1980"/>
              <w:gridCol w:w="1980"/>
              <w:gridCol w:w="1782"/>
            </w:tblGrid>
            <w:tr>
              <w:trPr>
                <w:tblHeader w:val="on"/>
              </w:trPr>
              <w:tc>
                <w:tcPr/>
                <w:p>
                  <w:pPr>
                    <w:pStyle w:val="Compact"/>
                    <w:jc w:val="center"/>
                  </w:pPr>
                  <w:r>
                    <w:t xml:space="preserve">Criterion</w:t>
                  </w:r>
                </w:p>
              </w:tc>
              <w:tc>
                <w:tcPr/>
                <w:p>
                  <w:pPr>
                    <w:pStyle w:val="Compact"/>
                    <w:jc w:val="right"/>
                    <w:jc w:val="center"/>
                  </w:pPr>
                  <w:r>
                    <w:t xml:space="preserve">Observed</w:t>
                  </w:r>
                </w:p>
              </w:tc>
              <w:tc>
                <w:tcPr/>
                <w:p>
                  <w:pPr>
                    <w:pStyle w:val="Compact"/>
                    <w:jc w:val="right"/>
                    <w:jc w:val="center"/>
                  </w:pPr>
                  <w:r>
                    <w:t xml:space="preserve">Required</w:t>
                  </w:r>
                </w:p>
              </w:tc>
              <w:tc>
                <w:tcPr/>
                <w:p>
                  <w:pPr>
                    <w:pStyle w:val="Compact"/>
                    <w:jc w:val="center"/>
                  </w:pPr>
                  <w:r>
                    <w:t xml:space="preserve">Verdict</w:t>
                  </w:r>
                </w:p>
              </w:tc>
            </w:tr>
            <w:tr>
              <w:tc>
                <w:tcPr/>
                <w:p>
                  <w:pPr>
                    <w:pStyle w:val="Compact"/>
                    <w:jc w:val="center"/>
                  </w:pPr>
                  <w:r>
                    <w:t xml:space="preserve">Raw inter-method agreement (joint subsample N = 130,737)</w:t>
                  </w:r>
                </w:p>
              </w:tc>
              <w:tc>
                <w:tcPr/>
                <w:p>
                  <w:pPr>
                    <w:pStyle w:val="Compact"/>
                    <w:jc w:val="right"/>
                    <w:jc w:val="center"/>
                  </w:pPr>
                  <w:r>
                    <w:t xml:space="preserve">39.04%</w:t>
                  </w:r>
                </w:p>
              </w:tc>
              <w:tc>
                <w:tcPr/>
                <w:p>
                  <w:pPr>
                    <w:pStyle w:val="Compact"/>
                    <w:jc w:val="right"/>
                    <w:jc w:val="center"/>
                  </w:pPr>
                  <w:r>
                    <w:t xml:space="preserve">≥ 85%</w:t>
                  </w:r>
                </w:p>
              </w:tc>
              <w:tc>
                <w:tcPr/>
                <w:p>
                  <w:pPr>
                    <w:pStyle w:val="Compact"/>
                    <w:jc w:val="center"/>
                  </w:pPr>
                  <w:r>
                    <w:t xml:space="preserve">FAIL</w:t>
                  </w:r>
                </w:p>
              </w:tc>
            </w:tr>
            <w:tr>
              <w:tc>
                <w:tcPr/>
                <w:p>
                  <w:pPr>
                    <w:pStyle w:val="Compact"/>
                    <w:jc w:val="center"/>
                  </w:pPr>
                  <w:r>
                    <w:t xml:space="preserve">Cohen’s κ (rule-based vs purpose-code bucket)</w:t>
                  </w:r>
                </w:p>
              </w:tc>
              <w:tc>
                <w:tcPr/>
                <w:p>
                  <w:pPr>
                    <w:pStyle w:val="Compact"/>
                    <w:jc w:val="right"/>
                    <w:jc w:val="center"/>
                  </w:pPr>
                  <w:r>
                    <w:t xml:space="preserve">0.19</w:t>
                  </w:r>
                </w:p>
              </w:tc>
              <w:tc>
                <w:tcPr/>
                <w:p>
                  <w:pPr>
                    <w:pStyle w:val="Compact"/>
                    <w:jc w:val="right"/>
                    <w:jc w:val="center"/>
                  </w:pPr>
                  <w:r>
                    <w:t xml:space="preserve">≥ 0.70</w:t>
                  </w:r>
                </w:p>
              </w:tc>
              <w:tc>
                <w:tcPr/>
                <w:p>
                  <w:pPr>
                    <w:pStyle w:val="Compact"/>
                    <w:jc w:val="center"/>
                  </w:pPr>
                  <w:r>
                    <w:t xml:space="preserve">FAIL</w:t>
                  </w:r>
                </w:p>
              </w:tc>
            </w:tr>
            <w:tr>
              <w:tc>
                <w:tcPr/>
                <w:p>
                  <w:pPr>
                    <w:pStyle w:val="Compact"/>
                    <w:jc w:val="center"/>
                  </w:pPr>
                  <w:r>
                    <w:t xml:space="preserve">Rule-based unclassified</w:t>
                  </w:r>
                </w:p>
              </w:tc>
              <w:tc>
                <w:tcPr/>
                <w:p>
                  <w:pPr>
                    <w:pStyle w:val="Compact"/>
                    <w:jc w:val="right"/>
                    <w:jc w:val="center"/>
                  </w:pPr>
                  <w:r>
                    <w:t xml:space="preserve">75.68%</w:t>
                  </w:r>
                </w:p>
              </w:tc>
              <w:tc>
                <w:tcPr/>
                <w:p>
                  <w:pPr>
                    <w:pStyle w:val="Compact"/>
                    <w:jc w:val="right"/>
                    <w:jc w:val="center"/>
                  </w:pPr>
                  <w:r>
                    <w:t xml:space="preserve">&lt; 30%</w:t>
                  </w:r>
                </w:p>
              </w:tc>
              <w:tc>
                <w:tcPr/>
                <w:p>
                  <w:pPr>
                    <w:pStyle w:val="Compact"/>
                    <w:jc w:val="center"/>
                  </w:pPr>
                  <w:r>
                    <w:t xml:space="preserve">FAIL</w:t>
                  </w:r>
                </w:p>
              </w:tc>
            </w:tr>
          </w:tbl>
          <w:bookmarkEnd w:id="30"/>
          <w:p/>
        </w:tc>
      </w:tr>
    </w:tbl>
    <w:p>
      <w:pPr>
        <w:pStyle w:val="BodyText"/>
      </w:pPr>
      <w:r>
        <w:t xml:space="preserve">The escalation path written into PAP-0007 was Option 3: hand-code approximately one thousand stratified projects and train a TF-IDF plus logistic-regression production classifier. The decision was to drop Model 4 rather than escalate. Iterating the rule cascade, replacing the comparator, or investing two weeks of hand-coding would have either burned resources on an extractability axis that PAP-0007 was written precisely to test, or broken the no-post-hoc-tuning discipline the criteria written in advance were there to enforce. A gate catching an unfeasible design before it runs is the gate working as designed, not a methodological setback. The implication, picked up in §5 and §6, is methodological. The development-aid effectiveness literature</w:t>
      </w:r>
      <w:r>
        <w:t xml:space="preserve"> </w:t>
      </w:r>
      <w:r>
        <w:t xml:space="preserve">(</w:t>
      </w:r>
      <w:hyperlink w:anchor="ref-glewwe2016improving">
        <w:r>
          <w:rPr>
            <w:rStyle w:val="Hyperlink"/>
          </w:rPr>
          <w:t xml:space="preserve">Glewwe &amp; Muralidharan, 2016</w:t>
        </w:r>
      </w:hyperlink>
      <w:r>
        <w:t xml:space="preserve">;</w:t>
      </w:r>
      <w:r>
        <w:t xml:space="preserve"> </w:t>
      </w:r>
      <w:hyperlink w:anchor="ref-geeap2023smart">
        <w:r>
          <w:rPr>
            <w:rStyle w:val="Hyperlink"/>
          </w:rPr>
          <w:t xml:space="preserve">Global Education Evidence Advisory Panel (GEEAP), 2023</w:t>
        </w:r>
      </w:hyperlink>
      <w:r>
        <w:t xml:space="preserve">;</w:t>
      </w:r>
      <w:r>
        <w:t xml:space="preserve"> </w:t>
      </w:r>
      <w:hyperlink w:anchor="ref-vegas2015when">
        <w:r>
          <w:rPr>
            <w:rStyle w:val="Hyperlink"/>
          </w:rPr>
          <w:t xml:space="preserve">Vegas &amp; Coffin, 2015</w:t>
        </w:r>
      </w:hyperlink>
      <w:r>
        <w:t xml:space="preserve">)</w:t>
      </w:r>
      <w:r>
        <w:t xml:space="preserve"> </w:t>
      </w:r>
      <w:r>
        <w:t xml:space="preserve">treats the input-intensive versus pedagogically-targeted distinction as load-bearing for policy. The finding here is that this distinction is</w:t>
      </w:r>
      <w:r>
        <w:t xml:space="preserve"> </w:t>
      </w:r>
      <w:r>
        <w:rPr>
          <w:i/>
          <w:iCs/>
        </w:rPr>
        <w:t xml:space="preserve">not extractable</w:t>
      </w:r>
      <w:r>
        <w:t xml:space="preserve"> </w:t>
      </w:r>
      <w:r>
        <w:t xml:space="preserve">from OECD CRS metadata at country-year resolution without substantial hand-coding investment, an empirical limit on what cross-country aid-effectiveness panel work can credibly say about composition, and a measurement constraint that helps explain why the existing panel literature relies on aid-amount rather than aid-composition regressions. Model 5, originally specified to use Model-4 effect sizes for a $1B counterfactual, was correspondingly redesigned per PAP-0011 to operate on the identified aggregate-β only; §4.5 reports the redesigned scenarios.</w:t>
      </w:r>
    </w:p>
    <w:bookmarkEnd w:id="31"/>
    <w:bookmarkStart w:id="37" w:name="X1b480d16333fd023a1799bc315e95347d0de7fe"/>
    <w:p>
      <w:pPr>
        <w:pStyle w:val="Heading2"/>
      </w:pPr>
      <w:r>
        <w:t xml:space="preserve">4.5 Model 5: a bounded counterfactual on the identified aggregate β</w:t>
      </w:r>
    </w:p>
    <w:p>
      <w:pPr>
        <w:pStyle w:val="FirstParagraph"/>
      </w:pPr>
      <w:r>
        <w:t xml:space="preserve">The original Model 5 specification, to redirect $1B of annual education aid from input-based to outcome-based interventions and quantify the implied learning gain via Model-4 effect sizes, was made unestimable by §4.4. PAP-0011 locked a redesigned counterfactual on what the data does identify: marginal within-country percentage shocks applied to Model 2’s locked β (the spec 2e headline), at three within-support shock magnitudes (+10 percent, +50 percent, +100 percent), translated to LAYS via the World Bank identity ΔLAYS = EYS × ΔHLO / 625 holding EYS constant. The baseline is the median country in the Model 2 estimation sample at</w:t>
      </w:r>
      <w:r>
        <w:t xml:space="preserve"> </w:t>
      </w:r>
      <w:r>
        <w:rPr>
          <w:b/>
          <w:bCs/>
        </w:rPr>
        <w:t xml:space="preserve">$59.7 million</w:t>
      </w:r>
      <w:r>
        <w:t xml:space="preserve"> </w:t>
      </w:r>
      <w:r>
        <w:t xml:space="preserve">in annual CRS education disbursement (constant USD; Q1 = $23.7M; Q3 = $123.7M). The counterfactual is honest about staying within the identified within-country log-CRS support: a literal $1B injection to a single country would push that country roughly 18× above its baseline, outside the within-country variation Model 2 was identified on, and this paper does not project there. The aggregate-only construction reflects the §4.4 typology drop; the compositional question survives as a §5 / §6 Discussion point rather than a Model 5 estimand.</w:t>
      </w:r>
    </w:p>
    <w:p>
      <w:pPr>
        <w:pStyle w:val="BodyText"/>
      </w:pPr>
      <w:r>
        <w:t xml:space="preserve">At the median-country baseline, the three within-support shocks produce the following expected-case learning effects, computed at β = 11.14 with worst-case and best-case columns using the lower and upper 95 percent CI bounds of the headline β ([0.32, 21.95]). A</w:t>
      </w:r>
      <w:r>
        <w:t xml:space="preserve"> </w:t>
      </w:r>
      <w:r>
        <w:rPr>
          <w:b/>
          <w:bCs/>
        </w:rPr>
        <w:t xml:space="preserve">+10 percent shock</w:t>
      </w:r>
      <w:r>
        <w:t xml:space="preserve"> </w:t>
      </w:r>
      <w:r>
        <w:t xml:space="preserve">(additional $5.97M; Δlog CRS = 0.094) yields</w:t>
      </w:r>
      <w:r>
        <w:t xml:space="preserve"> </w:t>
      </w:r>
      <w:r>
        <w:rPr>
          <w:b/>
          <w:bCs/>
        </w:rPr>
        <w:t xml:space="preserve">+1.04 HLO points</w:t>
      </w:r>
      <w:r>
        <w:t xml:space="preserve"> </w:t>
      </w:r>
      <w:r>
        <w:t xml:space="preserve">at the expected case (range 0.03 to 2.06), translating via the implied-EYS median (11.57 years) to</w:t>
      </w:r>
      <w:r>
        <w:t xml:space="preserve"> </w:t>
      </w:r>
      <w:r>
        <w:rPr>
          <w:b/>
          <w:bCs/>
        </w:rPr>
        <w:t xml:space="preserve">+0.019 LAYS years</w:t>
      </w:r>
      <w:r>
        <w:t xml:space="preserve"> </w:t>
      </w:r>
      <w:r>
        <w:t xml:space="preserve">(range 0.001 to 0.038). A</w:t>
      </w:r>
      <w:r>
        <w:t xml:space="preserve"> </w:t>
      </w:r>
      <w:r>
        <w:rPr>
          <w:b/>
          <w:bCs/>
        </w:rPr>
        <w:t xml:space="preserve">+50 percent shock</w:t>
      </w:r>
      <w:r>
        <w:t xml:space="preserve"> </w:t>
      </w:r>
      <w:r>
        <w:t xml:space="preserve">yields</w:t>
      </w:r>
      <w:r>
        <w:t xml:space="preserve"> </w:t>
      </w:r>
      <w:r>
        <w:rPr>
          <w:b/>
          <w:bCs/>
        </w:rPr>
        <w:t xml:space="preserve">+4.45 HLO points / +0.082 LAYS years</w:t>
      </w:r>
      <w:r>
        <w:t xml:space="preserve"> </w:t>
      </w:r>
      <w:r>
        <w:t xml:space="preserve">at the expected case (range +0.13 to +8.78 HLO; +0.002 to +0.163 LAYS). A</w:t>
      </w:r>
      <w:r>
        <w:t xml:space="preserve"> </w:t>
      </w:r>
      <w:r>
        <w:rPr>
          <w:b/>
          <w:bCs/>
        </w:rPr>
        <w:t xml:space="preserve">+100 percent shock</w:t>
      </w:r>
      <w:r>
        <w:t xml:space="preserve"> </w:t>
      </w:r>
      <w:r>
        <w:t xml:space="preserve">yields</w:t>
      </w:r>
      <w:r>
        <w:t xml:space="preserve"> </w:t>
      </w:r>
      <w:r>
        <w:rPr>
          <w:b/>
          <w:bCs/>
        </w:rPr>
        <w:t xml:space="preserve">+7.63 HLO points / +0.141 LAYS years</w:t>
      </w:r>
      <w:r>
        <w:t xml:space="preserve"> </w:t>
      </w:r>
      <w:r>
        <w:t xml:space="preserve">(range +0.22 to +15.03 HLO; +0.004 to +0.278 LAYS). Quartile-baseline sensitivity at Q1 ($23.7M) and Q3 ($123.7M) returns essentially identical marginal effects in percentage-shock space, a structural property of the log-of-one-plus transformation rather than an analytical result. A policy-recognizable benchmark anchors the magnitude: a $1B annual increase distributed pro-rata across the 173 ODA-recipient countries (the broader Models 1–3 universe rather than Model 2’s FE-identifiable subset) is $5.78M per country, which is 9.7 percent of the median baseline and 5.49 percent of the sample’s total $18.22B annual education aid.</w:t>
      </w:r>
      <w:r>
        <w:t xml:space="preserve"> </w:t>
      </w:r>
      <w:r>
        <w:rPr>
          <w:b/>
          <w:bCs/>
        </w:rPr>
        <w:t xml:space="preserve">A $1B headline injection therefore lands in the low-shock band, at approximately +1 HLO point and ~0.02 LAYS years at the median country on the headline spec</w:t>
      </w:r>
      <w:r>
        <w:t xml:space="preserve">, rather than in the high-shock band the framing might have invited the reader to expect. The pro-rata read is the only honest projection on the identified support.</w:t>
      </w:r>
    </w:p>
    <w:tbl>
      <w:tblPr>
        <w:tblStyle w:val="Table"/>
        <w:tblW w:type="pct" w:w="5000"/>
        <w:tblLayout w:type="fixed"/>
        <w:tblLook w:firstRow="0" w:lastRow="0" w:firstColumn="0" w:lastColumn="0" w:noHBand="0" w:noVBand="0" w:val="0000"/>
      </w:tblPr>
      <w:tblGrid>
        <w:gridCol w:w="7920"/>
      </w:tblGrid>
      <w:tr>
        <w:tc>
          <w:tcPr/>
          <w:bookmarkStart w:id="32" w:name="tbl-counterfactual"/>
          <w:p>
            <w:pPr>
              <w:jc w:val="center"/>
            </w:pPr>
            <w:pPr>
              <w:jc w:val="left"/>
              <w:spacing w:before="200"/>
              <w:pStyle w:val="ImageCaption"/>
            </w:pPr>
            <w:r>
              <w:t xml:space="preserve">Table 5: Table 5. Model 5 within-support counterfactual scenarios. Baseline: median country in Model 2 estimation sample = $59.7M annual CRS education disbursement (constant USD). Δ HLO computed as β × Δlog(1+CRS). Δ LAYS via WB identity ΔLAYS = EYS × ΔHLO / 625 at EYS p50 = 11.57 years; full p10/p50/p90 EYS fan in Appendix A. Worst/Best columns use 95% CI bounds of headline β = [0.32, 21.95]. Locked per PAP-0011.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Shock</w:t>
                  </w:r>
                </w:p>
              </w:tc>
              <w:tc>
                <w:tcPr/>
                <w:p>
                  <w:pPr>
                    <w:pStyle w:val="Compact"/>
                    <w:jc w:val="center"/>
                  </w:pPr>
                  <w:r>
                    <w:t xml:space="preserve">Scenario</w:t>
                  </w:r>
                </w:p>
              </w:tc>
              <w:tc>
                <w:tcPr/>
                <w:p>
                  <w:pPr>
                    <w:pStyle w:val="Compact"/>
                    <w:jc w:val="right"/>
                    <w:jc w:val="center"/>
                  </w:pPr>
                  <w:r>
                    <w:t xml:space="preserve">Δ HLO points</w:t>
                  </w:r>
                </w:p>
              </w:tc>
              <w:tc>
                <w:tcPr/>
                <w:p>
                  <w:pPr>
                    <w:pStyle w:val="Compact"/>
                    <w:jc w:val="right"/>
                    <w:jc w:val="center"/>
                  </w:pPr>
                  <w:r>
                    <w:t xml:space="preserve">Δ LAYS (yr)</w:t>
                  </w:r>
                </w:p>
              </w:tc>
            </w:tr>
            <w:tr>
              <w:tc>
                <w:tcPr/>
                <w:p>
                  <w:pPr>
                    <w:pStyle w:val="Compact"/>
                    <w:jc w:val="center"/>
                  </w:pPr>
                  <w:r>
                    <w:t xml:space="preserve">+10% (low-shock)</w:t>
                  </w:r>
                </w:p>
              </w:tc>
              <w:tc>
                <w:tcPr/>
                <w:p>
                  <w:pPr>
                    <w:pStyle w:val="Compact"/>
                    <w:jc w:val="center"/>
                  </w:pPr>
                  <w:r>
                    <w:t xml:space="preserve">Worst (β=0.32)</w:t>
                  </w:r>
                </w:p>
              </w:tc>
              <w:tc>
                <w:tcPr/>
                <w:p>
                  <w:pPr>
                    <w:pStyle w:val="Compact"/>
                    <w:jc w:val="right"/>
                    <w:jc w:val="center"/>
                  </w:pPr>
                  <w:r>
                    <w:t xml:space="preserve">+0.03</w:t>
                  </w:r>
                </w:p>
              </w:tc>
              <w:tc>
                <w:tcPr/>
                <w:p>
                  <w:pPr>
                    <w:pStyle w:val="Compact"/>
                    <w:jc w:val="right"/>
                    <w:jc w:val="center"/>
                  </w:pPr>
                  <w:r>
                    <w:t xml:space="preserve">+0.0006</w:t>
                  </w:r>
                </w:p>
              </w:tc>
            </w:tr>
            <w:tr>
              <w:tc>
                <w:tcPr/>
                <w:p>
                  <w:pPr>
                    <w:pStyle w:val="Compact"/>
                    <w:jc w:val="center"/>
                  </w:pPr>
                  <w:r>
                    <w:t xml:space="preserve">+10% (low-shock)</w:t>
                  </w:r>
                </w:p>
              </w:tc>
              <w:tc>
                <w:tcPr/>
                <w:p>
                  <w:pPr>
                    <w:pStyle w:val="Compact"/>
                    <w:jc w:val="center"/>
                  </w:pPr>
                  <w:r>
                    <w:rPr>
                      <w:b/>
                      <w:bCs/>
                    </w:rPr>
                    <w:t xml:space="preserve">Expected (β=11.14)</w:t>
                  </w:r>
                </w:p>
              </w:tc>
              <w:tc>
                <w:tcPr/>
                <w:p>
                  <w:pPr>
                    <w:pStyle w:val="Compact"/>
                    <w:jc w:val="right"/>
                    <w:jc w:val="center"/>
                  </w:pPr>
                  <w:r>
                    <w:rPr>
                      <w:b/>
                      <w:bCs/>
                    </w:rPr>
                    <w:t xml:space="preserve">+1.04</w:t>
                  </w:r>
                </w:p>
              </w:tc>
              <w:tc>
                <w:tcPr/>
                <w:p>
                  <w:pPr>
                    <w:pStyle w:val="Compact"/>
                    <w:jc w:val="right"/>
                    <w:jc w:val="center"/>
                  </w:pPr>
                  <w:r>
                    <w:rPr>
                      <w:b/>
                      <w:bCs/>
                    </w:rPr>
                    <w:t xml:space="preserve">+0.0193</w:t>
                  </w:r>
                </w:p>
              </w:tc>
            </w:tr>
            <w:tr>
              <w:tc>
                <w:tcPr/>
                <w:p>
                  <w:pPr>
                    <w:pStyle w:val="Compact"/>
                    <w:jc w:val="center"/>
                  </w:pPr>
                  <w:r>
                    <w:t xml:space="preserve">+10% (low-shock)</w:t>
                  </w:r>
                </w:p>
              </w:tc>
              <w:tc>
                <w:tcPr/>
                <w:p>
                  <w:pPr>
                    <w:pStyle w:val="Compact"/>
                    <w:jc w:val="center"/>
                  </w:pPr>
                  <w:r>
                    <w:t xml:space="preserve">Best (β=21.95)</w:t>
                  </w:r>
                </w:p>
              </w:tc>
              <w:tc>
                <w:tcPr/>
                <w:p>
                  <w:pPr>
                    <w:pStyle w:val="Compact"/>
                    <w:jc w:val="right"/>
                    <w:jc w:val="center"/>
                  </w:pPr>
                  <w:r>
                    <w:t xml:space="preserve">+2.06</w:t>
                  </w:r>
                </w:p>
              </w:tc>
              <w:tc>
                <w:tcPr/>
                <w:p>
                  <w:pPr>
                    <w:pStyle w:val="Compact"/>
                    <w:jc w:val="right"/>
                    <w:jc w:val="center"/>
                  </w:pPr>
                  <w:r>
                    <w:t xml:space="preserve">+0.0381</w:t>
                  </w:r>
                </w:p>
              </w:tc>
            </w:tr>
            <w:tr>
              <w:tc>
                <w:tcPr/>
                <w:p>
                  <w:pPr>
                    <w:pStyle w:val="Compact"/>
                    <w:jc w:val="center"/>
                  </w:pPr>
                  <w:r>
                    <w:t xml:space="preserve">+50% (mid-shock)</w:t>
                  </w:r>
                </w:p>
              </w:tc>
              <w:tc>
                <w:tcPr/>
                <w:p>
                  <w:pPr>
                    <w:pStyle w:val="Compact"/>
                    <w:jc w:val="center"/>
                  </w:pPr>
                  <w:r>
                    <w:t xml:space="preserve">Worst</w:t>
                  </w:r>
                </w:p>
              </w:tc>
              <w:tc>
                <w:tcPr/>
                <w:p>
                  <w:pPr>
                    <w:pStyle w:val="Compact"/>
                    <w:jc w:val="right"/>
                    <w:jc w:val="center"/>
                  </w:pPr>
                  <w:r>
                    <w:t xml:space="preserve">+0.13</w:t>
                  </w:r>
                </w:p>
              </w:tc>
              <w:tc>
                <w:tcPr/>
                <w:p>
                  <w:pPr>
                    <w:pStyle w:val="Compact"/>
                    <w:jc w:val="right"/>
                    <w:jc w:val="center"/>
                  </w:pPr>
                  <w:r>
                    <w:t xml:space="preserve">+0.0024</w:t>
                  </w:r>
                </w:p>
              </w:tc>
            </w:tr>
            <w:tr>
              <w:tc>
                <w:tcPr/>
                <w:p>
                  <w:pPr>
                    <w:pStyle w:val="Compact"/>
                    <w:jc w:val="center"/>
                  </w:pPr>
                  <w:r>
                    <w:t xml:space="preserve">+50% (mid-shock)</w:t>
                  </w:r>
                </w:p>
              </w:tc>
              <w:tc>
                <w:tcPr/>
                <w:p>
                  <w:pPr>
                    <w:pStyle w:val="Compact"/>
                    <w:jc w:val="center"/>
                  </w:pPr>
                  <w:r>
                    <w:rPr>
                      <w:b/>
                      <w:bCs/>
                    </w:rPr>
                    <w:t xml:space="preserve">Expected</w:t>
                  </w:r>
                </w:p>
              </w:tc>
              <w:tc>
                <w:tcPr/>
                <w:p>
                  <w:pPr>
                    <w:pStyle w:val="Compact"/>
                    <w:jc w:val="right"/>
                    <w:jc w:val="center"/>
                  </w:pPr>
                  <w:r>
                    <w:rPr>
                      <w:b/>
                      <w:bCs/>
                    </w:rPr>
                    <w:t xml:space="preserve">+4.45</w:t>
                  </w:r>
                </w:p>
              </w:tc>
              <w:tc>
                <w:tcPr/>
                <w:p>
                  <w:pPr>
                    <w:pStyle w:val="Compact"/>
                    <w:jc w:val="right"/>
                    <w:jc w:val="center"/>
                  </w:pPr>
                  <w:r>
                    <w:rPr>
                      <w:b/>
                      <w:bCs/>
                    </w:rPr>
                    <w:t xml:space="preserve">+0.0824</w:t>
                  </w:r>
                </w:p>
              </w:tc>
            </w:tr>
            <w:tr>
              <w:tc>
                <w:tcPr/>
                <w:p>
                  <w:pPr>
                    <w:pStyle w:val="Compact"/>
                    <w:jc w:val="center"/>
                  </w:pPr>
                  <w:r>
                    <w:t xml:space="preserve">+50% (mid-shock)</w:t>
                  </w:r>
                </w:p>
              </w:tc>
              <w:tc>
                <w:tcPr/>
                <w:p>
                  <w:pPr>
                    <w:pStyle w:val="Compact"/>
                    <w:jc w:val="center"/>
                  </w:pPr>
                  <w:r>
                    <w:t xml:space="preserve">Best</w:t>
                  </w:r>
                </w:p>
              </w:tc>
              <w:tc>
                <w:tcPr/>
                <w:p>
                  <w:pPr>
                    <w:pStyle w:val="Compact"/>
                    <w:jc w:val="right"/>
                    <w:jc w:val="center"/>
                  </w:pPr>
                  <w:r>
                    <w:t xml:space="preserve">+8.78</w:t>
                  </w:r>
                </w:p>
              </w:tc>
              <w:tc>
                <w:tcPr/>
                <w:p>
                  <w:pPr>
                    <w:pStyle w:val="Compact"/>
                    <w:jc w:val="right"/>
                    <w:jc w:val="center"/>
                  </w:pPr>
                  <w:r>
                    <w:t xml:space="preserve">+0.1625</w:t>
                  </w:r>
                </w:p>
              </w:tc>
            </w:tr>
            <w:tr>
              <w:tc>
                <w:tcPr/>
                <w:p>
                  <w:pPr>
                    <w:pStyle w:val="Compact"/>
                    <w:jc w:val="center"/>
                  </w:pPr>
                  <w:r>
                    <w:t xml:space="preserve">+100% (high-shock)</w:t>
                  </w:r>
                </w:p>
              </w:tc>
              <w:tc>
                <w:tcPr/>
                <w:p>
                  <w:pPr>
                    <w:pStyle w:val="Compact"/>
                    <w:jc w:val="center"/>
                  </w:pPr>
                  <w:r>
                    <w:t xml:space="preserve">Worst</w:t>
                  </w:r>
                </w:p>
              </w:tc>
              <w:tc>
                <w:tcPr/>
                <w:p>
                  <w:pPr>
                    <w:pStyle w:val="Compact"/>
                    <w:jc w:val="right"/>
                    <w:jc w:val="center"/>
                  </w:pPr>
                  <w:r>
                    <w:t xml:space="preserve">+0.22</w:t>
                  </w:r>
                </w:p>
              </w:tc>
              <w:tc>
                <w:tcPr/>
                <w:p>
                  <w:pPr>
                    <w:pStyle w:val="Compact"/>
                    <w:jc w:val="right"/>
                    <w:jc w:val="center"/>
                  </w:pPr>
                  <w:r>
                    <w:t xml:space="preserve">+0.0041</w:t>
                  </w:r>
                </w:p>
              </w:tc>
            </w:tr>
            <w:tr>
              <w:tc>
                <w:tcPr/>
                <w:p>
                  <w:pPr>
                    <w:pStyle w:val="Compact"/>
                    <w:jc w:val="center"/>
                  </w:pPr>
                  <w:r>
                    <w:t xml:space="preserve">+100% (high-shock)</w:t>
                  </w:r>
                </w:p>
              </w:tc>
              <w:tc>
                <w:tcPr/>
                <w:p>
                  <w:pPr>
                    <w:pStyle w:val="Compact"/>
                    <w:jc w:val="center"/>
                  </w:pPr>
                  <w:r>
                    <w:rPr>
                      <w:b/>
                      <w:bCs/>
                    </w:rPr>
                    <w:t xml:space="preserve">Expected</w:t>
                  </w:r>
                </w:p>
              </w:tc>
              <w:tc>
                <w:tcPr/>
                <w:p>
                  <w:pPr>
                    <w:pStyle w:val="Compact"/>
                    <w:jc w:val="right"/>
                    <w:jc w:val="center"/>
                  </w:pPr>
                  <w:r>
                    <w:rPr>
                      <w:b/>
                      <w:bCs/>
                    </w:rPr>
                    <w:t xml:space="preserve">+7.63</w:t>
                  </w:r>
                </w:p>
              </w:tc>
              <w:tc>
                <w:tcPr/>
                <w:p>
                  <w:pPr>
                    <w:pStyle w:val="Compact"/>
                    <w:jc w:val="right"/>
                    <w:jc w:val="center"/>
                  </w:pPr>
                  <w:r>
                    <w:rPr>
                      <w:b/>
                      <w:bCs/>
                    </w:rPr>
                    <w:t xml:space="preserve">+0.1412</w:t>
                  </w:r>
                </w:p>
              </w:tc>
            </w:tr>
            <w:tr>
              <w:tc>
                <w:tcPr/>
                <w:p>
                  <w:pPr>
                    <w:pStyle w:val="Compact"/>
                    <w:jc w:val="center"/>
                  </w:pPr>
                  <w:r>
                    <w:t xml:space="preserve">+100% (high-shock)</w:t>
                  </w:r>
                </w:p>
              </w:tc>
              <w:tc>
                <w:tcPr/>
                <w:p>
                  <w:pPr>
                    <w:pStyle w:val="Compact"/>
                    <w:jc w:val="center"/>
                  </w:pPr>
                  <w:r>
                    <w:t xml:space="preserve">Best</w:t>
                  </w:r>
                </w:p>
              </w:tc>
              <w:tc>
                <w:tcPr/>
                <w:p>
                  <w:pPr>
                    <w:pStyle w:val="Compact"/>
                    <w:jc w:val="right"/>
                    <w:jc w:val="center"/>
                  </w:pPr>
                  <w:r>
                    <w:t xml:space="preserve">+15.03</w:t>
                  </w:r>
                </w:p>
              </w:tc>
              <w:tc>
                <w:tcPr/>
                <w:p>
                  <w:pPr>
                    <w:pStyle w:val="Compact"/>
                    <w:jc w:val="right"/>
                    <w:jc w:val="center"/>
                  </w:pPr>
                  <w:r>
                    <w:t xml:space="preserve">+0.2783</w:t>
                  </w:r>
                </w:p>
              </w:tc>
            </w:tr>
          </w:tbl>
          <w:bookmarkEnd w:id="3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6" w:name="fig-counterfactual"/>
          <w:p>
            <w:pPr>
              <w:pStyle w:val="Compact"/>
              <w:jc w:val="center"/>
            </w:pPr>
            <w:r>
              <w:drawing>
                <wp:inline>
                  <wp:extent cx="4267200" cy="4267200"/>
                  <wp:effectExtent b="0" l="0" r="0" t="0"/>
                  <wp:docPr descr="" title="" id="34" name="Picture"/>
                  <a:graphic>
                    <a:graphicData uri="http://schemas.openxmlformats.org/drawingml/2006/picture">
                      <pic:pic>
                        <pic:nvPicPr>
                          <pic:cNvPr descr="../output/figures/model5_scenario_plot.png" id="35" name="Picture"/>
                          <pic:cNvPicPr>
                            <a:picLocks noChangeArrowheads="1" noChangeAspect="1"/>
                          </pic:cNvPicPr>
                        </pic:nvPicPr>
                        <pic:blipFill>
                          <a:blip r:embed="rId33"/>
                          <a:stretch>
                            <a:fillRect/>
                          </a:stretch>
                        </pic:blipFill>
                        <pic:spPr bwMode="auto">
                          <a:xfrm>
                            <a:off x="0" y="0"/>
                            <a:ext cx="42672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Figure 2. Model 5 within-support counterfactual scenarios. Δ HLO points on the y-axis; shock magnitude (+10%, +50%, +100% of median country baseline annual CRS disbursement) on the x-axis. Three bars per shock: Worst case (β lower 95% CI), Expected case (β point estimate = 11.14), Best case (β upper 95% CI). The $1B redirect scenario pro-rata across the 173-country sample = $5.78M per country, landing in the low-shock band as noted in §4.5 ¶2. Locked per PAP-0011.</w:t>
            </w:r>
          </w:p>
          <w:bookmarkEnd w:id="36"/>
        </w:tc>
      </w:tr>
    </w:tbl>
    <w:p>
      <w:pPr>
        <w:pStyle w:val="BodyText"/>
      </w:pPr>
      <w:r>
        <w:t xml:space="preserve">The counterfactual magnitudes are best read against the program-level cost-effectiveness benchmarks the policy literature relies on for intervention design. The GEEAP Smart Buys catalog</w:t>
      </w:r>
      <w:r>
        <w:t xml:space="preserve"> </w:t>
      </w:r>
      <w:r>
        <w:t xml:space="preserve">(</w:t>
      </w:r>
      <w:hyperlink w:anchor="ref-geeap2023smart">
        <w:r>
          <w:rPr>
            <w:rStyle w:val="Hyperlink"/>
          </w:rPr>
          <w:t xml:space="preserve">Global Education Evidence Advisory Panel (GEEAP), 2023</w:t>
        </w:r>
      </w:hyperlink>
      <w:r>
        <w:t xml:space="preserve">)</w:t>
      </w:r>
      <w:r>
        <w:t xml:space="preserve"> </w:t>
      </w:r>
      <w:r>
        <w:t xml:space="preserve">reports headline interventions with LAYS gains in the 0.5–3.0-year range per pupil for well-targeted tutoring, pedagogical-targeting, and structured-pedagogy programs, values that dwarf even the best-case aggregate-shock numbers above. The contrast reflects two structural differences. The GEEAP benchmark is micro cost-effectiveness on programme participants, not macro aid elasticity at the country level. The GEEAP benchmark is also the upper envelope of intervention-type evidence whose extraction from CRS metadata the §4.4 Model 4 drop demonstrates the panel cannot perform. Country-level associations cannot be decomposed into individual-level causal effects (the ecological fallacy, Robinson, 1950</w:t>
      </w:r>
      <w:r>
        <w:t xml:space="preserve"> </w:t>
      </w:r>
      <w:r>
        <w:t xml:space="preserve">(</w:t>
      </w:r>
      <w:hyperlink w:anchor="ref-robinson1950ecological">
        <w:r>
          <w:rPr>
            <w:rStyle w:val="Hyperlink"/>
          </w:rPr>
          <w:t xml:space="preserve">Robinson, 1950</w:t>
        </w:r>
      </w:hyperlink>
      <w:r>
        <w:t xml:space="preserve">)</w:t>
      </w:r>
      <w:r>
        <w:t xml:space="preserve">): the elasticity reported here is a feature of the country panel, not of the program participants the cost-effectiveness literature studies. Filmer and colleagues</w:t>
      </w:r>
      <w:r>
        <w:t xml:space="preserve"> </w:t>
      </w:r>
      <w:r>
        <w:t xml:space="preserve">(</w:t>
      </w:r>
      <w:hyperlink w:anchor="ref-filmer2020lays">
        <w:r>
          <w:rPr>
            <w:rStyle w:val="Hyperlink"/>
          </w:rPr>
          <w:t xml:space="preserve">2020</w:t>
        </w:r>
      </w:hyperlink>
      <w:r>
        <w:t xml:space="preserve">)</w:t>
      </w:r>
      <w:r>
        <w:t xml:space="preserve"> </w:t>
      </w:r>
      <w:r>
        <w:t xml:space="preserve">provide the LAYS reporting unit for cross-paper comparison; the aggregate-β counterfactual reported here is small relative to that literature, which is the honest read of what a cross-country panel β identifies at the country level. The figures above are best read as illustrative bounds on the headline coefficient, conditional on the four fragilities §5 documents that it does not survive, rather than as a policy projection. After the bootstrap (§4.7), placebo (§4.8), and SSA-exclusion check (§4.9) reported below and above, their magnitude should be read as an upper envelope, not a central estimate.</w:t>
      </w:r>
    </w:p>
    <w:bookmarkEnd w:id="37"/>
    <w:bookmarkStart w:id="42" w:name="X85f47235cf90d637d8ea6605f741fd18e703554"/>
    <w:p>
      <w:pPr>
        <w:pStyle w:val="Heading2"/>
      </w:pPr>
      <w:r>
        <w:t xml:space="preserve">4.6 HLO measure-fragility: a sensitivity that fails sign-agreement</w:t>
      </w:r>
    </w:p>
    <w:p>
      <w:pPr>
        <w:pStyle w:val="FirstParagraph"/>
      </w:pPr>
      <w:hyperlink r:id="rId38">
        <w:r>
          <w:rPr>
            <w:rStyle w:val="Hyperlink"/>
          </w:rPr>
          <w:t xml:space="preserve">PAP-0004</w:t>
        </w:r>
      </w:hyperlink>
      <w:r>
        <w:t xml:space="preserve"> </w:t>
      </w:r>
      <w:r>
        <w:t xml:space="preserve">selected the World Bank HCI HLOS as the primary HLO outcome and set the principal robustness check in advance: refit Model 2’s headline specification on the published Altinok-Angrist-Patrinos (2018)</w:t>
      </w:r>
      <w:r>
        <w:t xml:space="preserve"> </w:t>
      </w:r>
      <w:r>
        <w:t xml:space="preserve">(</w:t>
      </w:r>
      <w:hyperlink w:anchor="ref-altinok2018global">
        <w:r>
          <w:rPr>
            <w:rStyle w:val="Hyperlink"/>
          </w:rPr>
          <w:t xml:space="preserve">Altinok et al., 2018</w:t>
        </w:r>
      </w:hyperlink>
      <w:r>
        <w:t xml:space="preserve">)</w:t>
      </w:r>
      <w:r>
        <w:t xml:space="preserve"> </w:t>
      </w:r>
      <w:r>
        <w:t xml:space="preserve">alternative harmonized measure and verify within-CI sign-and-magnitude agreement. The statistical-validity audit executed this check on two AAP-2018 specifications, chosen to disentangle measure-choice effects from sample-window-composition effects. The</w:t>
      </w:r>
      <w:r>
        <w:t xml:space="preserve"> </w:t>
      </w:r>
      <w:r>
        <w:rPr>
          <w:b/>
          <w:bCs/>
        </w:rPr>
        <w:t xml:space="preserve">AAP full coverage</w:t>
      </w:r>
      <w:r>
        <w:t xml:space="preserve"> </w:t>
      </w:r>
      <w:r>
        <w:t xml:space="preserve">specification (N = 69 country-year cells; 62 countries; year range 2005–2015; five AAP cycles) returned</w:t>
      </w:r>
      <w:r>
        <w:t xml:space="preserve"> </w:t>
      </w:r>
      <w:r>
        <w:rPr>
          <w:b/>
          <w:bCs/>
        </w:rPr>
        <w:t xml:space="preserve">β = −16.67</w:t>
      </w:r>
      <w:r>
        <w:t xml:space="preserve"> </w:t>
      </w:r>
      <w:r>
        <w:t xml:space="preserve">(SE 5.96; p = 0.009). The</w:t>
      </w:r>
      <w:r>
        <w:t xml:space="preserve"> </w:t>
      </w:r>
      <w:r>
        <w:rPr>
          <w:b/>
          <w:bCs/>
        </w:rPr>
        <w:t xml:space="preserve">AAP overlap window</w:t>
      </w:r>
      <w:r>
        <w:t xml:space="preserve"> </w:t>
      </w:r>
      <w:r>
        <w:t xml:space="preserve">specification, restricted to years ≥ 2010 to match the WB HCI HLOS primary panel (N = 36 cells; 42 countries; two AAP cycles in the primary window), returned</w:t>
      </w:r>
      <w:r>
        <w:t xml:space="preserve"> </w:t>
      </w:r>
      <w:r>
        <w:rPr>
          <w:b/>
          <w:bCs/>
        </w:rPr>
        <w:t xml:space="preserve">β = −3.94</w:t>
      </w:r>
      <w:r>
        <w:t xml:space="preserve"> </w:t>
      </w:r>
      <w:r>
        <w:t xml:space="preserve">(SE 8.68; p = 0.66). Both AAP specifications sign-flip relative to the primary β = +11.14 headline.</w:t>
      </w:r>
    </w:p>
    <w:p>
      <w:pPr>
        <w:pStyle w:val="BodyText"/>
      </w:pPr>
      <w:r>
        <w:t xml:space="preserve">The two AAP variants test alternative drivers of the sign-flip. If the AAP-full and AAP-overlap specifications agreed in sign and magnitude, the failure would be attributable to the harmonized-measure choice itself; if they disagreed, the failure would be attributable to sample-window composition (AAP’s pre-2010 epoch contains a substantially different country set than the WB HCI HLOS’s 2010-2020 panel). The</w:t>
      </w:r>
      <w:r>
        <w:t xml:space="preserve"> </w:t>
      </w:r>
      <w:r>
        <w:rPr>
          <w:b/>
          <w:bCs/>
        </w:rPr>
        <w:t xml:space="preserve">AAP-overlap result at β = −3.94, p = 0.66</w:t>
      </w:r>
      <w:r>
        <w:t xml:space="preserve">, the right sample window with the wrong measure,</w:t>
      </w:r>
      <w:r>
        <w:t xml:space="preserve"> </w:t>
      </w:r>
      <w:r>
        <w:rPr>
          <w:b/>
          <w:bCs/>
        </w:rPr>
        <w:t xml:space="preserve">rules out sample-window composition as the sole driver</w:t>
      </w:r>
      <w:r>
        <w:t xml:space="preserve">. The harmonized-measure choice itself materially shapes the within-country answer, and the two harmonized measures produce different signs on the within-country ODA-to-learning coefficient even when refit on overlapping country-year cells. PAP-0004 documents the failure; methodology §3.4.1 reports the sensitivity numbers; the manuscript-wide hedge (</w:t>
      </w:r>
      <w:r>
        <w:t xml:space="preserve">“in the WB HCI HLOS specification on the 2010–2020 panel”</w:t>
      </w:r>
      <w:r>
        <w:t xml:space="preserve">) encodes the discipline. §5.3 below takes up the methodological framing: the measure-fragility is itself a contribution to the cross-country aid-learning literature, where the implicit reading has been that within-country fixed effects absorb harmonization differences.</w:t>
      </w:r>
    </w:p>
    <w:p>
      <w:pPr>
        <w:pStyle w:val="BodyText"/>
      </w:pPr>
      <w:hyperlink r:id="rId39">
        <w:r>
          <w:rPr>
            <w:rStyle w:val="Hyperlink"/>
          </w:rPr>
          <w:t xml:space="preserve">PAP-0006</w:t>
        </w:r>
      </w:hyperlink>
      <w:r>
        <w:t xml:space="preserve"> </w:t>
      </w:r>
      <w:r>
        <w:t xml:space="preserve">set two complementary robustness checks in advance against the production-panel missingness choices: UIS-augmented listwise (drop UIS-missing countries) and UIS-augmented multiple imputation. The listwise refit on the same primary HLO measure returned</w:t>
      </w:r>
      <w:r>
        <w:t xml:space="preserve"> </w:t>
      </w:r>
      <w:r>
        <w:rPr>
          <w:b/>
          <w:bCs/>
        </w:rPr>
        <w:t xml:space="preserve">β = −1.97</w:t>
      </w:r>
      <w:r>
        <w:t xml:space="preserve"> </w:t>
      </w:r>
      <w:r>
        <w:t xml:space="preserve">(SE 4.40; N = 41 after the joint listwise constraint; not significant). The confidence interval [−10.59, 6.66] partially overlaps the primary CI [0.32, 21.95] in the range [0.32, 6.66], so any true β in that range is consistent with both samples. This is</w:t>
      </w:r>
      <w:r>
        <w:t xml:space="preserve"> </w:t>
      </w:r>
      <w:r>
        <w:rPr>
          <w:b/>
          <w:bCs/>
        </w:rPr>
        <w:t xml:space="preserve">weak robustness</w:t>
      </w:r>
      <w:r>
        <w:t xml:space="preserve">: a sign-flip but neither significant nor strongly contradictory, with country coverage reduced from 103 to 41 countries (60 percent of the primary-window FE-identifiable set lost to the listwise constraint). The multiple-imputation robustness was retired by</w:t>
      </w:r>
      <w:r>
        <w:t xml:space="preserve"> </w:t>
      </w:r>
      <w:hyperlink r:id="rId40">
        <w:r>
          <w:rPr>
            <w:rStyle w:val="Hyperlink"/>
          </w:rPr>
          <w:t xml:space="preserve">PAP-0012</w:t>
        </w:r>
      </w:hyperlink>
      <w:r>
        <w:t xml:space="preserve">: the production-panel MCAR test rejects MCAR at p &lt; 10⁻⁶, the MAR assumption multiple imputation requires is therefore unsupported on this data, and the project’s no-fabrication discipline additionally treats imputed values as fabrications that would hide in the reported regressions as real observations. The §5.4 elaboration below takes up the methodological framing of the MCAR-MAR-MNAR triangle.</w:t>
      </w:r>
    </w:p>
    <w:tbl>
      <w:tblPr>
        <w:tblStyle w:val="Table"/>
        <w:tblW w:type="pct" w:w="5000"/>
        <w:tblLayout w:type="fixed"/>
        <w:tblLook w:firstRow="0" w:lastRow="0" w:firstColumn="0" w:lastColumn="0" w:noHBand="0" w:noVBand="0" w:val="0000"/>
      </w:tblPr>
      <w:tblGrid>
        <w:gridCol w:w="7920"/>
      </w:tblGrid>
      <w:tr>
        <w:tc>
          <w:tcPr/>
          <w:bookmarkStart w:id="41" w:name="tbl-pass1-sensitivity"/>
          <w:p>
            <w:pPr>
              <w:jc w:val="center"/>
            </w:pPr>
            <w:pPr>
              <w:jc w:val="left"/>
              <w:spacing w:before="200"/>
              <w:pStyle w:val="ImageCaption"/>
            </w:pPr>
            <w:r>
              <w:t xml:space="preserve">Table 6: Table 6. HLO measure-sensitivity (PAP-0004 principal robustness) plus UIS-augmented listwise (PAP-0006 Robustness 1). Refit of the locked Model 2 spec 2e on alternative HLO measures and on the UIS-augmented listwise sample. Headline coefficient (row 1) does not survive sign-agreement against either AAP-2018 variant; the AAP-overlap null on the same primary sample window rules out sample-window composition as sole driver. The UIS-augmented listwise CI partially overlaps the primary CI in [0.32, 6.66] (weak robustness, not strong contradiction). PAP-0006 R2 multiple imputation retired per PAP-0012.</w:t>
            </w:r>
          </w:p>
          <w:tbl>
            <w:tblPr>
              <w:tblStyle w:val="Table"/>
              <w:tblW w:type="pct" w:w="5000"/>
              <w:tblLayout w:type="fixed"/>
              <w:tblLook w:firstRow="1" w:lastRow="0" w:firstColumn="0" w:lastColumn="0" w:noHBand="0" w:noVBand="0" w:val="0020"/>
            </w:tblPr>
            <w:tblGrid>
              <w:gridCol w:w="819"/>
              <w:gridCol w:w="1228"/>
              <w:gridCol w:w="1092"/>
              <w:gridCol w:w="682"/>
              <w:gridCol w:w="955"/>
              <w:gridCol w:w="955"/>
              <w:gridCol w:w="955"/>
              <w:gridCol w:w="1228"/>
            </w:tblGrid>
            <w:tr>
              <w:trPr>
                <w:tblHeader w:val="on"/>
              </w:trPr>
              <w:tc>
                <w:tcPr/>
                <w:p>
                  <w:pPr>
                    <w:pStyle w:val="Compact"/>
                    <w:jc w:val="center"/>
                  </w:pPr>
                  <w:r>
                    <w:t xml:space="preserve">Spec</w:t>
                  </w:r>
                </w:p>
              </w:tc>
              <w:tc>
                <w:tcPr/>
                <w:p>
                  <w:pPr>
                    <w:pStyle w:val="Compact"/>
                    <w:jc w:val="center"/>
                  </w:pPr>
                  <w:r>
                    <w:t xml:space="preserve">Outcome</w:t>
                  </w:r>
                </w:p>
              </w:tc>
              <w:tc>
                <w:tcPr/>
                <w:p>
                  <w:pPr>
                    <w:pStyle w:val="Compact"/>
                    <w:jc w:val="center"/>
                  </w:pPr>
                  <w:r>
                    <w:t xml:space="preserve">Sample</w:t>
                  </w:r>
                </w:p>
              </w:tc>
              <w:tc>
                <w:tcPr/>
                <w:p>
                  <w:pPr>
                    <w:pStyle w:val="Compact"/>
                    <w:jc w:val="right"/>
                    <w:jc w:val="center"/>
                  </w:pPr>
                  <w:r>
                    <w:t xml:space="preserve">N</w:t>
                  </w:r>
                </w:p>
              </w:tc>
              <w:tc>
                <w:tcPr/>
                <w:p>
                  <w:pPr>
                    <w:pStyle w:val="Compact"/>
                    <w:jc w:val="right"/>
                    <w:jc w:val="center"/>
                  </w:pPr>
                  <w:r>
                    <w:t xml:space="preserve">β_ODA</w:t>
                  </w:r>
                </w:p>
              </w:tc>
              <w:tc>
                <w:tcPr/>
                <w:p>
                  <w:pPr>
                    <w:pStyle w:val="Compact"/>
                    <w:jc w:val="right"/>
                    <w:jc w:val="center"/>
                  </w:pPr>
                  <w:r>
                    <w:t xml:space="preserve">SE</w:t>
                  </w:r>
                </w:p>
              </w:tc>
              <w:tc>
                <w:tcPr/>
                <w:p>
                  <w:pPr>
                    <w:pStyle w:val="Compact"/>
                    <w:jc w:val="right"/>
                    <w:jc w:val="center"/>
                  </w:pPr>
                  <w:r>
                    <w:t xml:space="preserve">p</w:t>
                  </w:r>
                </w:p>
              </w:tc>
              <w:tc>
                <w:tcPr/>
                <w:p>
                  <w:pPr>
                    <w:pStyle w:val="Compact"/>
                    <w:jc w:val="center"/>
                  </w:pPr>
                  <w:r>
                    <w:t xml:space="preserve">Verdict</w:t>
                  </w:r>
                </w:p>
              </w:tc>
            </w:tr>
            <w:tr>
              <w:tc>
                <w:tcPr/>
                <w:p>
                  <w:pPr>
                    <w:pStyle w:val="Compact"/>
                    <w:jc w:val="center"/>
                  </w:pPr>
                  <w:r>
                    <w:t xml:space="preserve">Primary (locked)</w:t>
                  </w:r>
                </w:p>
              </w:tc>
              <w:tc>
                <w:tcPr/>
                <w:p>
                  <w:pPr>
                    <w:pStyle w:val="Compact"/>
                    <w:jc w:val="center"/>
                  </w:pPr>
                  <w:r>
                    <w:t xml:space="preserve">hlo_hlo_score</w:t>
                  </w:r>
                </w:p>
              </w:tc>
              <w:tc>
                <w:tcPr/>
                <w:p>
                  <w:pPr>
                    <w:pStyle w:val="Compact"/>
                    <w:jc w:val="center"/>
                  </w:pPr>
                  <w:r>
                    <w:t xml:space="preserve">2010–2020</w:t>
                  </w:r>
                </w:p>
              </w:tc>
              <w:tc>
                <w:tcPr/>
                <w:p>
                  <w:pPr>
                    <w:pStyle w:val="Compact"/>
                    <w:jc w:val="right"/>
                    <w:jc w:val="center"/>
                  </w:pPr>
                  <w:r>
                    <w:t xml:space="preserve">143</w:t>
                  </w:r>
                </w:p>
              </w:tc>
              <w:tc>
                <w:tcPr/>
                <w:p>
                  <w:pPr>
                    <w:pStyle w:val="Compact"/>
                    <w:jc w:val="right"/>
                    <w:jc w:val="center"/>
                  </w:pPr>
                  <w:r>
                    <w:t xml:space="preserve">+11.14</w:t>
                  </w:r>
                </w:p>
              </w:tc>
              <w:tc>
                <w:tcPr/>
                <w:p>
                  <w:pPr>
                    <w:pStyle w:val="Compact"/>
                    <w:jc w:val="right"/>
                    <w:jc w:val="center"/>
                  </w:pPr>
                  <w:r>
                    <w:t xml:space="preserve">5.52</w:t>
                  </w:r>
                </w:p>
              </w:tc>
              <w:tc>
                <w:tcPr/>
                <w:p>
                  <w:pPr>
                    <w:pStyle w:val="Compact"/>
                    <w:jc w:val="right"/>
                    <w:jc w:val="center"/>
                  </w:pPr>
                  <w:r>
                    <w:t xml:space="preserve">~0.05</w:t>
                  </w:r>
                </w:p>
              </w:tc>
              <w:tc>
                <w:tcPr/>
                <w:p>
                  <w:pPr>
                    <w:pStyle w:val="Compact"/>
                    <w:jc w:val="center"/>
                  </w:pPr>
                  <w:r>
                    <w:t xml:space="preserve">(reference)</w:t>
                  </w:r>
                </w:p>
              </w:tc>
            </w:tr>
            <w:tr>
              <w:tc>
                <w:tcPr/>
                <w:p>
                  <w:pPr>
                    <w:pStyle w:val="Compact"/>
                    <w:jc w:val="center"/>
                  </w:pPr>
                  <w:r>
                    <w:t xml:space="preserve">AAP-2018 full coverage</w:t>
                  </w:r>
                </w:p>
              </w:tc>
              <w:tc>
                <w:tcPr/>
                <w:p>
                  <w:pPr>
                    <w:pStyle w:val="Compact"/>
                    <w:jc w:val="center"/>
                  </w:pPr>
                  <w:r>
                    <w:t xml:space="preserve">aap_hlo_aap</w:t>
                  </w:r>
                </w:p>
              </w:tc>
              <w:tc>
                <w:tcPr/>
                <w:p>
                  <w:pPr>
                    <w:pStyle w:val="Compact"/>
                    <w:jc w:val="center"/>
                  </w:pPr>
                  <w:r>
                    <w:t xml:space="preserve">1995–2015</w:t>
                  </w:r>
                </w:p>
              </w:tc>
              <w:tc>
                <w:tcPr/>
                <w:p>
                  <w:pPr>
                    <w:pStyle w:val="Compact"/>
                    <w:jc w:val="right"/>
                    <w:jc w:val="center"/>
                  </w:pPr>
                  <w:r>
                    <w:t xml:space="preserve">69</w:t>
                  </w:r>
                </w:p>
              </w:tc>
              <w:tc>
                <w:tcPr/>
                <w:p>
                  <w:pPr>
                    <w:pStyle w:val="Compact"/>
                    <w:jc w:val="right"/>
                    <w:jc w:val="center"/>
                  </w:pPr>
                  <w:r>
                    <w:t xml:space="preserve">−16.67</w:t>
                  </w:r>
                </w:p>
              </w:tc>
              <w:tc>
                <w:tcPr/>
                <w:p>
                  <w:pPr>
                    <w:pStyle w:val="Compact"/>
                    <w:jc w:val="right"/>
                    <w:jc w:val="center"/>
                  </w:pPr>
                  <w:r>
                    <w:t xml:space="preserve">5.96</w:t>
                  </w:r>
                </w:p>
              </w:tc>
              <w:tc>
                <w:tcPr/>
                <w:p>
                  <w:pPr>
                    <w:pStyle w:val="Compact"/>
                    <w:jc w:val="right"/>
                    <w:jc w:val="center"/>
                  </w:pPr>
                  <w:r>
                    <w:t xml:space="preserve">0.009</w:t>
                  </w:r>
                </w:p>
              </w:tc>
              <w:tc>
                <w:tcPr/>
                <w:p>
                  <w:pPr>
                    <w:pStyle w:val="Compact"/>
                    <w:jc w:val="center"/>
                  </w:pPr>
                  <w:r>
                    <w:t xml:space="preserve">Sign-flip; outside primary CI</w:t>
                  </w:r>
                </w:p>
              </w:tc>
            </w:tr>
            <w:tr>
              <w:tc>
                <w:tcPr/>
                <w:p>
                  <w:pPr>
                    <w:pStyle w:val="Compact"/>
                    <w:jc w:val="center"/>
                  </w:pPr>
                  <w:r>
                    <w:t xml:space="preserve">AAP-2018 overlap window</w:t>
                  </w:r>
                </w:p>
              </w:tc>
              <w:tc>
                <w:tcPr/>
                <w:p>
                  <w:pPr>
                    <w:pStyle w:val="Compact"/>
                    <w:jc w:val="center"/>
                  </w:pPr>
                  <w:r>
                    <w:t xml:space="preserve">aap_hlo_aap</w:t>
                  </w:r>
                </w:p>
              </w:tc>
              <w:tc>
                <w:tcPr/>
                <w:p>
                  <w:pPr>
                    <w:pStyle w:val="Compact"/>
                    <w:jc w:val="center"/>
                  </w:pPr>
                  <w:r>
                    <w:t xml:space="preserve">year ≥ 2010</w:t>
                  </w:r>
                </w:p>
              </w:tc>
              <w:tc>
                <w:tcPr/>
                <w:p>
                  <w:pPr>
                    <w:pStyle w:val="Compact"/>
                    <w:jc w:val="right"/>
                    <w:jc w:val="center"/>
                  </w:pPr>
                  <w:r>
                    <w:t xml:space="preserve">36</w:t>
                  </w:r>
                </w:p>
              </w:tc>
              <w:tc>
                <w:tcPr/>
                <w:p>
                  <w:pPr>
                    <w:pStyle w:val="Compact"/>
                    <w:jc w:val="right"/>
                    <w:jc w:val="center"/>
                  </w:pPr>
                  <w:r>
                    <w:t xml:space="preserve">−3.94</w:t>
                  </w:r>
                </w:p>
              </w:tc>
              <w:tc>
                <w:tcPr/>
                <w:p>
                  <w:pPr>
                    <w:pStyle w:val="Compact"/>
                    <w:jc w:val="right"/>
                    <w:jc w:val="center"/>
                  </w:pPr>
                  <w:r>
                    <w:t xml:space="preserve">8.68</w:t>
                  </w:r>
                </w:p>
              </w:tc>
              <w:tc>
                <w:tcPr/>
                <w:p>
                  <w:pPr>
                    <w:pStyle w:val="Compact"/>
                    <w:jc w:val="right"/>
                    <w:jc w:val="center"/>
                  </w:pPr>
                  <w:r>
                    <w:t xml:space="preserve">0.66</w:t>
                  </w:r>
                </w:p>
              </w:tc>
              <w:tc>
                <w:tcPr/>
                <w:p>
                  <w:pPr>
                    <w:pStyle w:val="Compact"/>
                    <w:jc w:val="center"/>
                  </w:pPr>
                  <w:r>
                    <w:t xml:space="preserve">Sign-flip; null on overlap window</w:t>
                  </w:r>
                </w:p>
              </w:tc>
            </w:tr>
            <w:tr>
              <w:tc>
                <w:tcPr/>
                <w:p>
                  <w:pPr>
                    <w:pStyle w:val="Compact"/>
                    <w:jc w:val="center"/>
                  </w:pPr>
                  <w:r>
                    <w:t xml:space="preserve">UIS-augmented listwise (PAP-0006 R1)</w:t>
                  </w:r>
                </w:p>
              </w:tc>
              <w:tc>
                <w:tcPr/>
                <w:p>
                  <w:pPr>
                    <w:pStyle w:val="Compact"/>
                    <w:jc w:val="center"/>
                  </w:pPr>
                  <w:r>
                    <w:t xml:space="preserve">hlo_hlo_score</w:t>
                  </w:r>
                </w:p>
              </w:tc>
              <w:tc>
                <w:tcPr/>
                <w:p>
                  <w:pPr>
                    <w:pStyle w:val="Compact"/>
                    <w:jc w:val="center"/>
                  </w:pPr>
                  <w:r>
                    <w:t xml:space="preserve">2010–2020</w:t>
                  </w:r>
                </w:p>
              </w:tc>
              <w:tc>
                <w:tcPr/>
                <w:p>
                  <w:pPr>
                    <w:pStyle w:val="Compact"/>
                    <w:jc w:val="right"/>
                    <w:jc w:val="center"/>
                  </w:pPr>
                  <w:r>
                    <w:t xml:space="preserve">41</w:t>
                  </w:r>
                </w:p>
              </w:tc>
              <w:tc>
                <w:tcPr/>
                <w:p>
                  <w:pPr>
                    <w:pStyle w:val="Compact"/>
                    <w:jc w:val="right"/>
                    <w:jc w:val="center"/>
                  </w:pPr>
                  <w:r>
                    <w:t xml:space="preserve">−1.97</w:t>
                  </w:r>
                </w:p>
              </w:tc>
              <w:tc>
                <w:tcPr/>
                <w:p>
                  <w:pPr>
                    <w:pStyle w:val="Compact"/>
                    <w:jc w:val="right"/>
                    <w:jc w:val="center"/>
                  </w:pPr>
                  <w:r>
                    <w:t xml:space="preserve">4.40</w:t>
                  </w:r>
                </w:p>
              </w:tc>
              <w:tc>
                <w:tcPr/>
                <w:p>
                  <w:pPr>
                    <w:pStyle w:val="Compact"/>
                    <w:jc w:val="right"/>
                    <w:jc w:val="center"/>
                  </w:pPr>
                  <w:r>
                    <w:t xml:space="preserve">&gt; 0.05</w:t>
                  </w:r>
                </w:p>
              </w:tc>
              <w:tc>
                <w:tcPr/>
                <w:p>
                  <w:pPr>
                    <w:pStyle w:val="Compact"/>
                    <w:jc w:val="center"/>
                  </w:pPr>
                  <w:r>
                    <w:t xml:space="preserve">Sign-flip; CIs partially overlap</w:t>
                  </w:r>
                </w:p>
              </w:tc>
            </w:tr>
          </w:tbl>
          <w:bookmarkEnd w:id="41"/>
          <w:p/>
        </w:tc>
      </w:tr>
    </w:tbl>
    <w:bookmarkEnd w:id="42"/>
    <w:bookmarkStart w:id="43" w:name="X1ef1fb1f5c1d6b7c9bdc4f407bdf6d899470657"/>
    <w:p>
      <w:pPr>
        <w:pStyle w:val="Heading2"/>
      </w:pPr>
      <w:r>
        <w:t xml:space="preserve">4.7 Wild cluster bootstrap (added in response to peer review)</w:t>
      </w:r>
    </w:p>
    <w:p>
      <w:pPr>
        <w:pStyle w:val="FirstParagraph"/>
      </w:pPr>
      <w:r>
        <w:t xml:space="preserve">The asymptotic inference behind the headline rests on a country-clustered standard error with sixty-one identifying clusters. The panel reaches 133 countries and the headline returns N = 143 observations, but identifying within-country variation for the clustered standard error requires both that a country contribute at least two HLO observations within the 2010–2020 primary window and that it be non-missing on the full covariate stack (controls, governance composite, and FE absorption). Sixty-one countries clear both filters and contribute identifying within-country variation to the clustered SE. With cluster counts in this range, the asymptotic clustered approximation can understate sampling uncertainty, and the canonical small-cluster robustness check is the wild cluster bootstrap with Rademacher weights.</w:t>
      </w:r>
    </w:p>
    <w:p>
      <w:pPr>
        <w:pStyle w:val="BodyText"/>
      </w:pPr>
      <w:r>
        <w:t xml:space="preserve">The check was intended to use Roodman et al.’s</w:t>
      </w:r>
      <w:r>
        <w:t xml:space="preserve"> </w:t>
      </w:r>
      <w:r>
        <w:rPr>
          <w:rStyle w:val="VerbatimChar"/>
        </w:rPr>
        <w:t xml:space="preserve">fwildclusterboot</w:t>
      </w:r>
      <w:r>
        <w:t xml:space="preserve">, the standard R implementation. That package has been removed from CRAN and both a versioned and a direct install attempt failed in the current environment. The check therefore uses</w:t>
      </w:r>
      <w:r>
        <w:t xml:space="preserve"> </w:t>
      </w:r>
      <w:r>
        <w:rPr>
          <w:rStyle w:val="VerbatimChar"/>
        </w:rPr>
        <w:t xml:space="preserve">sandwich::vcovBS</w:t>
      </w:r>
      <w:r>
        <w:t xml:space="preserve"> </w:t>
      </w:r>
      <w:r>
        <w:t xml:space="preserve">with wild bootstrap weights on a refit of the locked specification with explicit country and year dummies, 9,999 Rademacher replications, seed 20260525, clustered on country. This is the same wild cluster bootstrap on a different implementation path; the substitution is documented in the deposited script header.</w:t>
      </w:r>
    </w:p>
    <w:p>
      <w:pPr>
        <w:pStyle w:val="BodyText"/>
      </w:pPr>
      <w:r>
        <w:t xml:space="preserve">On the headline, the bootstrap returns p = 0.041 against an asymptotic p = 0.048, slightly tighter rather than looser. On the AAP-2018 full coverage specification, bootstrap p = 0.005 against asymptotic p = 0.009; on AAP-2018 overlap, bootstrap p = 0.62 against asymptotic p = 0.66. The small-cluster correction is not binding on any of these specifications. The asymptotic inference is not the failing piece, and this check is reported here for transparency rather than as a discovered weakness. It does not address the SSA-driven and measure-dependent fragilities of Sections 4.9 and 4.6.</w:t>
      </w:r>
    </w:p>
    <w:bookmarkEnd w:id="43"/>
    <w:bookmarkStart w:id="44" w:name="X4eb4c36c89aacfe4fbaf7b74db9bded60264873"/>
    <w:p>
      <w:pPr>
        <w:pStyle w:val="Heading2"/>
      </w:pPr>
      <w:r>
        <w:t xml:space="preserve">4.8 Past-versus-future placebo (added in response to peer review)</w:t>
      </w:r>
    </w:p>
    <w:p>
      <w:pPr>
        <w:pStyle w:val="FirstParagraph"/>
      </w:pPr>
      <w:r>
        <w:t xml:space="preserve">Under the headline’s directional reading, strictly-past aid should predict current learning more strongly than strictly-future aid does, since strictly-future construction forecloses any causal channel from disbursement to outcome. A placebo refit substitutes the strictly-future three-year moving average of CRS disbursements (the mean of t+1 through t+3) for the strictly-past treatment, holding the rest of the locked specification fixed.</w:t>
      </w:r>
    </w:p>
    <w:p>
      <w:pPr>
        <w:pStyle w:val="BodyText"/>
      </w:pPr>
      <w:r>
        <w:t xml:space="preserve">On the same N = 143 estimation sample as the headline, the past-aid coefficient is β = +11.14 (p = 0.048) and the future-aid coefficient is β = +4.62 (p = 0.43, 95% CI [−6.9, 16.1]). The ordering holds: past is about two-and-a-half times larger than future, and conventionally significant where future is not.</w:t>
      </w:r>
    </w:p>
    <w:p>
      <w:pPr>
        <w:pStyle w:val="BodyText"/>
      </w:pPr>
      <w:r>
        <w:t xml:space="preserve">But the future-aid coefficient is not zero. It is forty-one percent of the past-aid coefficient, and well within the past-aid confidence interval. Donor allocation is persistent (countries receiving large disbursements in years t−3 through t−1 tend to receive large disbursements in years t+1 through t+3), so the past-aid coefficient picks up some of that persistence rather than a clean past-to-present causal channel. The honest reading of the placebo is narrower than</w:t>
      </w:r>
      <w:r>
        <w:t xml:space="preserve"> </w:t>
      </w:r>
      <w:r>
        <w:t xml:space="preserve">“past aid uniquely predicts current learning.”</w:t>
      </w:r>
      <w:r>
        <w:t xml:space="preserve"> </w:t>
      </w:r>
      <w:r>
        <w:t xml:space="preserve">It is</w:t>
      </w:r>
      <w:r>
        <w:t xml:space="preserve"> </w:t>
      </w:r>
      <w:r>
        <w:t xml:space="preserve">“past aid predicts current learning more than future aid does, on these data,”</w:t>
      </w:r>
      <w:r>
        <w:t xml:space="preserve"> </w:t>
      </w:r>
      <w:r>
        <w:t xml:space="preserve">with the residual difference between past and future coefficients standing in for whatever directional channel exists net of the persistence in donor allocation.</w:t>
      </w:r>
    </w:p>
    <w:bookmarkEnd w:id="44"/>
    <w:bookmarkStart w:id="45" w:name="Xa003d87b3789c9397247300c5a1f2ee72b85b3d"/>
    <w:p>
      <w:pPr>
        <w:pStyle w:val="Heading2"/>
      </w:pPr>
      <w:r>
        <w:t xml:space="preserve">4.9 The headline is carried by sub-Saharan Africa (added in response to peer review)</w:t>
      </w:r>
    </w:p>
    <w:p>
      <w:pPr>
        <w:pStyle w:val="FirstParagraph"/>
      </w:pPr>
      <w:r>
        <w:t xml:space="preserve">The strongest single check the headline does not survive is geographic. Sub-Saharan Africa is forty-two of the 133 countries in the panel and the most aid-intensive, lowest-learning, fewest-cycle corner of the data, and Table 1 makes the structural concentration clear. Refit the locked headline specification on the ninety-one non-SSA countries, holding everything else fixed, and the coefficient drops from β = +11.14 to β = +4.71, with a confidence interval that straddles zero (SE 4.92; p = 0.34; 95% CI [−4.9, 14.4]). The SSA-only subsample is too small to identify the relationship on its own (forty-two countries, fifty-two observations) and returns a sign-flipped β = −12.3 (p = 0.38), imprecise enough that the formal test is uninformative. A pooled specification with a log-treatment × is-SSA interaction returns a non-SSA main effect of β = +12.7 (p = 0.058) and an interaction of β = −8.8 (p = 0.44); the formal interaction test does not reach conventional significance.</w:t>
      </w:r>
    </w:p>
    <w:p>
      <w:pPr>
        <w:pStyle w:val="BodyText"/>
      </w:pPr>
      <w:r>
        <w:t xml:space="preserve">What does reach is the subsample finding. The positive within-country association the headline claims does not generalize to the ninety-one non-SSA countries that make up most of the panel. This reframes what the result is about. A within-country aid-to-learning coefficient that exists on the forty-two sub-Saharan countries and disappears on the other ninety-one is not</w:t>
      </w:r>
      <w:r>
        <w:t xml:space="preserve"> </w:t>
      </w:r>
      <w:r>
        <w:t xml:space="preserve">“what cross-country panel evidence says about aid for learning.”</w:t>
      </w:r>
      <w:r>
        <w:t xml:space="preserve"> </w:t>
      </w:r>
      <w:r>
        <w:t xml:space="preserve">It is a sub-regional pattern in the most-aid-intensive, lowest-baseline-learning, fewest-observation corner of the world’s aid universe, and a separate question whether the same pattern would survive any of the other checks Section 4.6 and Section 4.2 (c) document.</w:t>
      </w:r>
    </w:p>
    <w:p>
      <w:pPr>
        <w:pStyle w:val="BodyText"/>
      </w:pPr>
      <w:r>
        <w:t xml:space="preserve">Country fixed effects were supposed to absorb the cross-country imbalance that makes the SSA concentration visible. They do, for the levels: the country FE removes the time-invariant low-learning, high-aid character of the SSA panel. What the country FE does not absorb is the slope concentration. The within-country slope is driven substantially by SSA: removing it more than halves the coefficient and removes significance. The non-SSA β at +4.71 is small but not literally zero, so the slope is not identified off SSA alone; it is identified disproportionately off SSA. This is the limit of the within-country specification on data of this shape. The specification is robust to the encoding and identification choices the literature has interrogated, but it is not robust to the country-set composition the literature has not. The central reading aligns with Section 5: the headline is a sub-regional, measure-specific, governance-specific association at sub-detectable precision, rather than a general aid-learning signal.</w:t>
      </w:r>
    </w:p>
    <w:bookmarkEnd w:id="45"/>
    <w:bookmarkEnd w:id="46"/>
    <w:bookmarkStart w:id="47" w:name="Xfe16f4866c3e706bcbfe2271c34dfd4b4e806ba"/>
    <w:p>
      <w:pPr>
        <w:pStyle w:val="Heading1"/>
      </w:pPr>
      <w:r>
        <w:t xml:space="preserve">5. Discussion: what the evidence can and cannot claim</w:t>
      </w:r>
    </w:p>
    <w:p>
      <w:pPr>
        <w:pStyle w:val="FirstParagraph"/>
      </w:pPr>
      <w:r>
        <w:t xml:space="preserve">Six pre-specified checks bit the within-country headline coefficient, and together they change how it should be read. The four robustness checks of §4.2 leave the β = +11.14 coefficient too narrowly conditioned to serve as a general aid-learning result, and two further pre-specified commitments that did not bear directly on the coefficient surfaced limits that are themselves findings for the field. The next four paragraphs walk those checks back into findings about the measurement and reporting infrastructure cross-country aid-effectiveness research runs on.</w:t>
      </w:r>
    </w:p>
    <w:p>
      <w:pPr>
        <w:pStyle w:val="BodyText"/>
      </w:pPr>
      <w:r>
        <w:rPr>
          <w:b/>
          <w:bCs/>
        </w:rPr>
        <w:t xml:space="preserve">The headline is carried by sub-Saharan Africa.</w:t>
      </w:r>
      <w:r>
        <w:t xml:space="preserve"> </w:t>
      </w:r>
      <w:r>
        <w:t xml:space="preserve">§4.9 removes the forty-two SSA countries from the panel and the within-country coefficient drops from β = +11.14 to β = +4.71, with a 95% confidence interval that straddles zero (SE 4.92; p = 0.34; N = 91 non-SSA countries; 101 country-cycles). Country fixed effects were supposed to absorb the cross-country imbalance Table 1 makes visible, and they do, for the levels. What they do not absorb is the slope concentration: the within-country aid-to-learning slope is identified disproportionately off the SSA panel rather than off the panel as a whole. The non-SSA coefficient is positive and not literally zero (+4.71), so the slope is not identified off SSA alone; but the headline coefficient as reported is the SSA-and-non-SSA-pooled number, and that number does not generalize to the ninety-one non-SSA countries that make up two-thirds of the panel. A within-country coefficient on data with this geographic concentration profile is a sub-regional result reported in pooled-panel language; the honest reframe is to report it under the sub-regional qualification its sample distribution earns.</w:t>
      </w:r>
    </w:p>
    <w:p>
      <w:pPr>
        <w:pStyle w:val="BodyText"/>
      </w:pPr>
      <w:r>
        <w:rPr>
          <w:b/>
          <w:bCs/>
        </w:rPr>
        <w:t xml:space="preserve">The typology axis is not extractable from CRS metadata.</w:t>
      </w:r>
      <w:r>
        <w:t xml:space="preserve"> </w:t>
      </w:r>
      <w:r>
        <w:t xml:space="preserve">The policy literature</w:t>
      </w:r>
      <w:r>
        <w:t xml:space="preserve"> </w:t>
      </w:r>
      <w:r>
        <w:t xml:space="preserve">(</w:t>
      </w:r>
      <w:hyperlink w:anchor="ref-glewwe2016improving">
        <w:r>
          <w:rPr>
            <w:rStyle w:val="Hyperlink"/>
          </w:rPr>
          <w:t xml:space="preserve">Glewwe &amp; Muralidharan, 2016</w:t>
        </w:r>
      </w:hyperlink>
      <w:r>
        <w:t xml:space="preserve">;</w:t>
      </w:r>
      <w:r>
        <w:t xml:space="preserve"> </w:t>
      </w:r>
      <w:hyperlink w:anchor="ref-geeap2023smart">
        <w:r>
          <w:rPr>
            <w:rStyle w:val="Hyperlink"/>
          </w:rPr>
          <w:t xml:space="preserve">Global Education Evidence Advisory Panel (GEEAP), 2023</w:t>
        </w:r>
      </w:hyperlink>
      <w:r>
        <w:t xml:space="preserve">;</w:t>
      </w:r>
      <w:r>
        <w:t xml:space="preserve"> </w:t>
      </w:r>
      <w:hyperlink w:anchor="ref-vegas2015when">
        <w:r>
          <w:rPr>
            <w:rStyle w:val="Hyperlink"/>
          </w:rPr>
          <w:t xml:space="preserve">Vegas &amp; Coffin, 2015</w:t>
        </w:r>
      </w:hyperlink>
      <w:r>
        <w:t xml:space="preserve">)</w:t>
      </w:r>
      <w:r>
        <w:t xml:space="preserve"> </w:t>
      </w:r>
      <w:r>
        <w:t xml:space="preserve">treats programmatic intervention type as the operative axis for cost-effectiveness comparison; the OECD Creditor Reporting System records aid at the sectoral level via five-digit purpose codes that aggregate over intervention type rather than recording it. The §4.4 classifier failure (raw agreement 39 percent; κ = 0.19; 75.7 percent unclassified) was diagnostic rather than noisy: a purpose-code mapping placed 83 percent of projects in budget support while a rule-based classifier placed 4 percent there. The two methods were measuring different constructs, not the same construct with measurement error. The substantive implication is a measurement-architecture finding: the pedagogical-vs-input-mass distinction that policy guidance treats as decision-relevant is not extractable from CRS metadata at country-year resolution without substantial hand-coding, an empirical limit on what cross-country panel work can credibly say about aid composition, and part of why the existing panel literature relies on aid-amount rather than aid-composition regressions.</w:t>
      </w:r>
    </w:p>
    <w:p>
      <w:pPr>
        <w:pStyle w:val="BodyText"/>
      </w:pPr>
      <w:r>
        <w:rPr>
          <w:b/>
          <w:bCs/>
        </w:rPr>
        <w:t xml:space="preserve">Measure-fragility extends to the within-country dimension.</w:t>
      </w:r>
      <w:r>
        <w:t xml:space="preserve"> </w:t>
      </w:r>
      <w:r>
        <w:t xml:space="preserve">Sandefur’s</w:t>
      </w:r>
      <w:r>
        <w:t xml:space="preserve"> </w:t>
      </w:r>
      <w:r>
        <w:t xml:space="preserve">(</w:t>
      </w:r>
      <w:hyperlink w:anchor="ref-sandefur2018internationally">
        <w:r>
          <w:rPr>
            <w:rStyle w:val="Hyperlink"/>
          </w:rPr>
          <w:t xml:space="preserve">2018</w:t>
        </w:r>
      </w:hyperlink>
      <w:r>
        <w:t xml:space="preserve">)</w:t>
      </w:r>
      <w:r>
        <w:t xml:space="preserve"> </w:t>
      </w:r>
      <w:r>
        <w:t xml:space="preserve">critique of harmonized cross-country test-score rankings has been read in the panel literature as a cross-sectional concern that within-country fixed effects absorb. §4.6 shows that reading is incomplete: refitting the headline specification on the Altinok-Angrist-Patrinos</w:t>
      </w:r>
      <w:r>
        <w:t xml:space="preserve"> </w:t>
      </w:r>
      <w:r>
        <w:t xml:space="preserve">(</w:t>
      </w:r>
      <w:hyperlink w:anchor="ref-altinok2018global">
        <w:r>
          <w:rPr>
            <w:rStyle w:val="Hyperlink"/>
          </w:rPr>
          <w:t xml:space="preserve">2018</w:t>
        </w:r>
      </w:hyperlink>
      <w:r>
        <w:t xml:space="preserve">)</w:t>
      </w:r>
      <w:r>
        <w:t xml:space="preserve"> </w:t>
      </w:r>
      <w:r>
        <w:t xml:space="preserve">alternative harmonized measure returns β = −16.67 on the full coverage (p = 0.009; sign-reversal) and β = −3.94 on the year-overlap window (p = 0.66; non-significant null that itself fails sign-agreement). Within-country fixed effects absorb time-invariant level differences across measures, as expected; they do not absorb within-country slope differences a different linking decision introduces. A within-country aid-to-learning coefficient reported without a cross-measure check may therefore be a measure-specific artifact presented as a general result. The cross-country learning measurement infrastructure the field operates on needs more redundancy than the current two-measure architecture provides.</w:t>
      </w:r>
    </w:p>
    <w:p>
      <w:pPr>
        <w:pStyle w:val="BodyText"/>
      </w:pPr>
      <w:r>
        <w:rPr>
          <w:b/>
          <w:bCs/>
        </w:rPr>
        <w:t xml:space="preserve">Donor-reporting missingness defeats the imputation default.</w:t>
      </w:r>
      <w:r>
        <w:t xml:space="preserve"> </w:t>
      </w:r>
      <w:r>
        <w:t xml:space="preserve">The UIS schooling-finance indicators that anchor the most policy-relevant control variable in cross-country aid-learning panels are missing on 91.8 percent of sub-Saharan country-years against single-digit percentages in OECD countries. The missingness is itself a function of administrative capacity, which is part of what the panel is trying to explain. The missingness plan PAP-0006 committed in advance to a listwise robustness and a multiple-imputation robustness; the listwise refit (β = −1.97; SE 4.40; N = 41) is small, insignificant, and of opposite sign, with a confidence interval that overlaps the primary only weakly. The multiple-imputation direction was retired by PAP-0012: a pre-specified test rejects MCAR at p ≪ 10⁻⁶ on these data, so the MAR assumption multiple imputation requires is empirically unsupportable, and treating imputed cells as observations would let fabricated values enter the regressions as if real. The contribution is to surface the missingness taxonomy as a first-class diagnostic step: when donor-reporting missingness is a function of the conditions the panel is explaining, listwise deletion and imputation are not interchangeable robustness directions, and reporting both alongside an explicit completeness test is the minimal discipline.</w:t>
      </w:r>
    </w:p>
    <w:p>
      <w:pPr>
        <w:pStyle w:val="BodyText"/>
      </w:pPr>
      <w:r>
        <w:t xml:space="preserve">Taken together these checks say that cross-country aid-effectiveness panels can claim less than the policy conversation assumes. A within-country association between education aid and learning exists only under the four-check qualification §4.2 documents: large enough to matter were every condition robust, but failing the first robustness checks one would run before calling it a fact, and unable to be broken down by intervention type at a resolution that would make it useful. What the paper does establish, without qualification, is descriptive and consequential: enrolment and learning have come apart, and the structural correlates of learning hold steady while the aid coefficient does not. The contested object is the causal link from aid to learning; the solid objects are the divergence itself and the measurement gaps that keep the causal question open. A pre-specified design earns its keep here by turning each unanswerable question into a specific, fixable deficiency in the data infrastructure cross-country aid-learning research runs on.</w:t>
      </w:r>
    </w:p>
    <w:bookmarkEnd w:id="47"/>
    <w:bookmarkStart w:id="48" w:name="Xcc63f47af1d164f75b463bd5586eaf2d9357de0"/>
    <w:p>
      <w:pPr>
        <w:pStyle w:val="Heading1"/>
      </w:pPr>
      <w:r>
        <w:t xml:space="preserve">6. Data-infrastructure and policy implications</w:t>
      </w:r>
    </w:p>
    <w:p>
      <w:pPr>
        <w:pStyle w:val="FirstParagraph"/>
      </w:pPr>
      <w:r>
        <w:t xml:space="preserve">Each constraint maps to a concrete recommendation; taken together they constitute one defensible minimal reporting protocol for cross-country panel evidence on aid effectiveness, rather than a global data-infrastructure mandate that one underpowered panel could earn.</w:t>
      </w:r>
    </w:p>
    <w:p>
      <w:pPr>
        <w:pStyle w:val="BodyText"/>
      </w:pPr>
      <w:r>
        <w:rPr>
          <w:b/>
          <w:bCs/>
        </w:rPr>
        <w:t xml:space="preserve">An intervention-type policy marker in the OECD Creditor Reporting System.</w:t>
      </w:r>
      <w:r>
        <w:t xml:space="preserve"> </w:t>
      </w:r>
      <w:r>
        <w:t xml:space="preserve">The inability to recover intervention composition from CRS metadata is a supply-side problem only the OECD Development Assistance Committee can solve. The CRS data-quality literature has documented adjacent reporting-architecture gaps (donor-side coverage limits, sector-classification heterogeneity, and project-description granularity issues that motivated the creation of supplementary datasets such as AidData</w:t>
      </w:r>
      <w:r>
        <w:t xml:space="preserve"> </w:t>
      </w:r>
      <w:r>
        <w:t xml:space="preserve">(</w:t>
      </w:r>
      <w:hyperlink w:anchor="ref-tierney2011more">
        <w:r>
          <w:rPr>
            <w:rStyle w:val="Hyperlink"/>
          </w:rPr>
          <w:t xml:space="preserve">Tierney et al., 2011</w:t>
        </w:r>
      </w:hyperlink>
      <w:r>
        <w:t xml:space="preserve">)</w:t>
      </w:r>
      <w:r>
        <w:t xml:space="preserve">), but the intervention-type axis is a different problem from these and remains unsolved at the marker layer. An</w:t>
      </w:r>
      <w:r>
        <w:t xml:space="preserve"> </w:t>
      </w:r>
      <w:r>
        <w:t xml:space="preserve">“education intervention type”</w:t>
      </w:r>
      <w:r>
        <w:t xml:space="preserve"> </w:t>
      </w:r>
      <w:r>
        <w:t xml:space="preserve">voluntary policy marker on education purpose codes, using a controlled vocabulary drawn from existing cost-effectiveness guidance and assigned at project-record creation, would follow the established template of the Committee’s gender-equality marker (introduced voluntary in 1997, mandatory in 2007) and its environment and Rio markers. A working vocabulary of six to seven categories derived from the GEEAP Smart Buys catalog</w:t>
      </w:r>
      <w:r>
        <w:t xml:space="preserve"> </w:t>
      </w:r>
      <w:r>
        <w:t xml:space="preserve">(</w:t>
      </w:r>
      <w:hyperlink w:anchor="ref-geeap2023smart">
        <w:r>
          <w:rPr>
            <w:rStyle w:val="Hyperlink"/>
          </w:rPr>
          <w:t xml:space="preserve">Global Education Evidence Advisory Panel (GEEAP), 2023</w:t>
        </w:r>
      </w:hyperlink>
      <w:r>
        <w:t xml:space="preserve">)</w:t>
      </w:r>
      <w:r>
        <w:t xml:space="preserve"> </w:t>
      </w:r>
      <w:r>
        <w:t xml:space="preserve">(structured pedagogy, pedagogical-targeting, individualised tutoring, infrastructure, teacher training, system-strengthening, budget support) is operationally usable today. The marker infrastructure already exists at the DAC; the empirical case for binding-constraint priority is the 39 percent inter-method agreement reported in §4.4. Without intervention-type tagging at project-record creation, cross-country panel work on aid composition remains structurally limited to aid-amount regressions.</w:t>
      </w:r>
    </w:p>
    <w:p>
      <w:pPr>
        <w:pStyle w:val="BodyText"/>
      </w:pPr>
      <w:r>
        <w:rPr>
          <w:b/>
          <w:bCs/>
        </w:rPr>
        <w:t xml:space="preserve">Auditable measurement infrastructure for cross-country learning outcomes.</w:t>
      </w:r>
      <w:r>
        <w:t xml:space="preserve"> </w:t>
      </w:r>
      <w:r>
        <w:t xml:space="preserve">The measure-dependence of the headline argues for auditable measurement infrastructure. The institutions that produce the harmonized learning series, the World Bank Human Capital Project in partnership with the upstream assessment consortia (TIMSS, PIRLS, SACMEQ, PASEC, LLECE, EGRA), should publicly release the assessment-by-assessment linking decisions underlying the harmonization, so that an external researcher can reconstruct or contest the harmonization choices that shape a within-country coefficient. Journals publishing cross-country panel evidence on aid effectiveness can reasonably expect headline coefficients reported under at least two harmonized measures, with</w:t>
      </w:r>
      <w:r>
        <w:t xml:space="preserve"> </w:t>
      </w:r>
      <w:r>
        <w:rPr>
          <w:i/>
          <w:iCs/>
        </w:rPr>
        <w:t xml:space="preserve">World Development</w:t>
      </w:r>
      <w:r>
        <w:t xml:space="preserve">, the</w:t>
      </w:r>
      <w:r>
        <w:t xml:space="preserve"> </w:t>
      </w:r>
      <w:r>
        <w:rPr>
          <w:i/>
          <w:iCs/>
        </w:rPr>
        <w:t xml:space="preserve">Journal of Development Studies</w:t>
      </w:r>
      <w:r>
        <w:t xml:space="preserve">, and the</w:t>
      </w:r>
      <w:r>
        <w:t xml:space="preserve"> </w:t>
      </w:r>
      <w:r>
        <w:rPr>
          <w:i/>
          <w:iCs/>
        </w:rPr>
        <w:t xml:space="preserve">Journal of Development Economics</w:t>
      </w:r>
      <w:r>
        <w:t xml:space="preserve"> </w:t>
      </w:r>
      <w:r>
        <w:t xml:space="preserve">as the natural sites, on the model of the reproducibility requirements that reshaped practice in economics over the past decade. The §4.6 measure-fragility sensitivity is the empirical case for a complementary funded benchmarking exercise comparing the harmonization decisions of the WB HCI HLOS and AAP-2018 series on a common country set.</w:t>
      </w:r>
    </w:p>
    <w:p>
      <w:pPr>
        <w:pStyle w:val="BodyText"/>
      </w:pPr>
      <w:r>
        <w:rPr>
          <w:b/>
          <w:bCs/>
        </w:rPr>
        <w:t xml:space="preserve">Missingness-disclosure as a routine condition of cross-country panel publication.</w:t>
      </w:r>
      <w:r>
        <w:t xml:space="preserve"> </w:t>
      </w:r>
      <w:r>
        <w:t xml:space="preserve">The missingness finding argues for a routine completeness-disclosure standard as a condition of cross-country panel publication: report the production-panel MCAR test result with its statistic and p-value; report the listwise-deletion robustness alongside the primary specification, with point estimates and confidence intervals; and, where multiple imputation is used, justify the MAR assumption against that test. Where MCAR is rejected and MAR cannot be defended on the data, the disclosure should document the retirement of MI as a robustness check on those grounds. One journal editor’s decision implements this standard:</w:t>
      </w:r>
      <w:r>
        <w:t xml:space="preserve"> </w:t>
      </w:r>
      <w:r>
        <w:rPr>
          <w:i/>
          <w:iCs/>
        </w:rPr>
        <w:t xml:space="preserve">World Development</w:t>
      </w:r>
      <w:r>
        <w:t xml:space="preserve"> </w:t>
      </w:r>
      <w:r>
        <w:t xml:space="preserve">editorial leadership could add a missingness-disclosure clause to the journal’s submission requirements for econometric analyses; the Berkeley Initiative for Transparency in the Social Sciences could adopt the same standard as a TIER protocol extension. The cost to authors is one additional command in any major statistical package; the gain is that the field stops carrying imputation-based estimates whose validity rests on an assumption the data refute.</w:t>
      </w:r>
    </w:p>
    <w:p>
      <w:pPr>
        <w:pStyle w:val="BodyText"/>
      </w:pPr>
      <w:r>
        <w:rPr>
          <w:b/>
          <w:bCs/>
        </w:rPr>
        <w:t xml:space="preserve">Structural determinants in donor allocation models.</w:t>
      </w:r>
      <w:r>
        <w:t xml:space="preserve"> </w:t>
      </w:r>
      <w:r>
        <w:t xml:space="preserve">Within the limits of the within-country specification, the structural correlates of learning (governance quality measured by the WGI principal component, conflict exposure, and early-childhood public investment) are more stable across alternative specifications than the aid coefficient itself. This is a statement about predictive stability, not about causal allocation criteria. It implies only that descriptive allocation models would benefit from giving these covariates explicit weight, as a recognition of where the more stable signal in the panel lies, rather than a prescription about which countries to fund. The recommendation is that allocation models</w:t>
      </w:r>
      <w:r>
        <w:t xml:space="preserve"> </w:t>
      </w:r>
      <w:r>
        <w:rPr>
          <w:i/>
          <w:iCs/>
        </w:rPr>
        <w:t xml:space="preserve">include</w:t>
      </w:r>
      <w:r>
        <w:t xml:space="preserve"> </w:t>
      </w:r>
      <w:r>
        <w:t xml:space="preserve">the structural variables, not that they</w:t>
      </w:r>
      <w:r>
        <w:t xml:space="preserve"> </w:t>
      </w:r>
      <w:r>
        <w:rPr>
          <w:i/>
          <w:iCs/>
        </w:rPr>
        <w:t xml:space="preserve">act on</w:t>
      </w:r>
      <w:r>
        <w:t xml:space="preserve"> </w:t>
      </w:r>
      <w:r>
        <w:t xml:space="preserve">them in any prescriptive direction; a country with low governance scores is not therefore an unsuitable aid recipient, just one where the donor model would benefit from acknowledging governance as a primary predictor of the outcome rather than treating learning variation as residual.</w:t>
      </w:r>
    </w:p>
    <w:bookmarkEnd w:id="48"/>
    <w:bookmarkStart w:id="49" w:name="conclusion"/>
    <w:p>
      <w:pPr>
        <w:pStyle w:val="Heading1"/>
      </w:pPr>
      <w:r>
        <w:t xml:space="preserve">7. Conclusion</w:t>
      </w:r>
    </w:p>
    <w:p>
      <w:pPr>
        <w:pStyle w:val="FirstParagraph"/>
      </w:pPr>
      <w:r>
        <w:t xml:space="preserve">The paper set out to ask whether education aid predicts learning across countries and, more to the point, how much the answer depends on the choices made before the data are seen. Under a pre-specified design, a within-country fixed-effects model appears to deliver a positive association of about eleven HLO points on the World Bank measure (β = +11.14, p = 0.048; N = 143). The four pre-specified robustness checks of §4.2 break that coefficient, and two further pre-specified commitments (the typology drop in §4.4 and the multiple-imputation retirement in §4.6) bite alongside them.</w:t>
      </w:r>
    </w:p>
    <w:p>
      <w:pPr>
        <w:pStyle w:val="BodyText"/>
      </w:pPr>
      <w:r>
        <w:t xml:space="preserve">The paper does not identify a causal effect. A static fixed-effects model on a four-cycle panel is what the data shape allows. The Arellano-Bond dynamic-panel and the Dumitrescu-Hurlin Granger steps the identification plan called for are infeasible on T_eff ≤ 4, and both are closed honestly rather than swapped for proxies that would look like more. The Nickell</w:t>
      </w:r>
      <w:r>
        <w:t xml:space="preserve"> </w:t>
      </w:r>
      <w:r>
        <w:t xml:space="preserve">(</w:t>
      </w:r>
      <w:hyperlink w:anchor="ref-nickell1981biases">
        <w:r>
          <w:rPr>
            <w:rStyle w:val="Hyperlink"/>
          </w:rPr>
          <w:t xml:space="preserve">1981</w:t>
        </w:r>
      </w:hyperlink>
      <w:r>
        <w:t xml:space="preserve">)</w:t>
      </w:r>
      <w:r>
        <w:t xml:space="preserve"> </w:t>
      </w:r>
      <w:r>
        <w:t xml:space="preserve">bias concern does not arise because the specification carries no lagged dependent variable; the binding short-T concern is the imprecision the four checks above document. What the design offers is a calibrated account along one well-specified path through the design space: a precise statement of what this class of evidence can and cannot claim now, and the four §6 recommendations that would change what it can claim. Each unanswerable question, fixed in advance, became a finding for the field instead of a footnote for the author. The map this paper draws is not complete; it traces one well-traveled path through the design space</w:t>
      </w:r>
      <w:r>
        <w:t xml:space="preserve"> </w:t>
      </w:r>
      <w:r>
        <w:t xml:space="preserve">(</w:t>
      </w:r>
      <w:hyperlink w:anchor="ref-deaton2018rcts">
        <w:r>
          <w:rPr>
            <w:rStyle w:val="Hyperlink"/>
          </w:rPr>
          <w:t xml:space="preserve">Deaton &amp; Cartwright, 2018</w:t>
        </w:r>
      </w:hyperlink>
      <w:r>
        <w:t xml:space="preserve">;</w:t>
      </w:r>
      <w:r>
        <w:t xml:space="preserve"> </w:t>
      </w:r>
      <w:hyperlink w:anchor="ref-sandefur2018internationally">
        <w:r>
          <w:rPr>
            <w:rStyle w:val="Hyperlink"/>
          </w:rPr>
          <w:t xml:space="preserve">Sandefur, 2018</w:t>
        </w:r>
      </w:hyperlink>
      <w:r>
        <w:t xml:space="preserve">;</w:t>
      </w:r>
      <w:r>
        <w:t xml:space="preserve"> </w:t>
      </w:r>
      <w:hyperlink w:anchor="ref-vivalt2020generalize">
        <w:r>
          <w:rPr>
            <w:rStyle w:val="Hyperlink"/>
          </w:rPr>
          <w:t xml:space="preserve">Vivalt, 2020</w:t>
        </w:r>
      </w:hyperlink>
      <w:r>
        <w:t xml:space="preserve">)</w:t>
      </w:r>
      <w:r>
        <w:t xml:space="preserve">, with the routes it cannot yet defend marked where it leaves them.</w:t>
      </w:r>
    </w:p>
    <w:bookmarkEnd w:id="49"/>
    <w:bookmarkStart w:id="52" w:name="data-and-code-availability"/>
    <w:p>
      <w:pPr>
        <w:pStyle w:val="Heading1"/>
      </w:pPr>
      <w:r>
        <w:t xml:space="preserve">Data and code availability</w:t>
      </w:r>
    </w:p>
    <w:p>
      <w:pPr>
        <w:pStyle w:val="FirstParagraph"/>
      </w:pPr>
      <w:r>
        <w:t xml:space="preserve">The full analytical code (R, with a locked dependency manifest), the canonical analytical panel, the twelve pre-analysis plans (PAP-0001 through PAP-0012), the methodology documentation, the variable dictionary, and the full Model 1, Model 2, Model 3, and Model 5 spec progressions, the Chinese-aid and UIS-augmented-listwise robustness tables, the Dumitrescu-Hurlin Granger output, and the rendered manuscript are available at the project’s Git repository (</w:t>
      </w:r>
      <w:hyperlink r:id="rId50">
        <w:r>
          <w:rPr>
            <w:rStyle w:val="Hyperlink"/>
          </w:rPr>
          <w:t xml:space="preserve">https://github.com/shotazurabishvili/AID</w:t>
        </w:r>
      </w:hyperlink>
      <w:r>
        <w:t xml:space="preserve">) and archived at the Open Science Framework under DOI (</w:t>
      </w:r>
      <w:hyperlink r:id="rId51">
        <w:r>
          <w:rPr>
            <w:rStyle w:val="Hyperlink"/>
          </w:rPr>
          <w:t xml:space="preserve">https://doi.org/10.17605/OSF.IO/JRBT8</w:t>
        </w:r>
      </w:hyperlink>
      <w:r>
        <w:t xml:space="preserve">). Raw data sources used in the analysis are publicly available via their upstream portals (OECD CRS, World Bank HCI/HLOS, World Development Indicators, Worldwide Governance Indicators, UCDP/PRIO Armed Conflict Dataset, UNESCO COVID-19 daily school-closure time series, UNESCO Institute for Statistics finance indicators, AidData Global Chinese Development Finance v3.0); URLs and pinned indicator codes are documented in the deposited variable dictionary. The pre-analysis plans are timestamped through the public Git commit history; researchers extending this design are encouraged to deposit equivalent plans in a third-party study registry such as the Open Science Framework for independent timestamping.</w:t>
      </w:r>
    </w:p>
    <w:bookmarkEnd w:id="52"/>
    <w:bookmarkStart w:id="104" w:name="references"/>
    <w:p>
      <w:pPr>
        <w:pStyle w:val="Heading1"/>
      </w:pPr>
      <w:r>
        <w:t xml:space="preserve">References</w:t>
      </w:r>
    </w:p>
    <w:bookmarkStart w:id="103" w:name="refs"/>
    <w:bookmarkStart w:id="54" w:name="ref-altinok2018global"/>
    <w:p>
      <w:pPr>
        <w:pStyle w:val="Bibliography"/>
      </w:pPr>
      <w:r>
        <w:t xml:space="preserve">Altinok, N., Angrist, N., &amp; Patrinos, H. A. (2018).</w:t>
      </w:r>
      <w:r>
        <w:t xml:space="preserve"> </w:t>
      </w:r>
      <w:r>
        <w:rPr>
          <w:i/>
          <w:iCs/>
        </w:rPr>
        <w:t xml:space="preserve">Global data set on education quality (1965–2015)</w:t>
      </w:r>
      <w:r>
        <w:t xml:space="preserve"> </w:t>
      </w:r>
      <w:r>
        <w:t xml:space="preserve">(World Bank Policy Research Working Paper No. 8314). World Bank.</w:t>
      </w:r>
      <w:r>
        <w:t xml:space="preserve"> </w:t>
      </w:r>
      <w:hyperlink r:id="rId53">
        <w:r>
          <w:rPr>
            <w:rStyle w:val="Hyperlink"/>
          </w:rPr>
          <w:t xml:space="preserve">https://doi.org/10.1596/1813-9450-8314</w:t>
        </w:r>
      </w:hyperlink>
    </w:p>
    <w:bookmarkEnd w:id="54"/>
    <w:bookmarkStart w:id="56" w:name="ref-birchler2016making"/>
    <w:p>
      <w:pPr>
        <w:pStyle w:val="Bibliography"/>
      </w:pPr>
      <w:r>
        <w:t xml:space="preserve">Birchler, K., &amp; Michaelowa, K. (2016). Making aid work for education in developing countries: An analysis of aid effectiveness for primary education coverage and quality.</w:t>
      </w:r>
      <w:r>
        <w:t xml:space="preserve"> </w:t>
      </w:r>
      <w:r>
        <w:rPr>
          <w:i/>
          <w:iCs/>
        </w:rPr>
        <w:t xml:space="preserve">International Journal of Educational Development</w:t>
      </w:r>
      <w:r>
        <w:t xml:space="preserve">,</w:t>
      </w:r>
      <w:r>
        <w:t xml:space="preserve"> </w:t>
      </w:r>
      <w:r>
        <w:rPr>
          <w:i/>
          <w:iCs/>
        </w:rPr>
        <w:t xml:space="preserve">48</w:t>
      </w:r>
      <w:r>
        <w:t xml:space="preserve">, 37–52.</w:t>
      </w:r>
      <w:r>
        <w:t xml:space="preserve"> </w:t>
      </w:r>
      <w:hyperlink r:id="rId55">
        <w:r>
          <w:rPr>
            <w:rStyle w:val="Hyperlink"/>
          </w:rPr>
          <w:t xml:space="preserve">https://doi.org/10.1016/j.ijedudev.2015.11.008</w:t>
        </w:r>
      </w:hyperlink>
    </w:p>
    <w:bookmarkEnd w:id="56"/>
    <w:bookmarkStart w:id="58" w:name="ref-bond2002dynamic"/>
    <w:p>
      <w:pPr>
        <w:pStyle w:val="Bibliography"/>
      </w:pPr>
      <w:r>
        <w:t xml:space="preserve">Bond, S. R. (2002). Dynamic panel data models: A guide to micro data methods and practice.</w:t>
      </w:r>
      <w:r>
        <w:t xml:space="preserve"> </w:t>
      </w:r>
      <w:r>
        <w:rPr>
          <w:i/>
          <w:iCs/>
        </w:rPr>
        <w:t xml:space="preserve">Portuguese Economic Journal</w:t>
      </w:r>
      <w:r>
        <w:t xml:space="preserve">,</w:t>
      </w:r>
      <w:r>
        <w:t xml:space="preserve"> </w:t>
      </w:r>
      <w:r>
        <w:rPr>
          <w:i/>
          <w:iCs/>
        </w:rPr>
        <w:t xml:space="preserve">1</w:t>
      </w:r>
      <w:r>
        <w:t xml:space="preserve">(2), 141–162.</w:t>
      </w:r>
      <w:r>
        <w:t xml:space="preserve"> </w:t>
      </w:r>
      <w:hyperlink r:id="rId57">
        <w:r>
          <w:rPr>
            <w:rStyle w:val="Hyperlink"/>
          </w:rPr>
          <w:t xml:space="preserve">https://doi.org/10.1007/s10258-002-0009-9</w:t>
        </w:r>
      </w:hyperlink>
    </w:p>
    <w:bookmarkEnd w:id="58"/>
    <w:bookmarkStart w:id="60" w:name="ref-burnside2000aid"/>
    <w:p>
      <w:pPr>
        <w:pStyle w:val="Bibliography"/>
      </w:pPr>
      <w:r>
        <w:t xml:space="preserve">Burnside, C., &amp; Dollar, D. (2000). Aid, policies, and growth.</w:t>
      </w:r>
      <w:r>
        <w:t xml:space="preserve"> </w:t>
      </w:r>
      <w:r>
        <w:rPr>
          <w:i/>
          <w:iCs/>
        </w:rPr>
        <w:t xml:space="preserve">American Economic Review</w:t>
      </w:r>
      <w:r>
        <w:t xml:space="preserve">,</w:t>
      </w:r>
      <w:r>
        <w:t xml:space="preserve"> </w:t>
      </w:r>
      <w:r>
        <w:rPr>
          <w:i/>
          <w:iCs/>
        </w:rPr>
        <w:t xml:space="preserve">90</w:t>
      </w:r>
      <w:r>
        <w:t xml:space="preserve">(4), 847–868.</w:t>
      </w:r>
      <w:r>
        <w:t xml:space="preserve"> </w:t>
      </w:r>
      <w:hyperlink r:id="rId59">
        <w:r>
          <w:rPr>
            <w:rStyle w:val="Hyperlink"/>
          </w:rPr>
          <w:t xml:space="preserve">https://doi.org/10.1257/aer.90.4.847</w:t>
        </w:r>
      </w:hyperlink>
    </w:p>
    <w:bookmarkEnd w:id="60"/>
    <w:bookmarkStart w:id="62" w:name="ref-carrhill2013missing"/>
    <w:p>
      <w:pPr>
        <w:pStyle w:val="Bibliography"/>
      </w:pPr>
      <w:r>
        <w:t xml:space="preserve">Carr-Hill, R. (2013). Missing millions and measuring development progress.</w:t>
      </w:r>
      <w:r>
        <w:t xml:space="preserve"> </w:t>
      </w:r>
      <w:r>
        <w:rPr>
          <w:i/>
          <w:iCs/>
        </w:rPr>
        <w:t xml:space="preserve">World Development</w:t>
      </w:r>
      <w:r>
        <w:t xml:space="preserve">,</w:t>
      </w:r>
      <w:r>
        <w:t xml:space="preserve"> </w:t>
      </w:r>
      <w:r>
        <w:rPr>
          <w:i/>
          <w:iCs/>
        </w:rPr>
        <w:t xml:space="preserve">46</w:t>
      </w:r>
      <w:r>
        <w:t xml:space="preserve">, 30–44.</w:t>
      </w:r>
      <w:r>
        <w:t xml:space="preserve"> </w:t>
      </w:r>
      <w:hyperlink r:id="rId61">
        <w:r>
          <w:rPr>
            <w:rStyle w:val="Hyperlink"/>
          </w:rPr>
          <w:t xml:space="preserve">https://doi.org/10.1016/j.worlddev.2012.12.017</w:t>
        </w:r>
      </w:hyperlink>
    </w:p>
    <w:bookmarkEnd w:id="62"/>
    <w:bookmarkStart w:id="64" w:name="ref-clemens2012counting"/>
    <w:p>
      <w:pPr>
        <w:pStyle w:val="Bibliography"/>
      </w:pPr>
      <w:r>
        <w:t xml:space="preserve">Clemens, M. A., Radelet, S., Bhavnani, R. R., &amp; Bazzi, S. (2012). Counting chickens when they hatch: Timing and the effects of aid on growth.</w:t>
      </w:r>
      <w:r>
        <w:t xml:space="preserve"> </w:t>
      </w:r>
      <w:r>
        <w:rPr>
          <w:i/>
          <w:iCs/>
        </w:rPr>
        <w:t xml:space="preserve">Economic Journal</w:t>
      </w:r>
      <w:r>
        <w:t xml:space="preserve">,</w:t>
      </w:r>
      <w:r>
        <w:t xml:space="preserve"> </w:t>
      </w:r>
      <w:r>
        <w:rPr>
          <w:i/>
          <w:iCs/>
        </w:rPr>
        <w:t xml:space="preserve">122</w:t>
      </w:r>
      <w:r>
        <w:t xml:space="preserve">(561), 590–617.</w:t>
      </w:r>
      <w:r>
        <w:t xml:space="preserve"> </w:t>
      </w:r>
      <w:hyperlink r:id="rId63">
        <w:r>
          <w:rPr>
            <w:rStyle w:val="Hyperlink"/>
          </w:rPr>
          <w:t xml:space="preserve">https://doi.org/10.1111/j.1468-0297.2011.02482.x</w:t>
        </w:r>
      </w:hyperlink>
    </w:p>
    <w:bookmarkEnd w:id="64"/>
    <w:bookmarkStart w:id="66" w:name="ref-deaton2018rcts"/>
    <w:p>
      <w:pPr>
        <w:pStyle w:val="Bibliography"/>
      </w:pPr>
      <w:r>
        <w:t xml:space="preserve">Deaton, A., &amp; Cartwright, N. (2018). Understanding and misunderstanding randomized controlled trials.</w:t>
      </w:r>
      <w:r>
        <w:t xml:space="preserve"> </w:t>
      </w:r>
      <w:r>
        <w:rPr>
          <w:i/>
          <w:iCs/>
        </w:rPr>
        <w:t xml:space="preserve">Social Science &amp; Medicine</w:t>
      </w:r>
      <w:r>
        <w:t xml:space="preserve">,</w:t>
      </w:r>
      <w:r>
        <w:t xml:space="preserve"> </w:t>
      </w:r>
      <w:r>
        <w:rPr>
          <w:i/>
          <w:iCs/>
        </w:rPr>
        <w:t xml:space="preserve">210</w:t>
      </w:r>
      <w:r>
        <w:t xml:space="preserve">, 2–21.</w:t>
      </w:r>
      <w:r>
        <w:t xml:space="preserve"> </w:t>
      </w:r>
      <w:hyperlink r:id="rId65">
        <w:r>
          <w:rPr>
            <w:rStyle w:val="Hyperlink"/>
          </w:rPr>
          <w:t xml:space="preserve">https://doi.org/10.1016/j.socscimed.2017.12.005</w:t>
        </w:r>
      </w:hyperlink>
    </w:p>
    <w:bookmarkEnd w:id="66"/>
    <w:bookmarkStart w:id="68" w:name="ref-dreher2008does"/>
    <w:p>
      <w:pPr>
        <w:pStyle w:val="Bibliography"/>
      </w:pPr>
      <w:r>
        <w:t xml:space="preserve">Dreher, A., Nunnenkamp, P., &amp; Thiele, R. (2008). Does aid for education educate children? Evidence from panel data.</w:t>
      </w:r>
      <w:r>
        <w:t xml:space="preserve"> </w:t>
      </w:r>
      <w:r>
        <w:rPr>
          <w:i/>
          <w:iCs/>
        </w:rPr>
        <w:t xml:space="preserve">World Bank Economic Review</w:t>
      </w:r>
      <w:r>
        <w:t xml:space="preserve">,</w:t>
      </w:r>
      <w:r>
        <w:t xml:space="preserve"> </w:t>
      </w:r>
      <w:r>
        <w:rPr>
          <w:i/>
          <w:iCs/>
        </w:rPr>
        <w:t xml:space="preserve">22</w:t>
      </w:r>
      <w:r>
        <w:t xml:space="preserve">(2), 291–314.</w:t>
      </w:r>
      <w:r>
        <w:t xml:space="preserve"> </w:t>
      </w:r>
      <w:hyperlink r:id="rId67">
        <w:r>
          <w:rPr>
            <w:rStyle w:val="Hyperlink"/>
          </w:rPr>
          <w:t xml:space="preserve">https://doi.org/10.1093/wber/lhn003</w:t>
        </w:r>
      </w:hyperlink>
    </w:p>
    <w:bookmarkEnd w:id="68"/>
    <w:bookmarkStart w:id="70" w:name="ref-easterly2004aid"/>
    <w:p>
      <w:pPr>
        <w:pStyle w:val="Bibliography"/>
      </w:pPr>
      <w:r>
        <w:t xml:space="preserve">Easterly, W., Levine, R., &amp; Roodman, D. (2004). Aid, policies, and growth: comment.</w:t>
      </w:r>
      <w:r>
        <w:t xml:space="preserve"> </w:t>
      </w:r>
      <w:r>
        <w:rPr>
          <w:i/>
          <w:iCs/>
        </w:rPr>
        <w:t xml:space="preserve">American Economic Review</w:t>
      </w:r>
      <w:r>
        <w:t xml:space="preserve">,</w:t>
      </w:r>
      <w:r>
        <w:t xml:space="preserve"> </w:t>
      </w:r>
      <w:r>
        <w:rPr>
          <w:i/>
          <w:iCs/>
        </w:rPr>
        <w:t xml:space="preserve">94</w:t>
      </w:r>
      <w:r>
        <w:t xml:space="preserve">(3), 774–780.</w:t>
      </w:r>
      <w:r>
        <w:t xml:space="preserve"> </w:t>
      </w:r>
      <w:hyperlink r:id="rId69">
        <w:r>
          <w:rPr>
            <w:rStyle w:val="Hyperlink"/>
          </w:rPr>
          <w:t xml:space="preserve">https://doi.org/10.1257/0002828041464560</w:t>
        </w:r>
      </w:hyperlink>
    </w:p>
    <w:bookmarkEnd w:id="70"/>
    <w:bookmarkStart w:id="72" w:name="ref-filmer2020lays"/>
    <w:p>
      <w:pPr>
        <w:pStyle w:val="Bibliography"/>
      </w:pPr>
      <w:r>
        <w:t xml:space="preserve">Filmer, D., Rogers, H., Angrist, N., &amp; Sabarwal, S. (2020). Learning-adjusted years of schooling (</w:t>
      </w:r>
      <w:r>
        <w:t xml:space="preserve">LAYS</w:t>
      </w:r>
      <w:r>
        <w:t xml:space="preserve">): Defining a new macro measure of education.</w:t>
      </w:r>
      <w:r>
        <w:t xml:space="preserve"> </w:t>
      </w:r>
      <w:r>
        <w:rPr>
          <w:i/>
          <w:iCs/>
        </w:rPr>
        <w:t xml:space="preserve">Economics of Education Review</w:t>
      </w:r>
      <w:r>
        <w:t xml:space="preserve">,</w:t>
      </w:r>
      <w:r>
        <w:t xml:space="preserve"> </w:t>
      </w:r>
      <w:r>
        <w:rPr>
          <w:i/>
          <w:iCs/>
        </w:rPr>
        <w:t xml:space="preserve">77</w:t>
      </w:r>
      <w:r>
        <w:t xml:space="preserve">, 101971.</w:t>
      </w:r>
      <w:r>
        <w:t xml:space="preserve"> </w:t>
      </w:r>
      <w:hyperlink r:id="rId71">
        <w:r>
          <w:rPr>
            <w:rStyle w:val="Hyperlink"/>
          </w:rPr>
          <w:t xml:space="preserve">https://doi.org/10.1016/j.econedurev.2020.101971</w:t>
        </w:r>
      </w:hyperlink>
    </w:p>
    <w:bookmarkEnd w:id="72"/>
    <w:bookmarkStart w:id="74" w:name="ref-glewwe2016improving"/>
    <w:p>
      <w:pPr>
        <w:pStyle w:val="Bibliography"/>
      </w:pPr>
      <w:r>
        <w:t xml:space="preserve">Glewwe, P., &amp; Muralidharan, K. (2016). Improving education outcomes in developing countries: Evidence, knowledge gaps, and policy implications. In E. A. Hanushek, S. Machin, &amp; L. Woessmann (Eds.),</w:t>
      </w:r>
      <w:r>
        <w:t xml:space="preserve"> </w:t>
      </w:r>
      <w:r>
        <w:rPr>
          <w:i/>
          <w:iCs/>
        </w:rPr>
        <w:t xml:space="preserve">Handbook of the economics of education</w:t>
      </w:r>
      <w:r>
        <w:t xml:space="preserve"> </w:t>
      </w:r>
      <w:r>
        <w:t xml:space="preserve">(Vol. 5, pp. 653–743). Elsevier.</w:t>
      </w:r>
      <w:r>
        <w:t xml:space="preserve"> </w:t>
      </w:r>
      <w:hyperlink r:id="rId73">
        <w:r>
          <w:rPr>
            <w:rStyle w:val="Hyperlink"/>
          </w:rPr>
          <w:t xml:space="preserve">https://doi.org/10.1016/B978-0-444-63459-7.00010-5</w:t>
        </w:r>
      </w:hyperlink>
    </w:p>
    <w:bookmarkEnd w:id="74"/>
    <w:bookmarkStart w:id="75" w:name="ref-geeap2023smart"/>
    <w:p>
      <w:pPr>
        <w:pStyle w:val="Bibliography"/>
      </w:pPr>
      <w:r>
        <w:t xml:space="preserve">Global Education Evidence Advisory Panel (GEEAP). (2023).</w:t>
      </w:r>
      <w:r>
        <w:t xml:space="preserve"> </w:t>
      </w:r>
      <w:r>
        <w:rPr>
          <w:i/>
          <w:iCs/>
        </w:rPr>
        <w:t xml:space="preserve">Cost-effective approaches to improve global learning: What does recent evidence tell us are</w:t>
      </w:r>
      <w:r>
        <w:rPr>
          <w:i/>
          <w:iCs/>
        </w:rPr>
        <w:t xml:space="preserve"> </w:t>
      </w:r>
      <w:r>
        <w:rPr>
          <w:i/>
          <w:iCs/>
        </w:rPr>
        <w:t xml:space="preserve">“</w:t>
      </w:r>
      <w:r>
        <w:rPr>
          <w:i/>
          <w:iCs/>
        </w:rPr>
        <w:t xml:space="preserve">Smart Buys</w:t>
      </w:r>
      <w:r>
        <w:rPr>
          <w:i/>
          <w:iCs/>
        </w:rPr>
        <w:t xml:space="preserve">”</w:t>
      </w:r>
      <w:r>
        <w:rPr>
          <w:i/>
          <w:iCs/>
        </w:rPr>
        <w:t xml:space="preserve"> </w:t>
      </w:r>
      <w:r>
        <w:rPr>
          <w:i/>
          <w:iCs/>
        </w:rPr>
        <w:t xml:space="preserve">for improving learning in low- and middle-income countries?</w:t>
      </w:r>
      <w:r>
        <w:t xml:space="preserve"> World Bank &amp; Foreign, Commonwealth &amp; Development Office.</w:t>
      </w:r>
    </w:p>
    <w:bookmarkEnd w:id="75"/>
    <w:bookmarkStart w:id="77" w:name="ref-hanushek2003failure"/>
    <w:p>
      <w:pPr>
        <w:pStyle w:val="Bibliography"/>
      </w:pPr>
      <w:r>
        <w:t xml:space="preserve">Hanushek, E. A. (2003). The failure of input-based schooling policies.</w:t>
      </w:r>
      <w:r>
        <w:t xml:space="preserve"> </w:t>
      </w:r>
      <w:r>
        <w:rPr>
          <w:i/>
          <w:iCs/>
        </w:rPr>
        <w:t xml:space="preserve">Economic Journal</w:t>
      </w:r>
      <w:r>
        <w:t xml:space="preserve">,</w:t>
      </w:r>
      <w:r>
        <w:t xml:space="preserve"> </w:t>
      </w:r>
      <w:r>
        <w:rPr>
          <w:i/>
          <w:iCs/>
        </w:rPr>
        <w:t xml:space="preserve">113</w:t>
      </w:r>
      <w:r>
        <w:t xml:space="preserve">(485), F64–F98.</w:t>
      </w:r>
      <w:r>
        <w:t xml:space="preserve"> </w:t>
      </w:r>
      <w:hyperlink r:id="rId76">
        <w:r>
          <w:rPr>
            <w:rStyle w:val="Hyperlink"/>
          </w:rPr>
          <w:t xml:space="preserve">https://doi.org/10.1111/1468-0297.00099</w:t>
        </w:r>
      </w:hyperlink>
    </w:p>
    <w:bookmarkEnd w:id="77"/>
    <w:bookmarkStart w:id="79" w:name="ref-hanushek2008role"/>
    <w:p>
      <w:pPr>
        <w:pStyle w:val="Bibliography"/>
      </w:pPr>
      <w:r>
        <w:t xml:space="preserve">Hanushek, E. A., &amp; Woessmann, L. (2008). The role of cognitive skills in economic development.</w:t>
      </w:r>
      <w:r>
        <w:t xml:space="preserve"> </w:t>
      </w:r>
      <w:r>
        <w:rPr>
          <w:i/>
          <w:iCs/>
        </w:rPr>
        <w:t xml:space="preserve">Journal of Economic Literature</w:t>
      </w:r>
      <w:r>
        <w:t xml:space="preserve">,</w:t>
      </w:r>
      <w:r>
        <w:t xml:space="preserve"> </w:t>
      </w:r>
      <w:r>
        <w:rPr>
          <w:i/>
          <w:iCs/>
        </w:rPr>
        <w:t xml:space="preserve">46</w:t>
      </w:r>
      <w:r>
        <w:t xml:space="preserve">(3), 607–668.</w:t>
      </w:r>
      <w:r>
        <w:t xml:space="preserve"> </w:t>
      </w:r>
      <w:hyperlink r:id="rId78">
        <w:r>
          <w:rPr>
            <w:rStyle w:val="Hyperlink"/>
          </w:rPr>
          <w:t xml:space="preserve">https://doi.org/10.1257/jel.46.3.607</w:t>
        </w:r>
      </w:hyperlink>
    </w:p>
    <w:bookmarkEnd w:id="79"/>
    <w:bookmarkStart w:id="81" w:name="ref-hanushek2015knowledge"/>
    <w:p>
      <w:pPr>
        <w:pStyle w:val="Bibliography"/>
      </w:pPr>
      <w:r>
        <w:t xml:space="preserve">Hanushek, E. A., &amp; Woessmann, L. (2015).</w:t>
      </w:r>
      <w:r>
        <w:t xml:space="preserve"> </w:t>
      </w:r>
      <w:r>
        <w:rPr>
          <w:i/>
          <w:iCs/>
        </w:rPr>
        <w:t xml:space="preserve">Universal basic skills: What countries stand to gain</w:t>
      </w:r>
      <w:r>
        <w:t xml:space="preserve">.</w:t>
      </w:r>
      <w:r>
        <w:t xml:space="preserve"> </w:t>
      </w:r>
      <w:hyperlink r:id="rId80">
        <w:r>
          <w:rPr>
            <w:rStyle w:val="Hyperlink"/>
          </w:rPr>
          <w:t xml:space="preserve">https://doi.org/10.1787/9789264234833-en</w:t>
        </w:r>
      </w:hyperlink>
    </w:p>
    <w:bookmarkEnd w:id="81"/>
    <w:bookmarkStart w:id="83" w:name="ref-langbein2010governance"/>
    <w:p>
      <w:pPr>
        <w:pStyle w:val="Bibliography"/>
      </w:pPr>
      <w:r>
        <w:t xml:space="preserve">Langbein, L., &amp; Knack, S. (2010). The</w:t>
      </w:r>
      <w:r>
        <w:t xml:space="preserve"> </w:t>
      </w:r>
      <w:r>
        <w:t xml:space="preserve">Worldwide Governance Indicators</w:t>
      </w:r>
      <w:r>
        <w:t xml:space="preserve">: Six, one, or none?</w:t>
      </w:r>
      <w:r>
        <w:t xml:space="preserve"> </w:t>
      </w:r>
      <w:r>
        <w:rPr>
          <w:i/>
          <w:iCs/>
        </w:rPr>
        <w:t xml:space="preserve">Journal of Development Studies</w:t>
      </w:r>
      <w:r>
        <w:t xml:space="preserve">,</w:t>
      </w:r>
      <w:r>
        <w:t xml:space="preserve"> </w:t>
      </w:r>
      <w:r>
        <w:rPr>
          <w:i/>
          <w:iCs/>
        </w:rPr>
        <w:t xml:space="preserve">46</w:t>
      </w:r>
      <w:r>
        <w:t xml:space="preserve">(2), 350–370.</w:t>
      </w:r>
      <w:r>
        <w:t xml:space="preserve"> </w:t>
      </w:r>
      <w:hyperlink r:id="rId82">
        <w:r>
          <w:rPr>
            <w:rStyle w:val="Hyperlink"/>
          </w:rPr>
          <w:t xml:space="preserve">https://doi.org/10.1080/00220380902952399</w:t>
        </w:r>
      </w:hyperlink>
    </w:p>
    <w:bookmarkEnd w:id="83"/>
    <w:bookmarkStart w:id="85" w:name="ref-nickell1981biases"/>
    <w:p>
      <w:pPr>
        <w:pStyle w:val="Bibliography"/>
      </w:pPr>
      <w:r>
        <w:t xml:space="preserve">Nickell, S. J. (1981). Biases in dynamic models with fixed effects.</w:t>
      </w:r>
      <w:r>
        <w:t xml:space="preserve"> </w:t>
      </w:r>
      <w:r>
        <w:rPr>
          <w:i/>
          <w:iCs/>
        </w:rPr>
        <w:t xml:space="preserve">Econometrica</w:t>
      </w:r>
      <w:r>
        <w:t xml:space="preserve">,</w:t>
      </w:r>
      <w:r>
        <w:t xml:space="preserve"> </w:t>
      </w:r>
      <w:r>
        <w:rPr>
          <w:i/>
          <w:iCs/>
        </w:rPr>
        <w:t xml:space="preserve">49</w:t>
      </w:r>
      <w:r>
        <w:t xml:space="preserve">(6), 1417–1426.</w:t>
      </w:r>
      <w:r>
        <w:t xml:space="preserve"> </w:t>
      </w:r>
      <w:hyperlink r:id="rId84">
        <w:r>
          <w:rPr>
            <w:rStyle w:val="Hyperlink"/>
          </w:rPr>
          <w:t xml:space="preserve">https://doi.org/10.2307/1911408</w:t>
        </w:r>
      </w:hyperlink>
    </w:p>
    <w:bookmarkEnd w:id="85"/>
    <w:bookmarkStart w:id="86" w:name="ref-pritchett2013rebirth"/>
    <w:p>
      <w:pPr>
        <w:pStyle w:val="Bibliography"/>
      </w:pPr>
      <w:r>
        <w:t xml:space="preserve">Pritchett, L. (2013).</w:t>
      </w:r>
      <w:r>
        <w:t xml:space="preserve"> </w:t>
      </w:r>
      <w:r>
        <w:rPr>
          <w:i/>
          <w:iCs/>
        </w:rPr>
        <w:t xml:space="preserve">The rebirth of education: Schooling ain’t learning</w:t>
      </w:r>
      <w:r>
        <w:t xml:space="preserve">. Center for Global Development.</w:t>
      </w:r>
    </w:p>
    <w:bookmarkEnd w:id="86"/>
    <w:bookmarkStart w:id="88" w:name="ref-rajan2008aid"/>
    <w:p>
      <w:pPr>
        <w:pStyle w:val="Bibliography"/>
      </w:pPr>
      <w:r>
        <w:t xml:space="preserve">Rajan, R. G., &amp; Subramanian, A. (2008). Aid and growth: What does the cross-country evidence really show?</w:t>
      </w:r>
      <w:r>
        <w:t xml:space="preserve"> </w:t>
      </w:r>
      <w:r>
        <w:rPr>
          <w:i/>
          <w:iCs/>
        </w:rPr>
        <w:t xml:space="preserve">Review of Economics and Statistics</w:t>
      </w:r>
      <w:r>
        <w:t xml:space="preserve">,</w:t>
      </w:r>
      <w:r>
        <w:t xml:space="preserve"> </w:t>
      </w:r>
      <w:r>
        <w:rPr>
          <w:i/>
          <w:iCs/>
        </w:rPr>
        <w:t xml:space="preserve">90</w:t>
      </w:r>
      <w:r>
        <w:t xml:space="preserve">(4), 643–665.</w:t>
      </w:r>
      <w:r>
        <w:t xml:space="preserve"> </w:t>
      </w:r>
      <w:hyperlink r:id="rId87">
        <w:r>
          <w:rPr>
            <w:rStyle w:val="Hyperlink"/>
          </w:rPr>
          <w:t xml:space="preserve">https://doi.org/10.1162/rest.90.4.643</w:t>
        </w:r>
      </w:hyperlink>
    </w:p>
    <w:bookmarkEnd w:id="88"/>
    <w:bookmarkStart w:id="90" w:name="ref-riddell2016effectiveness"/>
    <w:p>
      <w:pPr>
        <w:pStyle w:val="Bibliography"/>
      </w:pPr>
      <w:r>
        <w:t xml:space="preserve">Riddell, A., &amp; Niño-Zarazúa, M. (2016). The effectiveness of foreign aid to education: What can be learned?</w:t>
      </w:r>
      <w:r>
        <w:t xml:space="preserve"> </w:t>
      </w:r>
      <w:r>
        <w:rPr>
          <w:i/>
          <w:iCs/>
        </w:rPr>
        <w:t xml:space="preserve">International Journal of Educational Development</w:t>
      </w:r>
      <w:r>
        <w:t xml:space="preserve">,</w:t>
      </w:r>
      <w:r>
        <w:t xml:space="preserve"> </w:t>
      </w:r>
      <w:r>
        <w:rPr>
          <w:i/>
          <w:iCs/>
        </w:rPr>
        <w:t xml:space="preserve">48</w:t>
      </w:r>
      <w:r>
        <w:t xml:space="preserve">, 23–36.</w:t>
      </w:r>
      <w:r>
        <w:t xml:space="preserve"> </w:t>
      </w:r>
      <w:hyperlink r:id="rId89">
        <w:r>
          <w:rPr>
            <w:rStyle w:val="Hyperlink"/>
          </w:rPr>
          <w:t xml:space="preserve">https://doi.org/10.1016/j.ijedudev.2015.11.013</w:t>
        </w:r>
      </w:hyperlink>
    </w:p>
    <w:bookmarkEnd w:id="90"/>
    <w:bookmarkStart w:id="92" w:name="ref-robinson1950ecological"/>
    <w:p>
      <w:pPr>
        <w:pStyle w:val="Bibliography"/>
      </w:pPr>
      <w:r>
        <w:t xml:space="preserve">Robinson, W. S. (1950). Ecological correlations and the behavior of individuals.</w:t>
      </w:r>
      <w:r>
        <w:t xml:space="preserve"> </w:t>
      </w:r>
      <w:r>
        <w:rPr>
          <w:i/>
          <w:iCs/>
        </w:rPr>
        <w:t xml:space="preserve">American Sociological Review</w:t>
      </w:r>
      <w:r>
        <w:t xml:space="preserve">,</w:t>
      </w:r>
      <w:r>
        <w:t xml:space="preserve"> </w:t>
      </w:r>
      <w:r>
        <w:rPr>
          <w:i/>
          <w:iCs/>
        </w:rPr>
        <w:t xml:space="preserve">15</w:t>
      </w:r>
      <w:r>
        <w:t xml:space="preserve">(3), 351–357.</w:t>
      </w:r>
      <w:r>
        <w:t xml:space="preserve"> </w:t>
      </w:r>
      <w:hyperlink r:id="rId91">
        <w:r>
          <w:rPr>
            <w:rStyle w:val="Hyperlink"/>
          </w:rPr>
          <w:t xml:space="preserve">https://doi.org/10.2307/2087176</w:t>
        </w:r>
      </w:hyperlink>
    </w:p>
    <w:bookmarkEnd w:id="92"/>
    <w:bookmarkStart w:id="94" w:name="ref-roodman2007anarchy"/>
    <w:p>
      <w:pPr>
        <w:pStyle w:val="Bibliography"/>
      </w:pPr>
      <w:r>
        <w:t xml:space="preserve">Roodman, D. (2007). The anarchy of numbers: Aid, development, and cross-country empirics.</w:t>
      </w:r>
      <w:r>
        <w:t xml:space="preserve"> </w:t>
      </w:r>
      <w:r>
        <w:rPr>
          <w:i/>
          <w:iCs/>
        </w:rPr>
        <w:t xml:space="preserve">World Bank Economic Review</w:t>
      </w:r>
      <w:r>
        <w:t xml:space="preserve">,</w:t>
      </w:r>
      <w:r>
        <w:t xml:space="preserve"> </w:t>
      </w:r>
      <w:r>
        <w:rPr>
          <w:i/>
          <w:iCs/>
        </w:rPr>
        <w:t xml:space="preserve">21</w:t>
      </w:r>
      <w:r>
        <w:t xml:space="preserve">(2), 255–277.</w:t>
      </w:r>
      <w:r>
        <w:t xml:space="preserve"> </w:t>
      </w:r>
      <w:hyperlink r:id="rId93">
        <w:r>
          <w:rPr>
            <w:rStyle w:val="Hyperlink"/>
          </w:rPr>
          <w:t xml:space="preserve">https://doi.org/10.1093/wber/lhm004</w:t>
        </w:r>
      </w:hyperlink>
    </w:p>
    <w:bookmarkEnd w:id="94"/>
    <w:bookmarkStart w:id="96" w:name="ref-sandefur2018internationally"/>
    <w:p>
      <w:pPr>
        <w:pStyle w:val="Bibliography"/>
      </w:pPr>
      <w:r>
        <w:t xml:space="preserve">Sandefur, J. (2018). Internationally comparable mathematics scores for fourteen</w:t>
      </w:r>
      <w:r>
        <w:t xml:space="preserve"> </w:t>
      </w:r>
      <w:r>
        <w:t xml:space="preserve">African</w:t>
      </w:r>
      <w:r>
        <w:t xml:space="preserve"> </w:t>
      </w:r>
      <w:r>
        <w:t xml:space="preserve">countries.</w:t>
      </w:r>
      <w:r>
        <w:t xml:space="preserve"> </w:t>
      </w:r>
      <w:r>
        <w:rPr>
          <w:i/>
          <w:iCs/>
        </w:rPr>
        <w:t xml:space="preserve">Economics of Education Review</w:t>
      </w:r>
      <w:r>
        <w:t xml:space="preserve">,</w:t>
      </w:r>
      <w:r>
        <w:t xml:space="preserve"> </w:t>
      </w:r>
      <w:r>
        <w:rPr>
          <w:i/>
          <w:iCs/>
        </w:rPr>
        <w:t xml:space="preserve">62</w:t>
      </w:r>
      <w:r>
        <w:t xml:space="preserve">, 267–286.</w:t>
      </w:r>
      <w:r>
        <w:t xml:space="preserve"> </w:t>
      </w:r>
      <w:hyperlink r:id="rId95">
        <w:r>
          <w:rPr>
            <w:rStyle w:val="Hyperlink"/>
          </w:rPr>
          <w:t xml:space="preserve">https://doi.org/10.1016/j.econedurev.2017.12.003</w:t>
        </w:r>
      </w:hyperlink>
    </w:p>
    <w:bookmarkEnd w:id="96"/>
    <w:bookmarkStart w:id="98" w:name="ref-tierney2011more"/>
    <w:p>
      <w:pPr>
        <w:pStyle w:val="Bibliography"/>
      </w:pPr>
      <w:r>
        <w:t xml:space="preserve">Tierney, M. J., Nielson, D. L., Hawkins, D. G., Roberts, J. T., Findley, M. G., Powers, R. M., Parks, B., Wilson, S. E., &amp; Hicks, R. L. (2011). More dollars than sense: Refining our knowledge of development finance using</w:t>
      </w:r>
      <w:r>
        <w:t xml:space="preserve"> </w:t>
      </w:r>
      <w:r>
        <w:t xml:space="preserve">AidData</w:t>
      </w:r>
      <w:r>
        <w:t xml:space="preserve">.</w:t>
      </w:r>
      <w:r>
        <w:t xml:space="preserve"> </w:t>
      </w:r>
      <w:r>
        <w:rPr>
          <w:i/>
          <w:iCs/>
        </w:rPr>
        <w:t xml:space="preserve">World Development</w:t>
      </w:r>
      <w:r>
        <w:t xml:space="preserve">,</w:t>
      </w:r>
      <w:r>
        <w:t xml:space="preserve"> </w:t>
      </w:r>
      <w:r>
        <w:rPr>
          <w:i/>
          <w:iCs/>
        </w:rPr>
        <w:t xml:space="preserve">39</w:t>
      </w:r>
      <w:r>
        <w:t xml:space="preserve">(11), 1891–1906.</w:t>
      </w:r>
      <w:r>
        <w:t xml:space="preserve"> </w:t>
      </w:r>
      <w:hyperlink r:id="rId97">
        <w:r>
          <w:rPr>
            <w:rStyle w:val="Hyperlink"/>
          </w:rPr>
          <w:t xml:space="preserve">https://doi.org/10.1016/j.worlddev.2011.07.029</w:t>
        </w:r>
      </w:hyperlink>
    </w:p>
    <w:bookmarkEnd w:id="98"/>
    <w:bookmarkStart w:id="100" w:name="ref-vegas2015when"/>
    <w:p>
      <w:pPr>
        <w:pStyle w:val="Bibliography"/>
      </w:pPr>
      <w:r>
        <w:t xml:space="preserve">Vegas, E., &amp; Coffin, C. (2015). When education expenditure matters: An empirical analysis of recent international data.</w:t>
      </w:r>
      <w:r>
        <w:t xml:space="preserve"> </w:t>
      </w:r>
      <w:r>
        <w:rPr>
          <w:i/>
          <w:iCs/>
        </w:rPr>
        <w:t xml:space="preserve">Comparative Education Review</w:t>
      </w:r>
      <w:r>
        <w:t xml:space="preserve">,</w:t>
      </w:r>
      <w:r>
        <w:t xml:space="preserve"> </w:t>
      </w:r>
      <w:r>
        <w:rPr>
          <w:i/>
          <w:iCs/>
        </w:rPr>
        <w:t xml:space="preserve">59</w:t>
      </w:r>
      <w:r>
        <w:t xml:space="preserve">(2), 289–304.</w:t>
      </w:r>
      <w:r>
        <w:t xml:space="preserve"> </w:t>
      </w:r>
      <w:hyperlink r:id="rId99">
        <w:r>
          <w:rPr>
            <w:rStyle w:val="Hyperlink"/>
          </w:rPr>
          <w:t xml:space="preserve">https://doi.org/10.1086/680324</w:t>
        </w:r>
      </w:hyperlink>
    </w:p>
    <w:bookmarkEnd w:id="100"/>
    <w:bookmarkStart w:id="102" w:name="ref-vivalt2020generalize"/>
    <w:p>
      <w:pPr>
        <w:pStyle w:val="Bibliography"/>
      </w:pPr>
      <w:r>
        <w:t xml:space="preserve">Vivalt, E. (2020). How much can we generalize from impact evaluations?</w:t>
      </w:r>
      <w:r>
        <w:t xml:space="preserve"> </w:t>
      </w:r>
      <w:r>
        <w:rPr>
          <w:i/>
          <w:iCs/>
        </w:rPr>
        <w:t xml:space="preserve">Journal of the European Economic Association</w:t>
      </w:r>
      <w:r>
        <w:t xml:space="preserve">,</w:t>
      </w:r>
      <w:r>
        <w:t xml:space="preserve"> </w:t>
      </w:r>
      <w:r>
        <w:rPr>
          <w:i/>
          <w:iCs/>
        </w:rPr>
        <w:t xml:space="preserve">18</w:t>
      </w:r>
      <w:r>
        <w:t xml:space="preserve">(6), 3045–3089.</w:t>
      </w:r>
      <w:r>
        <w:t xml:space="preserve"> </w:t>
      </w:r>
      <w:hyperlink r:id="rId101">
        <w:r>
          <w:rPr>
            <w:rStyle w:val="Hyperlink"/>
          </w:rPr>
          <w:t xml:space="preserve">https://doi.org/10.1093/jeea/jvaa019</w:t>
        </w:r>
      </w:hyperlink>
    </w:p>
    <w:bookmarkEnd w:id="102"/>
    <w:bookmarkEnd w:id="103"/>
    <w:bookmarkEnd w:id="104"/>
    <w:bookmarkStart w:id="113" w:name="appendix-argument-bearing-exhibits"/>
    <w:p>
      <w:pPr>
        <w:pStyle w:val="Heading1"/>
      </w:pPr>
      <w:r>
        <w:t xml:space="preserve">Appendix: argument-bearing exhibits</w:t>
      </w:r>
    </w:p>
    <w:p>
      <w:pPr>
        <w:pStyle w:val="FirstParagraph"/>
      </w:pPr>
      <w:r>
        <w:t xml:space="preserve">The five exhibits below are the ones the body cites directly. All sensitivity tables below report the primary HLO outcome. Learning-Adjusted Years of Schooling versions of every sensitivity are in the OSF deposit, alongside the full Model 1, Model 2, Model 3, and Model 5 spec progressions, the Chinese-aid and UIS-augmented-listwise robustness tables, the Dumitrescu-Hurlin Granger output, and the variable-construction documentation cited under Data and code availability.</w:t>
      </w:r>
    </w:p>
    <w:bookmarkStart w:id="105" w:name="a.1-pre-analysis-plan-inventory"/>
    <w:p>
      <w:pPr>
        <w:pStyle w:val="Heading2"/>
      </w:pPr>
      <w:r>
        <w:t xml:space="preserve">A.1 Pre-analysis plan inventory</w:t>
      </w:r>
    </w:p>
    <w:p>
      <w:pPr>
        <w:pStyle w:val="FirstParagraph"/>
      </w:pPr>
      <w:r>
        <w:t xml:space="preserve">The analytical design rests on twelve pre-analysis plans, summarized below; full documents are in the deposit.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PAP</w:t>
            </w:r>
          </w:p>
        </w:tc>
        <w:tc>
          <w:tcPr/>
          <w:p>
            <w:pPr>
              <w:pStyle w:val="Compact"/>
            </w:pPr>
            <w:r>
              <w:t xml:space="preserve">Title</w:t>
            </w:r>
          </w:p>
        </w:tc>
        <w:tc>
          <w:tcPr/>
          <w:p>
            <w:pPr>
              <w:pStyle w:val="Compact"/>
            </w:pPr>
            <w:r>
              <w:t xml:space="preserve">Status</w:t>
            </w:r>
          </w:p>
        </w:tc>
        <w:tc>
          <w:tcPr/>
          <w:p>
            <w:pPr>
              <w:pStyle w:val="Compact"/>
            </w:pPr>
            <w:r>
              <w:t xml:space="preserve">What it locks</w:t>
            </w:r>
          </w:p>
        </w:tc>
      </w:tr>
      <w:tr>
        <w:tc>
          <w:tcPr/>
          <w:p>
            <w:pPr>
              <w:pStyle w:val="Compact"/>
            </w:pPr>
            <w:r>
              <w:t xml:space="preserve">0001</w:t>
            </w:r>
          </w:p>
        </w:tc>
        <w:tc>
          <w:tcPr/>
          <w:p>
            <w:pPr>
              <w:pStyle w:val="Compact"/>
            </w:pPr>
            <w:r>
              <w:t xml:space="preserve">Toolchain and project scaffolding</w:t>
            </w:r>
          </w:p>
        </w:tc>
        <w:tc>
          <w:tcPr/>
          <w:p>
            <w:pPr>
              <w:pStyle w:val="Compact"/>
            </w:pPr>
            <w:r>
              <w:t xml:space="preserve">Accepted</w:t>
            </w:r>
          </w:p>
        </w:tc>
        <w:tc>
          <w:tcPr/>
          <w:p>
            <w:pPr>
              <w:pStyle w:val="Compact"/>
            </w:pPr>
            <w:r>
              <w:t xml:space="preserve">R with a locked dependency manifest; pre-analysis-plan continuity model</w:t>
            </w:r>
          </w:p>
        </w:tc>
      </w:tr>
      <w:tr>
        <w:tc>
          <w:tcPr/>
          <w:p>
            <w:pPr>
              <w:pStyle w:val="Compact"/>
            </w:pPr>
            <w:r>
              <w:t xml:space="preserve">0002</w:t>
            </w:r>
          </w:p>
        </w:tc>
        <w:tc>
          <w:tcPr/>
          <w:p>
            <w:pPr>
              <w:pStyle w:val="Compact"/>
            </w:pPr>
            <w:r>
              <w:t xml:space="preserve">Country universe</w:t>
            </w:r>
          </w:p>
        </w:tc>
        <w:tc>
          <w:tcPr/>
          <w:p>
            <w:pPr>
              <w:pStyle w:val="Compact"/>
            </w:pPr>
            <w:r>
              <w:t xml:space="preserve">Accepted</w:t>
            </w:r>
          </w:p>
        </w:tc>
        <w:tc>
          <w:tcPr/>
          <w:p>
            <w:pPr>
              <w:pStyle w:val="Compact"/>
            </w:pPr>
            <w:r>
              <w:t xml:space="preserve">ODA-eligible ∩ ≥1 HLO; N = 133 (127 fixed-effects identifiable)</w:t>
            </w:r>
          </w:p>
        </w:tc>
      </w:tr>
      <w:tr>
        <w:tc>
          <w:tcPr/>
          <w:p>
            <w:pPr>
              <w:pStyle w:val="Compact"/>
            </w:pPr>
            <w:r>
              <w:t xml:space="preserve">0003</w:t>
            </w:r>
          </w:p>
        </w:tc>
        <w:tc>
          <w:tcPr/>
          <w:p>
            <w:pPr>
              <w:pStyle w:val="Compact"/>
            </w:pPr>
            <w:r>
              <w:t xml:space="preserve">Year range</w:t>
            </w:r>
          </w:p>
        </w:tc>
        <w:tc>
          <w:tcPr/>
          <w:p>
            <w:pPr>
              <w:pStyle w:val="Compact"/>
            </w:pPr>
            <w:r>
              <w:t xml:space="preserve">Accepted</w:t>
            </w:r>
          </w:p>
        </w:tc>
        <w:tc>
          <w:tcPr/>
          <w:p>
            <w:pPr>
              <w:pStyle w:val="Compact"/>
            </w:pPr>
            <w:r>
              <w:t xml:space="preserve">2010–2020 primary; 2000–2022 and 2005–2020 reported as robustness</w:t>
            </w:r>
          </w:p>
        </w:tc>
      </w:tr>
      <w:tr>
        <w:tc>
          <w:tcPr/>
          <w:p>
            <w:pPr>
              <w:pStyle w:val="Compact"/>
            </w:pPr>
            <w:r>
              <w:t xml:space="preserve">0004</w:t>
            </w:r>
          </w:p>
        </w:tc>
        <w:tc>
          <w:tcPr/>
          <w:p>
            <w:pPr>
              <w:pStyle w:val="Compact"/>
            </w:pPr>
            <w:r>
              <w:t xml:space="preserve">HLO measure choice</w:t>
            </w:r>
          </w:p>
        </w:tc>
        <w:tc>
          <w:tcPr/>
          <w:p>
            <w:pPr>
              <w:pStyle w:val="Compact"/>
            </w:pPr>
            <w:r>
              <w:t xml:space="preserve">Accepted</w:t>
            </w:r>
          </w:p>
        </w:tc>
        <w:tc>
          <w:tcPr/>
          <w:p>
            <w:pPr>
              <w:pStyle w:val="Compact"/>
            </w:pPr>
            <w:r>
              <w:t xml:space="preserve">WB HCI HLOS primary; AAP-2018 robustness with sign-agreement gate</w:t>
            </w:r>
          </w:p>
        </w:tc>
      </w:tr>
      <w:tr>
        <w:tc>
          <w:tcPr/>
          <w:p>
            <w:pPr>
              <w:pStyle w:val="Compact"/>
            </w:pPr>
            <w:r>
              <w:t xml:space="preserve">0005</w:t>
            </w:r>
          </w:p>
        </w:tc>
        <w:tc>
          <w:tcPr/>
          <w:p>
            <w:pPr>
              <w:pStyle w:val="Compact"/>
            </w:pPr>
            <w:r>
              <w:t xml:space="preserve">ODA treatment encoding</w:t>
            </w:r>
          </w:p>
        </w:tc>
        <w:tc>
          <w:tcPr/>
          <w:p>
            <w:pPr>
              <w:pStyle w:val="Compact"/>
            </w:pPr>
            <w:r>
              <w:t xml:space="preserve">Accepted</w:t>
            </w:r>
          </w:p>
        </w:tc>
        <w:tc>
          <w:tcPr/>
          <w:p>
            <w:pPr>
              <w:pStyle w:val="Compact"/>
            </w:pPr>
            <w:r>
              <w:t xml:space="preserve">Strictly-past three-year moving average in constant US dollars; 16-cell sensitivity grid</w:t>
            </w:r>
          </w:p>
        </w:tc>
      </w:tr>
      <w:tr>
        <w:tc>
          <w:tcPr/>
          <w:p>
            <w:pPr>
              <w:pStyle w:val="Compact"/>
            </w:pPr>
            <w:r>
              <w:t xml:space="preserve">0006</w:t>
            </w:r>
          </w:p>
        </w:tc>
        <w:tc>
          <w:tcPr/>
          <w:p>
            <w:pPr>
              <w:pStyle w:val="Compact"/>
            </w:pPr>
            <w:r>
              <w:t xml:space="preserve">UIS missingness strategy</w:t>
            </w:r>
          </w:p>
        </w:tc>
        <w:tc>
          <w:tcPr/>
          <w:p>
            <w:pPr>
              <w:pStyle w:val="Compact"/>
            </w:pPr>
            <w:r>
              <w:t xml:space="preserve">Accepted</w:t>
            </w:r>
          </w:p>
        </w:tc>
        <w:tc>
          <w:tcPr/>
          <w:p>
            <w:pPr>
              <w:pStyle w:val="Compact"/>
            </w:pPr>
            <w:r>
              <w:t xml:space="preserve">Drop UIS from primary; listwise + multiple imputation as robustness (MI later retired)</w:t>
            </w:r>
          </w:p>
        </w:tc>
      </w:tr>
      <w:tr>
        <w:tc>
          <w:tcPr/>
          <w:p>
            <w:pPr>
              <w:pStyle w:val="Compact"/>
            </w:pPr>
            <w:r>
              <w:t xml:space="preserve">0007</w:t>
            </w:r>
          </w:p>
        </w:tc>
        <w:tc>
          <w:tcPr/>
          <w:p>
            <w:pPr>
              <w:pStyle w:val="Compact"/>
            </w:pPr>
            <w:r>
              <w:t xml:space="preserve">OECD CRS intervention typology</w:t>
            </w:r>
          </w:p>
        </w:tc>
        <w:tc>
          <w:tcPr/>
          <w:p>
            <w:pPr>
              <w:pStyle w:val="Compact"/>
            </w:pPr>
            <w:r>
              <w:rPr>
                <w:b/>
                <w:bCs/>
              </w:rPr>
              <w:t xml:space="preserve">Rejected</w:t>
            </w:r>
          </w:p>
        </w:tc>
        <w:tc>
          <w:tcPr/>
          <w:p>
            <w:pPr>
              <w:pStyle w:val="Compact"/>
            </w:pPr>
            <w:r>
              <w:t xml:space="preserve">The agreement gate set in advance failed on all three criteria</w:t>
            </w:r>
          </w:p>
        </w:tc>
      </w:tr>
      <w:tr>
        <w:tc>
          <w:tcPr/>
          <w:p>
            <w:pPr>
              <w:pStyle w:val="Compact"/>
            </w:pPr>
            <w:r>
              <w:t xml:space="preserve">0008</w:t>
            </w:r>
          </w:p>
        </w:tc>
        <w:tc>
          <w:tcPr/>
          <w:p>
            <w:pPr>
              <w:pStyle w:val="Compact"/>
            </w:pPr>
            <w:r>
              <w:t xml:space="preserve">Chinese aid inclusion</w:t>
            </w:r>
          </w:p>
        </w:tc>
        <w:tc>
          <w:tcPr/>
          <w:p>
            <w:pPr>
              <w:pStyle w:val="Compact"/>
            </w:pPr>
            <w:r>
              <w:t xml:space="preserve">Accepted</w:t>
            </w:r>
          </w:p>
        </w:tc>
        <w:tc>
          <w:tcPr/>
          <w:p>
            <w:pPr>
              <w:pStyle w:val="Compact"/>
            </w:pPr>
            <w:r>
              <w:t xml:space="preserve">OECD CRS primary; AidData GCDF as parallel robustness</w:t>
            </w:r>
          </w:p>
        </w:tc>
      </w:tr>
      <w:tr>
        <w:tc>
          <w:tcPr/>
          <w:p>
            <w:pPr>
              <w:pStyle w:val="Compact"/>
            </w:pPr>
            <w:r>
              <w:t xml:space="preserve">0009</w:t>
            </w:r>
          </w:p>
        </w:tc>
        <w:tc>
          <w:tcPr/>
          <w:p>
            <w:pPr>
              <w:pStyle w:val="Compact"/>
            </w:pPr>
            <w:r>
              <w:t xml:space="preserve">WGI variable construction</w:t>
            </w:r>
          </w:p>
        </w:tc>
        <w:tc>
          <w:tcPr/>
          <w:p>
            <w:pPr>
              <w:pStyle w:val="Compact"/>
            </w:pPr>
            <w:r>
              <w:t xml:space="preserve">Accepted</w:t>
            </w:r>
          </w:p>
        </w:tc>
        <w:tc>
          <w:tcPr/>
          <w:p>
            <w:pPr>
              <w:pStyle w:val="Compact"/>
            </w:pPr>
            <w:r>
              <w:t xml:space="preserve">PC1 composite primary (76.4% variance); single Government Effectiveness and all-six as robustness</w:t>
            </w:r>
          </w:p>
        </w:tc>
      </w:tr>
      <w:tr>
        <w:tc>
          <w:tcPr/>
          <w:p>
            <w:pPr>
              <w:pStyle w:val="Compact"/>
            </w:pPr>
            <w:r>
              <w:t xml:space="preserve">0010</w:t>
            </w:r>
          </w:p>
        </w:tc>
        <w:tc>
          <w:tcPr/>
          <w:p>
            <w:pPr>
              <w:pStyle w:val="Compact"/>
            </w:pPr>
            <w:r>
              <w:t xml:space="preserve">Identification strategy (System GMM)</w:t>
            </w:r>
          </w:p>
        </w:tc>
        <w:tc>
          <w:tcPr/>
          <w:p>
            <w:pPr>
              <w:pStyle w:val="Compact"/>
            </w:pPr>
            <w:r>
              <w:t xml:space="preserve">Accepted with caveats</w:t>
            </w:r>
          </w:p>
        </w:tc>
        <w:tc>
          <w:tcPr/>
          <w:p>
            <w:pPr>
              <w:pStyle w:val="Compact"/>
            </w:pPr>
            <w:r>
              <w:t xml:space="preserve">Static fixed effects remain the headline; GMM Hansen p = 0.022</w:t>
            </w:r>
          </w:p>
        </w:tc>
      </w:tr>
      <w:tr>
        <w:tc>
          <w:tcPr/>
          <w:p>
            <w:pPr>
              <w:pStyle w:val="Compact"/>
            </w:pPr>
            <w:r>
              <w:t xml:space="preserve">0011</w:t>
            </w:r>
          </w:p>
        </w:tc>
        <w:tc>
          <w:tcPr/>
          <w:p>
            <w:pPr>
              <w:pStyle w:val="Compact"/>
            </w:pPr>
            <w:r>
              <w:t xml:space="preserve">Model 5 counterfactual specification</w:t>
            </w:r>
          </w:p>
        </w:tc>
        <w:tc>
          <w:tcPr/>
          <w:p>
            <w:pPr>
              <w:pStyle w:val="Compact"/>
            </w:pPr>
            <w:r>
              <w:t xml:space="preserve">Accepted</w:t>
            </w:r>
          </w:p>
        </w:tc>
        <w:tc>
          <w:tcPr/>
          <w:p>
            <w:pPr>
              <w:pStyle w:val="Compact"/>
            </w:pPr>
            <w:r>
              <w:t xml:space="preserve">Within-support percentage shocks on the locked β; plug-in confidence interval</w:t>
            </w:r>
          </w:p>
        </w:tc>
      </w:tr>
      <w:tr>
        <w:tc>
          <w:tcPr/>
          <w:p>
            <w:pPr>
              <w:pStyle w:val="Compact"/>
            </w:pPr>
            <w:r>
              <w:t xml:space="preserve">0012</w:t>
            </w:r>
          </w:p>
        </w:tc>
        <w:tc>
          <w:tcPr/>
          <w:p>
            <w:pPr>
              <w:pStyle w:val="Compact"/>
            </w:pPr>
            <w:r>
              <w:t xml:space="preserve">Retirement of UIS multiple imputation</w:t>
            </w:r>
          </w:p>
        </w:tc>
        <w:tc>
          <w:tcPr/>
          <w:p>
            <w:pPr>
              <w:pStyle w:val="Compact"/>
            </w:pPr>
            <w:r>
              <w:t xml:space="preserve">Accepted</w:t>
            </w:r>
          </w:p>
        </w:tc>
        <w:tc>
          <w:tcPr/>
          <w:p>
            <w:pPr>
              <w:pStyle w:val="Compact"/>
            </w:pPr>
            <w:r>
              <w:t xml:space="preserve">MCAR rejection makes MAR untenable; amends PAP-0006</w:t>
            </w:r>
          </w:p>
        </w:tc>
      </w:tr>
    </w:tbl>
    <w:bookmarkEnd w:id="105"/>
    <w:bookmarkStart w:id="107" w:name="X320352a803b3d28a707100e939664e5643a225c"/>
    <w:p>
      <w:pPr>
        <w:pStyle w:val="Heading2"/>
      </w:pPr>
      <w:r>
        <w:t xml:space="preserve">A.2 Treatment-encoding sensitivity (sixteen-cell grid)</w:t>
      </w:r>
    </w:p>
    <w:bookmarkStart w:id="106" w:name="X3716dbb39a8c1d5dc4326a0e9a2f2f67539b8f1"/>
    <w:p>
      <w:pPr>
        <w:pStyle w:val="Heading4"/>
      </w:pPr>
      <w:r>
        <w:t xml:space="preserve">Treatment-encoding sensitivity surface (sixteen specifications)</w:t>
      </w:r>
    </w:p>
    <w:p>
      <w:pPr>
        <w:pStyle w:val="FirstParagraph"/>
      </w:pPr>
      <w:r>
        <w:t xml:space="preserve">Within-country two-way (country and year) fixed effects with country-clustered standard errors. Controls: log GDP per capita; primary pupil-teacher ratio; education expenditure as percent of GDP; the single Government Effectiveness indicator (WGI). Primary window 2010–2020. Treatment enters as the log of one plus the indicated transform.</w:t>
      </w:r>
    </w:p>
    <w:p>
      <w:pPr>
        <w:pStyle w:val="BodyText"/>
      </w:pPr>
      <w:r>
        <w:t xml:space="preserve">Transform abbreviations: raw = annual disbursement (no transform); 1-yr lag = the t−1 value; 3-yr MA = the mean of t−2, t−1, t (trailing-inclusive); 3-yr MA strictly past = the mean of t−3, t−2, t−1 (primary specification).</w:t>
      </w:r>
    </w:p>
    <w:tbl>
      <w:tblPr>
        <w:tblStyle w:val="Table"/>
        <w:tblW w:type="pct" w:w="5000"/>
        <w:tblLayout w:type="fixed"/>
        <w:tblLook w:firstRow="1" w:lastRow="0" w:firstColumn="0" w:lastColumn="0" w:noHBand="0" w:noVBand="0" w:val="0020"/>
      </w:tblPr>
      <w:tblGrid>
        <w:gridCol w:w="1281"/>
        <w:gridCol w:w="1164"/>
        <w:gridCol w:w="2678"/>
        <w:gridCol w:w="465"/>
        <w:gridCol w:w="815"/>
        <w:gridCol w:w="698"/>
        <w:gridCol w:w="815"/>
      </w:tblGrid>
      <w:tr>
        <w:trPr>
          <w:tblHeader w:val="on"/>
        </w:trPr>
        <w:tc>
          <w:tcPr/>
          <w:p>
            <w:pPr>
              <w:pStyle w:val="Compact"/>
              <w:jc w:val="left"/>
            </w:pPr>
            <w:r>
              <w:t xml:space="preserve">aid family</w:t>
            </w:r>
          </w:p>
        </w:tc>
        <w:tc>
          <w:tcPr/>
          <w:p>
            <w:pPr>
              <w:pStyle w:val="Compact"/>
              <w:jc w:val="left"/>
            </w:pPr>
            <w:r>
              <w:t xml:space="preserve">USD basis</w:t>
            </w:r>
          </w:p>
        </w:tc>
        <w:tc>
          <w:tcPr/>
          <w:p>
            <w:pPr>
              <w:pStyle w:val="Compact"/>
              <w:jc w:val="left"/>
            </w:pPr>
            <w:r>
              <w:t xml:space="preserve">transform</w:t>
            </w:r>
          </w:p>
        </w:tc>
        <w:tc>
          <w:tcPr/>
          <w:p>
            <w:pPr>
              <w:pStyle w:val="Compact"/>
              <w:jc w:val="right"/>
            </w:pPr>
            <w:r>
              <w:t xml:space="preserve">N</w:t>
            </w:r>
          </w:p>
        </w:tc>
        <w:tc>
          <w:tcPr/>
          <w:p>
            <w:pPr>
              <w:pStyle w:val="Compact"/>
              <w:jc w:val="right"/>
            </w:pPr>
            <w:r>
              <w:t xml:space="preserve">β</w:t>
            </w:r>
          </w:p>
        </w:tc>
        <w:tc>
          <w:tcPr/>
          <w:p>
            <w:pPr>
              <w:pStyle w:val="Compact"/>
              <w:jc w:val="right"/>
            </w:pPr>
            <w:r>
              <w:t xml:space="preserve">SE</w:t>
            </w:r>
          </w:p>
        </w:tc>
        <w:tc>
          <w:tcPr/>
          <w:p>
            <w:pPr>
              <w:pStyle w:val="Compact"/>
              <w:jc w:val="right"/>
            </w:pPr>
            <w:r>
              <w:t xml:space="preserve">p</w:t>
            </w:r>
          </w:p>
        </w:tc>
      </w:tr>
      <w:tr>
        <w:tc>
          <w:tcPr/>
          <w:p>
            <w:pPr>
              <w:pStyle w:val="Compact"/>
              <w:jc w:val="left"/>
            </w:pPr>
            <w:r>
              <w:t xml:space="preserve">commitment</w:t>
            </w:r>
          </w:p>
        </w:tc>
        <w:tc>
          <w:tcPr/>
          <w:p>
            <w:pPr>
              <w:pStyle w:val="Compact"/>
              <w:jc w:val="left"/>
            </w:pPr>
            <w:r>
              <w:t xml:space="preserve">current</w:t>
            </w:r>
          </w:p>
        </w:tc>
        <w:tc>
          <w:tcPr/>
          <w:p>
            <w:pPr>
              <w:pStyle w:val="Compact"/>
              <w:jc w:val="left"/>
            </w:pPr>
            <w:r>
              <w:t xml:space="preserve">raw</w:t>
            </w:r>
          </w:p>
        </w:tc>
        <w:tc>
          <w:tcPr/>
          <w:p>
            <w:pPr>
              <w:pStyle w:val="Compact"/>
              <w:jc w:val="right"/>
            </w:pPr>
            <w:r>
              <w:t xml:space="preserve">143</w:t>
            </w:r>
          </w:p>
        </w:tc>
        <w:tc>
          <w:tcPr/>
          <w:p>
            <w:pPr>
              <w:pStyle w:val="Compact"/>
              <w:jc w:val="right"/>
            </w:pPr>
            <w:r>
              <w:t xml:space="preserve">−0.358</w:t>
            </w:r>
          </w:p>
        </w:tc>
        <w:tc>
          <w:tcPr/>
          <w:p>
            <w:pPr>
              <w:pStyle w:val="Compact"/>
              <w:jc w:val="right"/>
            </w:pPr>
            <w:r>
              <w:t xml:space="preserve">2.953</w:t>
            </w:r>
          </w:p>
        </w:tc>
        <w:tc>
          <w:tcPr/>
          <w:p>
            <w:pPr>
              <w:pStyle w:val="Compact"/>
              <w:jc w:val="right"/>
            </w:pPr>
            <w:r>
              <w:t xml:space="preserve">0.904</w:t>
            </w:r>
          </w:p>
        </w:tc>
      </w:tr>
      <w:tr>
        <w:tc>
          <w:tcPr/>
          <w:p>
            <w:pPr>
              <w:pStyle w:val="Compact"/>
              <w:jc w:val="left"/>
            </w:pPr>
            <w:r>
              <w:t xml:space="preserve">commitment</w:t>
            </w:r>
          </w:p>
        </w:tc>
        <w:tc>
          <w:tcPr/>
          <w:p>
            <w:pPr>
              <w:pStyle w:val="Compact"/>
              <w:jc w:val="left"/>
            </w:pPr>
            <w:r>
              <w:t xml:space="preserve">constant</w:t>
            </w:r>
          </w:p>
        </w:tc>
        <w:tc>
          <w:tcPr/>
          <w:p>
            <w:pPr>
              <w:pStyle w:val="Compact"/>
              <w:jc w:val="left"/>
            </w:pPr>
            <w:r>
              <w:t xml:space="preserve">raw</w:t>
            </w:r>
          </w:p>
        </w:tc>
        <w:tc>
          <w:tcPr/>
          <w:p>
            <w:pPr>
              <w:pStyle w:val="Compact"/>
              <w:jc w:val="right"/>
            </w:pPr>
            <w:r>
              <w:t xml:space="preserve">143</w:t>
            </w:r>
          </w:p>
        </w:tc>
        <w:tc>
          <w:tcPr/>
          <w:p>
            <w:pPr>
              <w:pStyle w:val="Compact"/>
              <w:jc w:val="right"/>
            </w:pPr>
            <w:r>
              <w:t xml:space="preserve">−0.184</w:t>
            </w:r>
          </w:p>
        </w:tc>
        <w:tc>
          <w:tcPr/>
          <w:p>
            <w:pPr>
              <w:pStyle w:val="Compact"/>
              <w:jc w:val="right"/>
            </w:pPr>
            <w:r>
              <w:t xml:space="preserve">2.932</w:t>
            </w:r>
          </w:p>
        </w:tc>
        <w:tc>
          <w:tcPr/>
          <w:p>
            <w:pPr>
              <w:pStyle w:val="Compact"/>
              <w:jc w:val="right"/>
            </w:pPr>
            <w:r>
              <w:t xml:space="preserve">0.950</w:t>
            </w:r>
          </w:p>
        </w:tc>
      </w:tr>
      <w:tr>
        <w:tc>
          <w:tcPr/>
          <w:p>
            <w:pPr>
              <w:pStyle w:val="Compact"/>
              <w:jc w:val="left"/>
            </w:pPr>
            <w:r>
              <w:t xml:space="preserve">commitment</w:t>
            </w:r>
          </w:p>
        </w:tc>
        <w:tc>
          <w:tcPr/>
          <w:p>
            <w:pPr>
              <w:pStyle w:val="Compact"/>
              <w:jc w:val="left"/>
            </w:pPr>
            <w:r>
              <w:t xml:space="preserve">current</w:t>
            </w:r>
          </w:p>
        </w:tc>
        <w:tc>
          <w:tcPr/>
          <w:p>
            <w:pPr>
              <w:pStyle w:val="Compact"/>
              <w:jc w:val="left"/>
            </w:pPr>
            <w:r>
              <w:t xml:space="preserve">1-yr lag</w:t>
            </w:r>
          </w:p>
        </w:tc>
        <w:tc>
          <w:tcPr/>
          <w:p>
            <w:pPr>
              <w:pStyle w:val="Compact"/>
              <w:jc w:val="right"/>
            </w:pPr>
            <w:r>
              <w:t xml:space="preserve">143</w:t>
            </w:r>
          </w:p>
        </w:tc>
        <w:tc>
          <w:tcPr/>
          <w:p>
            <w:pPr>
              <w:pStyle w:val="Compact"/>
              <w:jc w:val="right"/>
            </w:pPr>
            <w:r>
              <w:t xml:space="preserve">3.230</w:t>
            </w:r>
          </w:p>
        </w:tc>
        <w:tc>
          <w:tcPr/>
          <w:p>
            <w:pPr>
              <w:pStyle w:val="Compact"/>
              <w:jc w:val="right"/>
            </w:pPr>
            <w:r>
              <w:t xml:space="preserve">1.939</w:t>
            </w:r>
          </w:p>
        </w:tc>
        <w:tc>
          <w:tcPr/>
          <w:p>
            <w:pPr>
              <w:pStyle w:val="Compact"/>
              <w:jc w:val="right"/>
            </w:pPr>
            <w:r>
              <w:t xml:space="preserve">0.101</w:t>
            </w:r>
          </w:p>
        </w:tc>
      </w:tr>
      <w:tr>
        <w:tc>
          <w:tcPr/>
          <w:p>
            <w:pPr>
              <w:pStyle w:val="Compact"/>
              <w:jc w:val="left"/>
            </w:pPr>
            <w:r>
              <w:t xml:space="preserve">commitment</w:t>
            </w:r>
          </w:p>
        </w:tc>
        <w:tc>
          <w:tcPr/>
          <w:p>
            <w:pPr>
              <w:pStyle w:val="Compact"/>
              <w:jc w:val="left"/>
            </w:pPr>
            <w:r>
              <w:t xml:space="preserve">constant</w:t>
            </w:r>
          </w:p>
        </w:tc>
        <w:tc>
          <w:tcPr/>
          <w:p>
            <w:pPr>
              <w:pStyle w:val="Compact"/>
              <w:jc w:val="left"/>
            </w:pPr>
            <w:r>
              <w:t xml:space="preserve">1-yr lag</w:t>
            </w:r>
          </w:p>
        </w:tc>
        <w:tc>
          <w:tcPr/>
          <w:p>
            <w:pPr>
              <w:pStyle w:val="Compact"/>
              <w:jc w:val="right"/>
            </w:pPr>
            <w:r>
              <w:t xml:space="preserve">143</w:t>
            </w:r>
          </w:p>
        </w:tc>
        <w:tc>
          <w:tcPr/>
          <w:p>
            <w:pPr>
              <w:pStyle w:val="Compact"/>
              <w:jc w:val="right"/>
            </w:pPr>
            <w:r>
              <w:t xml:space="preserve">2.990</w:t>
            </w:r>
          </w:p>
        </w:tc>
        <w:tc>
          <w:tcPr/>
          <w:p>
            <w:pPr>
              <w:pStyle w:val="Compact"/>
              <w:jc w:val="right"/>
            </w:pPr>
            <w:r>
              <w:t xml:space="preserve">1.885</w:t>
            </w:r>
          </w:p>
        </w:tc>
        <w:tc>
          <w:tcPr/>
          <w:p>
            <w:pPr>
              <w:pStyle w:val="Compact"/>
              <w:jc w:val="right"/>
            </w:pPr>
            <w:r>
              <w:t xml:space="preserve">0.118</w:t>
            </w:r>
          </w:p>
        </w:tc>
      </w:tr>
      <w:tr>
        <w:tc>
          <w:tcPr/>
          <w:p>
            <w:pPr>
              <w:pStyle w:val="Compact"/>
              <w:jc w:val="left"/>
            </w:pPr>
            <w:r>
              <w:t xml:space="preserve">commitment</w:t>
            </w:r>
          </w:p>
        </w:tc>
        <w:tc>
          <w:tcPr/>
          <w:p>
            <w:pPr>
              <w:pStyle w:val="Compact"/>
              <w:jc w:val="left"/>
            </w:pPr>
            <w:r>
              <w:t xml:space="preserve">current</w:t>
            </w:r>
          </w:p>
        </w:tc>
        <w:tc>
          <w:tcPr/>
          <w:p>
            <w:pPr>
              <w:pStyle w:val="Compact"/>
              <w:jc w:val="left"/>
            </w:pPr>
            <w:r>
              <w:t xml:space="preserve">3-yr MA</w:t>
            </w:r>
          </w:p>
        </w:tc>
        <w:tc>
          <w:tcPr/>
          <w:p>
            <w:pPr>
              <w:pStyle w:val="Compact"/>
              <w:jc w:val="right"/>
            </w:pPr>
            <w:r>
              <w:t xml:space="preserve">143</w:t>
            </w:r>
          </w:p>
        </w:tc>
        <w:tc>
          <w:tcPr/>
          <w:p>
            <w:pPr>
              <w:pStyle w:val="Compact"/>
              <w:jc w:val="right"/>
            </w:pPr>
            <w:r>
              <w:t xml:space="preserve">9.881</w:t>
            </w:r>
          </w:p>
        </w:tc>
        <w:tc>
          <w:tcPr/>
          <w:p>
            <w:pPr>
              <w:pStyle w:val="Compact"/>
              <w:jc w:val="right"/>
            </w:pPr>
            <w:r>
              <w:t xml:space="preserve">4.213</w:t>
            </w:r>
          </w:p>
        </w:tc>
        <w:tc>
          <w:tcPr/>
          <w:p>
            <w:pPr>
              <w:pStyle w:val="Compact"/>
              <w:jc w:val="right"/>
            </w:pPr>
            <w:r>
              <w:t xml:space="preserve">0.022</w:t>
            </w:r>
          </w:p>
        </w:tc>
      </w:tr>
      <w:tr>
        <w:tc>
          <w:tcPr/>
          <w:p>
            <w:pPr>
              <w:pStyle w:val="Compact"/>
              <w:jc w:val="left"/>
            </w:pPr>
            <w:r>
              <w:t xml:space="preserve">commitment</w:t>
            </w:r>
          </w:p>
        </w:tc>
        <w:tc>
          <w:tcPr/>
          <w:p>
            <w:pPr>
              <w:pStyle w:val="Compact"/>
              <w:jc w:val="left"/>
            </w:pPr>
            <w:r>
              <w:t xml:space="preserve">constant</w:t>
            </w:r>
          </w:p>
        </w:tc>
        <w:tc>
          <w:tcPr/>
          <w:p>
            <w:pPr>
              <w:pStyle w:val="Compact"/>
              <w:jc w:val="left"/>
            </w:pPr>
            <w:r>
              <w:t xml:space="preserve">3-yr MA</w:t>
            </w:r>
          </w:p>
        </w:tc>
        <w:tc>
          <w:tcPr/>
          <w:p>
            <w:pPr>
              <w:pStyle w:val="Compact"/>
              <w:jc w:val="right"/>
            </w:pPr>
            <w:r>
              <w:t xml:space="preserve">143</w:t>
            </w:r>
          </w:p>
        </w:tc>
        <w:tc>
          <w:tcPr/>
          <w:p>
            <w:pPr>
              <w:pStyle w:val="Compact"/>
              <w:jc w:val="right"/>
            </w:pPr>
            <w:r>
              <w:t xml:space="preserve">9.278</w:t>
            </w:r>
          </w:p>
        </w:tc>
        <w:tc>
          <w:tcPr/>
          <w:p>
            <w:pPr>
              <w:pStyle w:val="Compact"/>
              <w:jc w:val="right"/>
            </w:pPr>
            <w:r>
              <w:t xml:space="preserve">4.274</w:t>
            </w:r>
          </w:p>
        </w:tc>
        <w:tc>
          <w:tcPr/>
          <w:p>
            <w:pPr>
              <w:pStyle w:val="Compact"/>
              <w:jc w:val="right"/>
            </w:pPr>
            <w:r>
              <w:t xml:space="preserve">0.034</w:t>
            </w:r>
          </w:p>
        </w:tc>
      </w:tr>
      <w:tr>
        <w:tc>
          <w:tcPr/>
          <w:p>
            <w:pPr>
              <w:pStyle w:val="Compact"/>
              <w:jc w:val="left"/>
            </w:pPr>
            <w:r>
              <w:t xml:space="preserve">commitment</w:t>
            </w:r>
          </w:p>
        </w:tc>
        <w:tc>
          <w:tcPr/>
          <w:p>
            <w:pPr>
              <w:pStyle w:val="Compact"/>
              <w:jc w:val="left"/>
            </w:pPr>
            <w:r>
              <w:t xml:space="preserve">current</w:t>
            </w:r>
          </w:p>
        </w:tc>
        <w:tc>
          <w:tcPr/>
          <w:p>
            <w:pPr>
              <w:pStyle w:val="Compact"/>
              <w:jc w:val="left"/>
            </w:pPr>
            <w:r>
              <w:t xml:space="preserve">3-yr MA strictly past</w:t>
            </w:r>
          </w:p>
        </w:tc>
        <w:tc>
          <w:tcPr/>
          <w:p>
            <w:pPr>
              <w:pStyle w:val="Compact"/>
              <w:jc w:val="right"/>
            </w:pPr>
            <w:r>
              <w:t xml:space="preserve">143</w:t>
            </w:r>
          </w:p>
        </w:tc>
        <w:tc>
          <w:tcPr/>
          <w:p>
            <w:pPr>
              <w:pStyle w:val="Compact"/>
              <w:jc w:val="right"/>
            </w:pPr>
            <w:r>
              <w:t xml:space="preserve">12.750</w:t>
            </w:r>
          </w:p>
        </w:tc>
        <w:tc>
          <w:tcPr/>
          <w:p>
            <w:pPr>
              <w:pStyle w:val="Compact"/>
              <w:jc w:val="right"/>
            </w:pPr>
            <w:r>
              <w:t xml:space="preserve">4.643</w:t>
            </w:r>
          </w:p>
        </w:tc>
        <w:tc>
          <w:tcPr/>
          <w:p>
            <w:pPr>
              <w:pStyle w:val="Compact"/>
              <w:jc w:val="right"/>
            </w:pPr>
            <w:r>
              <w:t xml:space="preserve">0.008</w:t>
            </w:r>
          </w:p>
        </w:tc>
      </w:tr>
      <w:tr>
        <w:tc>
          <w:tcPr/>
          <w:p>
            <w:pPr>
              <w:pStyle w:val="Compact"/>
              <w:jc w:val="left"/>
            </w:pPr>
            <w:r>
              <w:t xml:space="preserve">commitment</w:t>
            </w:r>
          </w:p>
        </w:tc>
        <w:tc>
          <w:tcPr/>
          <w:p>
            <w:pPr>
              <w:pStyle w:val="Compact"/>
              <w:jc w:val="left"/>
            </w:pPr>
            <w:r>
              <w:t xml:space="preserve">constant</w:t>
            </w:r>
          </w:p>
        </w:tc>
        <w:tc>
          <w:tcPr/>
          <w:p>
            <w:pPr>
              <w:pStyle w:val="Compact"/>
              <w:jc w:val="left"/>
            </w:pPr>
            <w:r>
              <w:t xml:space="preserve">3-yr MA strictly past</w:t>
            </w:r>
          </w:p>
        </w:tc>
        <w:tc>
          <w:tcPr/>
          <w:p>
            <w:pPr>
              <w:pStyle w:val="Compact"/>
              <w:jc w:val="right"/>
            </w:pPr>
            <w:r>
              <w:t xml:space="preserve">143</w:t>
            </w:r>
          </w:p>
        </w:tc>
        <w:tc>
          <w:tcPr/>
          <w:p>
            <w:pPr>
              <w:pStyle w:val="Compact"/>
              <w:jc w:val="right"/>
            </w:pPr>
            <w:r>
              <w:t xml:space="preserve">11.867</w:t>
            </w:r>
          </w:p>
        </w:tc>
        <w:tc>
          <w:tcPr/>
          <w:p>
            <w:pPr>
              <w:pStyle w:val="Compact"/>
              <w:jc w:val="right"/>
            </w:pPr>
            <w:r>
              <w:t xml:space="preserve">4.526</w:t>
            </w:r>
          </w:p>
        </w:tc>
        <w:tc>
          <w:tcPr/>
          <w:p>
            <w:pPr>
              <w:pStyle w:val="Compact"/>
              <w:jc w:val="right"/>
            </w:pPr>
            <w:r>
              <w:t xml:space="preserve">0.011</w:t>
            </w:r>
          </w:p>
        </w:tc>
      </w:tr>
      <w:tr>
        <w:tc>
          <w:tcPr/>
          <w:p>
            <w:pPr>
              <w:pStyle w:val="Compact"/>
              <w:jc w:val="left"/>
            </w:pPr>
            <w:r>
              <w:t xml:space="preserve">disbursement</w:t>
            </w:r>
          </w:p>
        </w:tc>
        <w:tc>
          <w:tcPr/>
          <w:p>
            <w:pPr>
              <w:pStyle w:val="Compact"/>
              <w:jc w:val="left"/>
            </w:pPr>
            <w:r>
              <w:t xml:space="preserve">current</w:t>
            </w:r>
          </w:p>
        </w:tc>
        <w:tc>
          <w:tcPr/>
          <w:p>
            <w:pPr>
              <w:pStyle w:val="Compact"/>
              <w:jc w:val="left"/>
            </w:pPr>
            <w:r>
              <w:t xml:space="preserve">raw</w:t>
            </w:r>
          </w:p>
        </w:tc>
        <w:tc>
          <w:tcPr/>
          <w:p>
            <w:pPr>
              <w:pStyle w:val="Compact"/>
              <w:jc w:val="right"/>
            </w:pPr>
            <w:r>
              <w:t xml:space="preserve">143</w:t>
            </w:r>
          </w:p>
        </w:tc>
        <w:tc>
          <w:tcPr/>
          <w:p>
            <w:pPr>
              <w:pStyle w:val="Compact"/>
              <w:jc w:val="right"/>
            </w:pPr>
            <w:r>
              <w:t xml:space="preserve">8.273</w:t>
            </w:r>
          </w:p>
        </w:tc>
        <w:tc>
          <w:tcPr/>
          <w:p>
            <w:pPr>
              <w:pStyle w:val="Compact"/>
              <w:jc w:val="right"/>
            </w:pPr>
            <w:r>
              <w:t xml:space="preserve">2.851</w:t>
            </w:r>
          </w:p>
        </w:tc>
        <w:tc>
          <w:tcPr/>
          <w:p>
            <w:pPr>
              <w:pStyle w:val="Compact"/>
              <w:jc w:val="right"/>
            </w:pPr>
            <w:r>
              <w:t xml:space="preserve">0.005</w:t>
            </w:r>
          </w:p>
        </w:tc>
      </w:tr>
      <w:tr>
        <w:tc>
          <w:tcPr/>
          <w:p>
            <w:pPr>
              <w:pStyle w:val="Compact"/>
              <w:jc w:val="left"/>
            </w:pPr>
            <w:r>
              <w:t xml:space="preserve">disbursement</w:t>
            </w:r>
          </w:p>
        </w:tc>
        <w:tc>
          <w:tcPr/>
          <w:p>
            <w:pPr>
              <w:pStyle w:val="Compact"/>
              <w:jc w:val="left"/>
            </w:pPr>
            <w:r>
              <w:t xml:space="preserve">constant</w:t>
            </w:r>
          </w:p>
        </w:tc>
        <w:tc>
          <w:tcPr/>
          <w:p>
            <w:pPr>
              <w:pStyle w:val="Compact"/>
              <w:jc w:val="left"/>
            </w:pPr>
            <w:r>
              <w:t xml:space="preserve">raw</w:t>
            </w:r>
          </w:p>
        </w:tc>
        <w:tc>
          <w:tcPr/>
          <w:p>
            <w:pPr>
              <w:pStyle w:val="Compact"/>
              <w:jc w:val="right"/>
            </w:pPr>
            <w:r>
              <w:t xml:space="preserve">143</w:t>
            </w:r>
          </w:p>
        </w:tc>
        <w:tc>
          <w:tcPr/>
          <w:p>
            <w:pPr>
              <w:pStyle w:val="Compact"/>
              <w:jc w:val="right"/>
            </w:pPr>
            <w:r>
              <w:t xml:space="preserve">8.202</w:t>
            </w:r>
          </w:p>
        </w:tc>
        <w:tc>
          <w:tcPr/>
          <w:p>
            <w:pPr>
              <w:pStyle w:val="Compact"/>
              <w:jc w:val="right"/>
            </w:pPr>
            <w:r>
              <w:t xml:space="preserve">2.696</w:t>
            </w:r>
          </w:p>
        </w:tc>
        <w:tc>
          <w:tcPr/>
          <w:p>
            <w:pPr>
              <w:pStyle w:val="Compact"/>
              <w:jc w:val="right"/>
            </w:pPr>
            <w:r>
              <w:t xml:space="preserve">0.004</w:t>
            </w:r>
          </w:p>
        </w:tc>
      </w:tr>
      <w:tr>
        <w:tc>
          <w:tcPr/>
          <w:p>
            <w:pPr>
              <w:pStyle w:val="Compact"/>
              <w:jc w:val="left"/>
            </w:pPr>
            <w:r>
              <w:t xml:space="preserve">disbursement</w:t>
            </w:r>
          </w:p>
        </w:tc>
        <w:tc>
          <w:tcPr/>
          <w:p>
            <w:pPr>
              <w:pStyle w:val="Compact"/>
              <w:jc w:val="left"/>
            </w:pPr>
            <w:r>
              <w:t xml:space="preserve">current</w:t>
            </w:r>
          </w:p>
        </w:tc>
        <w:tc>
          <w:tcPr/>
          <w:p>
            <w:pPr>
              <w:pStyle w:val="Compact"/>
              <w:jc w:val="left"/>
            </w:pPr>
            <w:r>
              <w:t xml:space="preserve">1-yr lag</w:t>
            </w:r>
          </w:p>
        </w:tc>
        <w:tc>
          <w:tcPr/>
          <w:p>
            <w:pPr>
              <w:pStyle w:val="Compact"/>
              <w:jc w:val="right"/>
            </w:pPr>
            <w:r>
              <w:t xml:space="preserve">143</w:t>
            </w:r>
          </w:p>
        </w:tc>
        <w:tc>
          <w:tcPr/>
          <w:p>
            <w:pPr>
              <w:pStyle w:val="Compact"/>
              <w:jc w:val="right"/>
            </w:pPr>
            <w:r>
              <w:t xml:space="preserve">2.644</w:t>
            </w:r>
          </w:p>
        </w:tc>
        <w:tc>
          <w:tcPr/>
          <w:p>
            <w:pPr>
              <w:pStyle w:val="Compact"/>
              <w:jc w:val="right"/>
            </w:pPr>
            <w:r>
              <w:t xml:space="preserve">2.471</w:t>
            </w:r>
          </w:p>
        </w:tc>
        <w:tc>
          <w:tcPr/>
          <w:p>
            <w:pPr>
              <w:pStyle w:val="Compact"/>
              <w:jc w:val="right"/>
            </w:pPr>
            <w:r>
              <w:t xml:space="preserve">0.289</w:t>
            </w:r>
          </w:p>
        </w:tc>
      </w:tr>
      <w:tr>
        <w:tc>
          <w:tcPr/>
          <w:p>
            <w:pPr>
              <w:pStyle w:val="Compact"/>
              <w:jc w:val="left"/>
            </w:pPr>
            <w:r>
              <w:t xml:space="preserve">disbursement</w:t>
            </w:r>
          </w:p>
        </w:tc>
        <w:tc>
          <w:tcPr/>
          <w:p>
            <w:pPr>
              <w:pStyle w:val="Compact"/>
              <w:jc w:val="left"/>
            </w:pPr>
            <w:r>
              <w:t xml:space="preserve">constant</w:t>
            </w:r>
          </w:p>
        </w:tc>
        <w:tc>
          <w:tcPr/>
          <w:p>
            <w:pPr>
              <w:pStyle w:val="Compact"/>
              <w:jc w:val="left"/>
            </w:pPr>
            <w:r>
              <w:t xml:space="preserve">1-yr lag</w:t>
            </w:r>
          </w:p>
        </w:tc>
        <w:tc>
          <w:tcPr/>
          <w:p>
            <w:pPr>
              <w:pStyle w:val="Compact"/>
              <w:jc w:val="right"/>
            </w:pPr>
            <w:r>
              <w:t xml:space="preserve">143</w:t>
            </w:r>
          </w:p>
        </w:tc>
        <w:tc>
          <w:tcPr/>
          <w:p>
            <w:pPr>
              <w:pStyle w:val="Compact"/>
              <w:jc w:val="right"/>
            </w:pPr>
            <w:r>
              <w:t xml:space="preserve">2.471</w:t>
            </w:r>
          </w:p>
        </w:tc>
        <w:tc>
          <w:tcPr/>
          <w:p>
            <w:pPr>
              <w:pStyle w:val="Compact"/>
              <w:jc w:val="right"/>
            </w:pPr>
            <w:r>
              <w:t xml:space="preserve">2.428</w:t>
            </w:r>
          </w:p>
        </w:tc>
        <w:tc>
          <w:tcPr/>
          <w:p>
            <w:pPr>
              <w:pStyle w:val="Compact"/>
              <w:jc w:val="right"/>
            </w:pPr>
            <w:r>
              <w:t xml:space="preserve">0.313</w:t>
            </w:r>
          </w:p>
        </w:tc>
      </w:tr>
      <w:tr>
        <w:tc>
          <w:tcPr/>
          <w:p>
            <w:pPr>
              <w:pStyle w:val="Compact"/>
              <w:jc w:val="left"/>
            </w:pPr>
            <w:r>
              <w:t xml:space="preserve">disbursement</w:t>
            </w:r>
          </w:p>
        </w:tc>
        <w:tc>
          <w:tcPr/>
          <w:p>
            <w:pPr>
              <w:pStyle w:val="Compact"/>
              <w:jc w:val="left"/>
            </w:pPr>
            <w:r>
              <w:t xml:space="preserve">current</w:t>
            </w:r>
          </w:p>
        </w:tc>
        <w:tc>
          <w:tcPr/>
          <w:p>
            <w:pPr>
              <w:pStyle w:val="Compact"/>
              <w:jc w:val="left"/>
            </w:pPr>
            <w:r>
              <w:t xml:space="preserve">3-yr MA</w:t>
            </w:r>
          </w:p>
        </w:tc>
        <w:tc>
          <w:tcPr/>
          <w:p>
            <w:pPr>
              <w:pStyle w:val="Compact"/>
              <w:jc w:val="right"/>
            </w:pPr>
            <w:r>
              <w:t xml:space="preserve">143</w:t>
            </w:r>
          </w:p>
        </w:tc>
        <w:tc>
          <w:tcPr/>
          <w:p>
            <w:pPr>
              <w:pStyle w:val="Compact"/>
              <w:jc w:val="right"/>
            </w:pPr>
            <w:r>
              <w:t xml:space="preserve">11.442</w:t>
            </w:r>
          </w:p>
        </w:tc>
        <w:tc>
          <w:tcPr/>
          <w:p>
            <w:pPr>
              <w:pStyle w:val="Compact"/>
              <w:jc w:val="right"/>
            </w:pPr>
            <w:r>
              <w:t xml:space="preserve">3.943</w:t>
            </w:r>
          </w:p>
        </w:tc>
        <w:tc>
          <w:tcPr/>
          <w:p>
            <w:pPr>
              <w:pStyle w:val="Compact"/>
              <w:jc w:val="right"/>
            </w:pPr>
            <w:r>
              <w:t xml:space="preserve">0.005</w:t>
            </w:r>
          </w:p>
        </w:tc>
      </w:tr>
      <w:tr>
        <w:tc>
          <w:tcPr/>
          <w:p>
            <w:pPr>
              <w:pStyle w:val="Compact"/>
              <w:jc w:val="left"/>
            </w:pPr>
            <w:r>
              <w:t xml:space="preserve">disbursement</w:t>
            </w:r>
          </w:p>
        </w:tc>
        <w:tc>
          <w:tcPr/>
          <w:p>
            <w:pPr>
              <w:pStyle w:val="Compact"/>
              <w:jc w:val="left"/>
            </w:pPr>
            <w:r>
              <w:t xml:space="preserve">constant</w:t>
            </w:r>
          </w:p>
        </w:tc>
        <w:tc>
          <w:tcPr/>
          <w:p>
            <w:pPr>
              <w:pStyle w:val="Compact"/>
              <w:jc w:val="left"/>
            </w:pPr>
            <w:r>
              <w:t xml:space="preserve">3-yr MA</w:t>
            </w:r>
          </w:p>
        </w:tc>
        <w:tc>
          <w:tcPr/>
          <w:p>
            <w:pPr>
              <w:pStyle w:val="Compact"/>
              <w:jc w:val="right"/>
            </w:pPr>
            <w:r>
              <w:t xml:space="preserve">143</w:t>
            </w:r>
          </w:p>
        </w:tc>
        <w:tc>
          <w:tcPr/>
          <w:p>
            <w:pPr>
              <w:pStyle w:val="Compact"/>
              <w:jc w:val="right"/>
            </w:pPr>
            <w:r>
              <w:t xml:space="preserve">10.947</w:t>
            </w:r>
          </w:p>
        </w:tc>
        <w:tc>
          <w:tcPr/>
          <w:p>
            <w:pPr>
              <w:pStyle w:val="Compact"/>
              <w:jc w:val="right"/>
            </w:pPr>
            <w:r>
              <w:t xml:space="preserve">3.595</w:t>
            </w:r>
          </w:p>
        </w:tc>
        <w:tc>
          <w:tcPr/>
          <w:p>
            <w:pPr>
              <w:pStyle w:val="Compact"/>
              <w:jc w:val="right"/>
            </w:pPr>
            <w:r>
              <w:t xml:space="preserve">0.003</w:t>
            </w:r>
          </w:p>
        </w:tc>
      </w:tr>
      <w:tr>
        <w:tc>
          <w:tcPr/>
          <w:p>
            <w:pPr>
              <w:pStyle w:val="Compact"/>
              <w:jc w:val="left"/>
            </w:pPr>
            <w:r>
              <w:t xml:space="preserve">disbursement</w:t>
            </w:r>
          </w:p>
        </w:tc>
        <w:tc>
          <w:tcPr/>
          <w:p>
            <w:pPr>
              <w:pStyle w:val="Compact"/>
              <w:jc w:val="left"/>
            </w:pPr>
            <w:r>
              <w:t xml:space="preserve">current</w:t>
            </w:r>
          </w:p>
        </w:tc>
        <w:tc>
          <w:tcPr/>
          <w:p>
            <w:pPr>
              <w:pStyle w:val="Compact"/>
              <w:jc w:val="left"/>
            </w:pPr>
            <w:r>
              <w:t xml:space="preserve">3-yr MA strictly past</w:t>
            </w:r>
          </w:p>
        </w:tc>
        <w:tc>
          <w:tcPr/>
          <w:p>
            <w:pPr>
              <w:pStyle w:val="Compact"/>
              <w:jc w:val="right"/>
            </w:pPr>
            <w:r>
              <w:t xml:space="preserve">143</w:t>
            </w:r>
          </w:p>
        </w:tc>
        <w:tc>
          <w:tcPr/>
          <w:p>
            <w:pPr>
              <w:pStyle w:val="Compact"/>
              <w:jc w:val="right"/>
            </w:pPr>
            <w:r>
              <w:t xml:space="preserve">8.537</w:t>
            </w:r>
          </w:p>
        </w:tc>
        <w:tc>
          <w:tcPr/>
          <w:p>
            <w:pPr>
              <w:pStyle w:val="Compact"/>
              <w:jc w:val="right"/>
            </w:pPr>
            <w:r>
              <w:t xml:space="preserve">5.209</w:t>
            </w:r>
          </w:p>
        </w:tc>
        <w:tc>
          <w:tcPr/>
          <w:p>
            <w:pPr>
              <w:pStyle w:val="Compact"/>
              <w:jc w:val="right"/>
            </w:pPr>
            <w:r>
              <w:t xml:space="preserve">0.107</w:t>
            </w:r>
          </w:p>
        </w:tc>
      </w:tr>
      <w:tr>
        <w:tc>
          <w:tcPr/>
          <w:p>
            <w:pPr>
              <w:pStyle w:val="Compact"/>
              <w:jc w:val="left"/>
            </w:pPr>
            <w:r>
              <w:rPr>
                <w:b/>
                <w:bCs/>
              </w:rPr>
              <w:t xml:space="preserve">disbursement (primary)</w:t>
            </w:r>
          </w:p>
        </w:tc>
        <w:tc>
          <w:tcPr/>
          <w:p>
            <w:pPr>
              <w:pStyle w:val="Compact"/>
              <w:jc w:val="left"/>
            </w:pPr>
            <w:r>
              <w:rPr>
                <w:b/>
                <w:bCs/>
              </w:rPr>
              <w:t xml:space="preserve">constant</w:t>
            </w:r>
          </w:p>
        </w:tc>
        <w:tc>
          <w:tcPr/>
          <w:p>
            <w:pPr>
              <w:pStyle w:val="Compact"/>
              <w:jc w:val="left"/>
            </w:pPr>
            <w:r>
              <w:rPr>
                <w:b/>
                <w:bCs/>
              </w:rPr>
              <w:t xml:space="preserve">3-yr MA strictly past</w:t>
            </w:r>
          </w:p>
        </w:tc>
        <w:tc>
          <w:tcPr/>
          <w:p>
            <w:pPr>
              <w:pStyle w:val="Compact"/>
              <w:jc w:val="right"/>
            </w:pPr>
            <w:r>
              <w:rPr>
                <w:b/>
                <w:bCs/>
              </w:rPr>
              <w:t xml:space="preserve">143</w:t>
            </w:r>
          </w:p>
        </w:tc>
        <w:tc>
          <w:tcPr/>
          <w:p>
            <w:pPr>
              <w:pStyle w:val="Compact"/>
              <w:jc w:val="right"/>
            </w:pPr>
            <w:r>
              <w:rPr>
                <w:b/>
                <w:bCs/>
              </w:rPr>
              <w:t xml:space="preserve">8.170</w:t>
            </w:r>
          </w:p>
        </w:tc>
        <w:tc>
          <w:tcPr/>
          <w:p>
            <w:pPr>
              <w:pStyle w:val="Compact"/>
              <w:jc w:val="right"/>
            </w:pPr>
            <w:r>
              <w:rPr>
                <w:b/>
                <w:bCs/>
              </w:rPr>
              <w:t xml:space="preserve">4.912</w:t>
            </w:r>
          </w:p>
        </w:tc>
        <w:tc>
          <w:tcPr/>
          <w:p>
            <w:pPr>
              <w:pStyle w:val="Compact"/>
              <w:jc w:val="right"/>
            </w:pPr>
            <w:r>
              <w:rPr>
                <w:b/>
                <w:bCs/>
              </w:rPr>
              <w:t xml:space="preserve">0.101</w:t>
            </w:r>
          </w:p>
        </w:tc>
      </w:tr>
    </w:tbl>
    <w:bookmarkEnd w:id="106"/>
    <w:bookmarkEnd w:id="107"/>
    <w:bookmarkStart w:id="109" w:name="X07b5e3d2bf11006c3998c6c8c052c76538f5fe0"/>
    <w:p>
      <w:pPr>
        <w:pStyle w:val="Heading2"/>
      </w:pPr>
      <w:r>
        <w:t xml:space="preserve">A.3 Governance operationalisation sensitivity (four specifications)</w:t>
      </w:r>
    </w:p>
    <w:bookmarkStart w:id="108" w:name="X157f362f07389ab731515542db38dee9a9ad669"/>
    <w:p>
      <w:pPr>
        <w:pStyle w:val="Heading4"/>
      </w:pPr>
      <w:r>
        <w:t xml:space="preserve">Governance operationalisation sensitivity (four specifications)</w:t>
      </w:r>
    </w:p>
    <w:p>
      <w:pPr>
        <w:pStyle w:val="FirstParagraph"/>
      </w:pPr>
      <w:r>
        <w:t xml:space="preserve">Within-country two-way (country and year) fixed effects with country-clustered standard errors. Treatment: log of one plus the strictly-past three-year moving average of constant-dollar CRS education disbursements. Base controls: log GDP per capita, primary pupil-teacher ratio, education expenditure as percent of GDP. The governance covariate varies across the four specifications. Primary window 2010–2020.</w:t>
      </w:r>
    </w:p>
    <w:p>
      <w:pPr>
        <w:pStyle w:val="BodyText"/>
      </w:pPr>
      <w:r>
        <w:t xml:space="preserve">The PC1 specification (C, headline) captures 76.4 percent of the variance in the six Worldwide Governance Indicators, with all six loadings positive after sign-flip.</w:t>
      </w:r>
    </w:p>
    <w:tbl>
      <w:tblPr>
        <w:tblStyle w:val="Table"/>
        <w:tblW w:type="pct" w:w="5000"/>
        <w:tblLayout w:type="fixed"/>
        <w:tblLook w:firstRow="1" w:lastRow="0" w:firstColumn="0" w:lastColumn="0" w:noHBand="0" w:noVBand="0" w:val="0020"/>
      </w:tblPr>
      <w:tblGrid>
        <w:gridCol w:w="628"/>
        <w:gridCol w:w="4022"/>
        <w:gridCol w:w="502"/>
        <w:gridCol w:w="1131"/>
        <w:gridCol w:w="754"/>
        <w:gridCol w:w="880"/>
      </w:tblGrid>
      <w:tr>
        <w:trPr>
          <w:tblHeader w:val="on"/>
        </w:trPr>
        <w:tc>
          <w:tcPr/>
          <w:p>
            <w:pPr>
              <w:pStyle w:val="Compact"/>
              <w:jc w:val="left"/>
            </w:pPr>
            <w:r>
              <w:t xml:space="preserve">spec</w:t>
            </w:r>
          </w:p>
        </w:tc>
        <w:tc>
          <w:tcPr/>
          <w:p>
            <w:pPr>
              <w:pStyle w:val="Compact"/>
              <w:jc w:val="left"/>
            </w:pPr>
            <w:r>
              <w:t xml:space="preserve">governance construction</w:t>
            </w:r>
          </w:p>
        </w:tc>
        <w:tc>
          <w:tcPr/>
          <w:p>
            <w:pPr>
              <w:pStyle w:val="Compact"/>
              <w:jc w:val="right"/>
            </w:pPr>
            <w:r>
              <w:t xml:space="preserve">N</w:t>
            </w:r>
          </w:p>
        </w:tc>
        <w:tc>
          <w:tcPr/>
          <w:p>
            <w:pPr>
              <w:pStyle w:val="Compact"/>
              <w:jc w:val="right"/>
            </w:pPr>
            <w:r>
              <w:t xml:space="preserve">β (aid)</w:t>
            </w:r>
          </w:p>
        </w:tc>
        <w:tc>
          <w:tcPr/>
          <w:p>
            <w:pPr>
              <w:pStyle w:val="Compact"/>
              <w:jc w:val="right"/>
            </w:pPr>
            <w:r>
              <w:t xml:space="preserve">SE</w:t>
            </w:r>
          </w:p>
        </w:tc>
        <w:tc>
          <w:tcPr/>
          <w:p>
            <w:pPr>
              <w:pStyle w:val="Compact"/>
              <w:jc w:val="right"/>
            </w:pPr>
            <w:r>
              <w:t xml:space="preserve">p</w:t>
            </w:r>
          </w:p>
        </w:tc>
      </w:tr>
      <w:tr>
        <w:tc>
          <w:tcPr/>
          <w:p>
            <w:pPr>
              <w:pStyle w:val="Compact"/>
              <w:jc w:val="left"/>
            </w:pPr>
            <w:r>
              <w:t xml:space="preserve">A</w:t>
            </w:r>
          </w:p>
        </w:tc>
        <w:tc>
          <w:tcPr/>
          <w:p>
            <w:pPr>
              <w:pStyle w:val="Compact"/>
              <w:jc w:val="left"/>
            </w:pPr>
            <w:r>
              <w:t xml:space="preserve">Single Government Effectiveness</w:t>
            </w:r>
          </w:p>
        </w:tc>
        <w:tc>
          <w:tcPr/>
          <w:p>
            <w:pPr>
              <w:pStyle w:val="Compact"/>
              <w:jc w:val="right"/>
            </w:pPr>
            <w:r>
              <w:t xml:space="preserve">143</w:t>
            </w:r>
          </w:p>
        </w:tc>
        <w:tc>
          <w:tcPr/>
          <w:p>
            <w:pPr>
              <w:pStyle w:val="Compact"/>
              <w:jc w:val="right"/>
            </w:pPr>
            <w:r>
              <w:t xml:space="preserve">8.170</w:t>
            </w:r>
          </w:p>
        </w:tc>
        <w:tc>
          <w:tcPr/>
          <w:p>
            <w:pPr>
              <w:pStyle w:val="Compact"/>
              <w:jc w:val="right"/>
            </w:pPr>
            <w:r>
              <w:t xml:space="preserve">4.912</w:t>
            </w:r>
          </w:p>
        </w:tc>
        <w:tc>
          <w:tcPr/>
          <w:p>
            <w:pPr>
              <w:pStyle w:val="Compact"/>
              <w:jc w:val="right"/>
            </w:pPr>
            <w:r>
              <w:t xml:space="preserve">0.102</w:t>
            </w:r>
          </w:p>
        </w:tc>
      </w:tr>
      <w:tr>
        <w:tc>
          <w:tcPr/>
          <w:p>
            <w:pPr>
              <w:pStyle w:val="Compact"/>
              <w:jc w:val="left"/>
            </w:pPr>
            <w:r>
              <w:t xml:space="preserve">B</w:t>
            </w:r>
          </w:p>
        </w:tc>
        <w:tc>
          <w:tcPr/>
          <w:p>
            <w:pPr>
              <w:pStyle w:val="Compact"/>
              <w:jc w:val="left"/>
            </w:pPr>
            <w:r>
              <w:t xml:space="preserve">All six WGI aggregates entered</w:t>
            </w:r>
          </w:p>
        </w:tc>
        <w:tc>
          <w:tcPr/>
          <w:p>
            <w:pPr>
              <w:pStyle w:val="Compact"/>
              <w:jc w:val="right"/>
            </w:pPr>
            <w:r>
              <w:t xml:space="preserve">143</w:t>
            </w:r>
          </w:p>
        </w:tc>
        <w:tc>
          <w:tcPr/>
          <w:p>
            <w:pPr>
              <w:pStyle w:val="Compact"/>
              <w:jc w:val="right"/>
            </w:pPr>
            <w:r>
              <w:t xml:space="preserve">10.331</w:t>
            </w:r>
          </w:p>
        </w:tc>
        <w:tc>
          <w:tcPr/>
          <w:p>
            <w:pPr>
              <w:pStyle w:val="Compact"/>
              <w:jc w:val="right"/>
            </w:pPr>
            <w:r>
              <w:t xml:space="preserve">5.211</w:t>
            </w:r>
          </w:p>
        </w:tc>
        <w:tc>
          <w:tcPr/>
          <w:p>
            <w:pPr>
              <w:pStyle w:val="Compact"/>
              <w:jc w:val="right"/>
            </w:pPr>
            <w:r>
              <w:t xml:space="preserve">0.052</w:t>
            </w:r>
          </w:p>
        </w:tc>
      </w:tr>
      <w:tr>
        <w:tc>
          <w:tcPr/>
          <w:p>
            <w:pPr>
              <w:pStyle w:val="Compact"/>
              <w:jc w:val="left"/>
            </w:pPr>
            <w:r>
              <w:rPr>
                <w:b/>
                <w:bCs/>
              </w:rPr>
              <w:t xml:space="preserve">C</w:t>
            </w:r>
          </w:p>
        </w:tc>
        <w:tc>
          <w:tcPr/>
          <w:p>
            <w:pPr>
              <w:pStyle w:val="Compact"/>
              <w:jc w:val="left"/>
            </w:pPr>
            <w:r>
              <w:rPr>
                <w:b/>
                <w:bCs/>
              </w:rPr>
              <w:t xml:space="preserve">PC1 composite (headline)</w:t>
            </w:r>
          </w:p>
        </w:tc>
        <w:tc>
          <w:tcPr/>
          <w:p>
            <w:pPr>
              <w:pStyle w:val="Compact"/>
              <w:jc w:val="right"/>
            </w:pPr>
            <w:r>
              <w:rPr>
                <w:b/>
                <w:bCs/>
              </w:rPr>
              <w:t xml:space="preserve">143</w:t>
            </w:r>
          </w:p>
        </w:tc>
        <w:tc>
          <w:tcPr/>
          <w:p>
            <w:pPr>
              <w:pStyle w:val="Compact"/>
              <w:jc w:val="right"/>
            </w:pPr>
            <w:r>
              <w:rPr>
                <w:b/>
                <w:bCs/>
              </w:rPr>
              <w:t xml:space="preserve">11.136</w:t>
            </w:r>
          </w:p>
        </w:tc>
        <w:tc>
          <w:tcPr/>
          <w:p>
            <w:pPr>
              <w:pStyle w:val="Compact"/>
              <w:jc w:val="right"/>
            </w:pPr>
            <w:r>
              <w:rPr>
                <w:b/>
                <w:bCs/>
              </w:rPr>
              <w:t xml:space="preserve">5.518</w:t>
            </w:r>
          </w:p>
        </w:tc>
        <w:tc>
          <w:tcPr/>
          <w:p>
            <w:pPr>
              <w:pStyle w:val="Compact"/>
              <w:jc w:val="right"/>
            </w:pPr>
            <w:r>
              <w:rPr>
                <w:b/>
                <w:bCs/>
              </w:rPr>
              <w:t xml:space="preserve">0.048</w:t>
            </w:r>
          </w:p>
        </w:tc>
      </w:tr>
      <w:tr>
        <w:tc>
          <w:tcPr/>
          <w:p>
            <w:pPr>
              <w:pStyle w:val="Compact"/>
              <w:jc w:val="left"/>
            </w:pPr>
            <w:r>
              <w:t xml:space="preserve">D</w:t>
            </w:r>
          </w:p>
        </w:tc>
        <w:tc>
          <w:tcPr/>
          <w:p>
            <w:pPr>
              <w:pStyle w:val="Compact"/>
              <w:jc w:val="left"/>
            </w:pPr>
            <w:r>
              <w:t xml:space="preserve">No governance control</w:t>
            </w:r>
          </w:p>
        </w:tc>
        <w:tc>
          <w:tcPr/>
          <w:p>
            <w:pPr>
              <w:pStyle w:val="Compact"/>
              <w:jc w:val="right"/>
            </w:pPr>
            <w:r>
              <w:t xml:space="preserve">143</w:t>
            </w:r>
          </w:p>
        </w:tc>
        <w:tc>
          <w:tcPr/>
          <w:p>
            <w:pPr>
              <w:pStyle w:val="Compact"/>
              <w:jc w:val="right"/>
            </w:pPr>
            <w:r>
              <w:t xml:space="preserve">8.754</w:t>
            </w:r>
          </w:p>
        </w:tc>
        <w:tc>
          <w:tcPr/>
          <w:p>
            <w:pPr>
              <w:pStyle w:val="Compact"/>
              <w:jc w:val="right"/>
            </w:pPr>
            <w:r>
              <w:t xml:space="preserve">5.322</w:t>
            </w:r>
          </w:p>
        </w:tc>
        <w:tc>
          <w:tcPr/>
          <w:p>
            <w:pPr>
              <w:pStyle w:val="Compact"/>
              <w:jc w:val="right"/>
            </w:pPr>
            <w:r>
              <w:t xml:space="preserve">0.105</w:t>
            </w:r>
          </w:p>
        </w:tc>
      </w:tr>
    </w:tbl>
    <w:p>
      <w:pPr>
        <w:pStyle w:val="BodyText"/>
      </w:pPr>
      <w:r>
        <w:t xml:space="preserve">The headline reaches conventional two-sided significance under specification C only. The four operationalisations are pre-specified in PAP-0009 (PCA-collapsed PC1 as the locked construction; the other three retained as parallel sensitivities).</w:t>
      </w:r>
    </w:p>
    <w:bookmarkEnd w:id="108"/>
    <w:bookmarkEnd w:id="109"/>
    <w:bookmarkStart w:id="111" w:name="X655ef37c344951c9076b9b43a040b53a7842ac8"/>
    <w:p>
      <w:pPr>
        <w:pStyle w:val="Heading2"/>
      </w:pPr>
      <w:r>
        <w:t xml:space="preserve">A.4 HLO measure-fragility: AAP-2018 full coverage and overlap window</w:t>
      </w:r>
    </w:p>
    <w:bookmarkStart w:id="110" w:name="X1780a2aed9d17e0507d281a77e8c696fafb912c"/>
    <w:p>
      <w:pPr>
        <w:pStyle w:val="Heading4"/>
      </w:pPr>
      <w:r>
        <w:t xml:space="preserve">HLO measure-fragility sensitivity (PAP-0004 principal robustness)</w:t>
      </w:r>
    </w:p>
    <w:p>
      <w:pPr>
        <w:pStyle w:val="FirstParagraph"/>
      </w:pPr>
      <w:r>
        <w:t xml:space="preserve">Refit of Model 2 spec 2e on the locked encoding (strictly-past three-year moving average of constant-dollar CRS education disbursements; log GDP per capita; primary pupil-teacher ratio; education expenditure as percent of GDP; WGI PC1 governance composite; two-way country and year fixed effects; country-clustered standard errors) with the Altinok-Angrist-Patrinos (2018) harmonized learning outcome substituted for the World Bank HCI HLOS primary measure.</w:t>
      </w:r>
    </w:p>
    <w:p>
      <w:pPr>
        <w:pStyle w:val="BodyText"/>
      </w:pPr>
      <w:r>
        <w:t xml:space="preserve">Two AAP-2018 specifications disentangle measure-choice from sample-window composition:</w:t>
      </w:r>
    </w:p>
    <w:p>
      <w:pPr>
        <w:pStyle w:val="Compact"/>
        <w:numPr>
          <w:ilvl w:val="0"/>
          <w:numId w:val="1002"/>
        </w:numPr>
      </w:pPr>
      <w:r>
        <w:rPr>
          <w:b/>
          <w:bCs/>
        </w:rPr>
        <w:t xml:space="preserve">AAP full coverage</w:t>
      </w:r>
      <w:r>
        <w:t xml:space="preserve">: N = 69 rows, 62 countries, year range 2005–2015 (5 AAP cycles).</w:t>
      </w:r>
    </w:p>
    <w:p>
      <w:pPr>
        <w:pStyle w:val="Compact"/>
        <w:numPr>
          <w:ilvl w:val="0"/>
          <w:numId w:val="1002"/>
        </w:numPr>
      </w:pPr>
      <w:r>
        <w:rPr>
          <w:b/>
          <w:bCs/>
        </w:rPr>
        <w:t xml:space="preserve">AAP overlap window</w:t>
      </w:r>
      <w:r>
        <w:t xml:space="preserve"> </w:t>
      </w:r>
      <w:r>
        <w:t xml:space="preserve">(year ≥ 2010): N = 36 rows, 42 countries (2 AAP cycles in primary window).</w:t>
      </w:r>
    </w:p>
    <w:tbl>
      <w:tblPr>
        <w:tblStyle w:val="Table"/>
        <w:tblW w:type="pct" w:w="5000"/>
        <w:tblLayout w:type="fixed"/>
        <w:tblLook w:firstRow="1" w:lastRow="0" w:firstColumn="0" w:lastColumn="0" w:noHBand="0" w:noVBand="0" w:val="0020"/>
      </w:tblPr>
      <w:tblGrid>
        <w:gridCol w:w="3184"/>
        <w:gridCol w:w="1388"/>
        <w:gridCol w:w="244"/>
        <w:gridCol w:w="489"/>
        <w:gridCol w:w="489"/>
        <w:gridCol w:w="571"/>
        <w:gridCol w:w="1551"/>
      </w:tblGrid>
      <w:tr>
        <w:trPr>
          <w:tblHeader w:val="on"/>
        </w:trPr>
        <w:tc>
          <w:tcPr/>
          <w:p>
            <w:pPr>
              <w:pStyle w:val="Compact"/>
              <w:jc w:val="left"/>
            </w:pPr>
            <w:r>
              <w:t xml:space="preserve">specification</w:t>
            </w:r>
          </w:p>
        </w:tc>
        <w:tc>
          <w:tcPr/>
          <w:p>
            <w:pPr>
              <w:pStyle w:val="Compact"/>
              <w:jc w:val="left"/>
            </w:pPr>
            <w:r>
              <w:t xml:space="preserve">learning measure</w:t>
            </w:r>
          </w:p>
        </w:tc>
        <w:tc>
          <w:tcPr/>
          <w:p>
            <w:pPr>
              <w:pStyle w:val="Compact"/>
              <w:jc w:val="right"/>
            </w:pPr>
            <w:r>
              <w:t xml:space="preserve">N</w:t>
            </w:r>
          </w:p>
        </w:tc>
        <w:tc>
          <w:tcPr/>
          <w:p>
            <w:pPr>
              <w:pStyle w:val="Compact"/>
              <w:jc w:val="right"/>
            </w:pPr>
            <w:r>
              <w:t xml:space="preserve">β</w:t>
            </w:r>
          </w:p>
        </w:tc>
        <w:tc>
          <w:tcPr/>
          <w:p>
            <w:pPr>
              <w:pStyle w:val="Compact"/>
              <w:jc w:val="right"/>
            </w:pPr>
            <w:r>
              <w:t xml:space="preserve">SE</w:t>
            </w:r>
          </w:p>
        </w:tc>
        <w:tc>
          <w:tcPr/>
          <w:p>
            <w:pPr>
              <w:pStyle w:val="Compact"/>
              <w:jc w:val="right"/>
            </w:pPr>
            <w:r>
              <w:t xml:space="preserve">p</w:t>
            </w:r>
          </w:p>
        </w:tc>
        <w:tc>
          <w:tcPr/>
          <w:p>
            <w:pPr>
              <w:pStyle w:val="Compact"/>
              <w:jc w:val="left"/>
            </w:pPr>
            <w:r>
              <w:t xml:space="preserve">95% CI</w:t>
            </w:r>
          </w:p>
        </w:tc>
      </w:tr>
      <w:tr>
        <w:tc>
          <w:tcPr/>
          <w:p>
            <w:pPr>
              <w:pStyle w:val="Compact"/>
              <w:jc w:val="left"/>
            </w:pPr>
            <w:r>
              <w:t xml:space="preserve">Primary (2010–2020)</w:t>
            </w:r>
          </w:p>
        </w:tc>
        <w:tc>
          <w:tcPr/>
          <w:p>
            <w:pPr>
              <w:pStyle w:val="Compact"/>
              <w:jc w:val="left"/>
            </w:pPr>
            <w:r>
              <w:t xml:space="preserve">WB HCI HLOS</w:t>
            </w:r>
          </w:p>
        </w:tc>
        <w:tc>
          <w:tcPr/>
          <w:p>
            <w:pPr>
              <w:pStyle w:val="Compact"/>
              <w:jc w:val="right"/>
            </w:pPr>
            <w:r>
              <w:t xml:space="preserve">143</w:t>
            </w:r>
          </w:p>
        </w:tc>
        <w:tc>
          <w:tcPr/>
          <w:p>
            <w:pPr>
              <w:pStyle w:val="Compact"/>
              <w:jc w:val="right"/>
            </w:pPr>
            <w:r>
              <w:t xml:space="preserve">11.14</w:t>
            </w:r>
          </w:p>
        </w:tc>
        <w:tc>
          <w:tcPr/>
          <w:p>
            <w:pPr>
              <w:pStyle w:val="Compact"/>
              <w:jc w:val="right"/>
            </w:pPr>
            <w:r>
              <w:t xml:space="preserve">5.52</w:t>
            </w:r>
          </w:p>
        </w:tc>
        <w:tc>
          <w:tcPr/>
          <w:p>
            <w:pPr>
              <w:pStyle w:val="Compact"/>
              <w:jc w:val="right"/>
            </w:pPr>
            <w:r>
              <w:t xml:space="preserve">0.048</w:t>
            </w:r>
          </w:p>
        </w:tc>
        <w:tc>
          <w:tcPr/>
          <w:p>
            <w:pPr>
              <w:pStyle w:val="Compact"/>
              <w:jc w:val="left"/>
            </w:pPr>
            <w:r>
              <w:t xml:space="preserve">[ +0.32, +21.95]</w:t>
            </w:r>
          </w:p>
        </w:tc>
      </w:tr>
      <w:tr>
        <w:tc>
          <w:tcPr/>
          <w:p>
            <w:pPr>
              <w:pStyle w:val="Compact"/>
              <w:jc w:val="left"/>
            </w:pPr>
            <w:r>
              <w:t xml:space="preserve">AAP-2018 full coverage (1995–2015)</w:t>
            </w:r>
          </w:p>
        </w:tc>
        <w:tc>
          <w:tcPr/>
          <w:p>
            <w:pPr>
              <w:pStyle w:val="Compact"/>
              <w:jc w:val="left"/>
            </w:pPr>
            <w:r>
              <w:t xml:space="preserve">AAP-2018</w:t>
            </w:r>
          </w:p>
        </w:tc>
        <w:tc>
          <w:tcPr/>
          <w:p>
            <w:pPr>
              <w:pStyle w:val="Compact"/>
              <w:jc w:val="right"/>
            </w:pPr>
            <w:r>
              <w:t xml:space="preserve">69</w:t>
            </w:r>
          </w:p>
        </w:tc>
        <w:tc>
          <w:tcPr/>
          <w:p>
            <w:pPr>
              <w:pStyle w:val="Compact"/>
              <w:jc w:val="right"/>
            </w:pPr>
            <w:r>
              <w:t xml:space="preserve">−16.67</w:t>
            </w:r>
          </w:p>
        </w:tc>
        <w:tc>
          <w:tcPr/>
          <w:p>
            <w:pPr>
              <w:pStyle w:val="Compact"/>
              <w:jc w:val="right"/>
            </w:pPr>
            <w:r>
              <w:t xml:space="preserve">5.97</w:t>
            </w:r>
          </w:p>
        </w:tc>
        <w:tc>
          <w:tcPr/>
          <w:p>
            <w:pPr>
              <w:pStyle w:val="Compact"/>
              <w:jc w:val="right"/>
            </w:pPr>
            <w:r>
              <w:t xml:space="preserve">0.009</w:t>
            </w:r>
          </w:p>
        </w:tc>
        <w:tc>
          <w:tcPr/>
          <w:p>
            <w:pPr>
              <w:pStyle w:val="Compact"/>
              <w:jc w:val="left"/>
            </w:pPr>
            <w:r>
              <w:t xml:space="preserve">[−28.37, −4.97]</w:t>
            </w:r>
          </w:p>
        </w:tc>
      </w:tr>
      <w:tr>
        <w:tc>
          <w:tcPr/>
          <w:p>
            <w:pPr>
              <w:pStyle w:val="Compact"/>
              <w:jc w:val="left"/>
            </w:pPr>
            <w:r>
              <w:t xml:space="preserve">AAP-2018 overlap window (year ≥ 2010)</w:t>
            </w:r>
          </w:p>
        </w:tc>
        <w:tc>
          <w:tcPr/>
          <w:p>
            <w:pPr>
              <w:pStyle w:val="Compact"/>
              <w:jc w:val="left"/>
            </w:pPr>
            <w:r>
              <w:t xml:space="preserve">AAP-2018</w:t>
            </w:r>
          </w:p>
        </w:tc>
        <w:tc>
          <w:tcPr/>
          <w:p>
            <w:pPr>
              <w:pStyle w:val="Compact"/>
              <w:jc w:val="right"/>
            </w:pPr>
            <w:r>
              <w:t xml:space="preserve">36</w:t>
            </w:r>
          </w:p>
        </w:tc>
        <w:tc>
          <w:tcPr/>
          <w:p>
            <w:pPr>
              <w:pStyle w:val="Compact"/>
              <w:jc w:val="right"/>
            </w:pPr>
            <w:r>
              <w:t xml:space="preserve">−3.94</w:t>
            </w:r>
          </w:p>
        </w:tc>
        <w:tc>
          <w:tcPr/>
          <w:p>
            <w:pPr>
              <w:pStyle w:val="Compact"/>
              <w:jc w:val="right"/>
            </w:pPr>
            <w:r>
              <w:t xml:space="preserve">8.68</w:t>
            </w:r>
          </w:p>
        </w:tc>
        <w:tc>
          <w:tcPr/>
          <w:p>
            <w:pPr>
              <w:pStyle w:val="Compact"/>
              <w:jc w:val="right"/>
            </w:pPr>
            <w:r>
              <w:t xml:space="preserve">0.656</w:t>
            </w:r>
          </w:p>
        </w:tc>
        <w:tc>
          <w:tcPr/>
          <w:p>
            <w:pPr>
              <w:pStyle w:val="Compact"/>
              <w:jc w:val="left"/>
            </w:pPr>
            <w:r>
              <w:t xml:space="preserve">[−20.95, +13.07]</w:t>
            </w:r>
          </w:p>
        </w:tc>
      </w:tr>
      <w:tr>
        <w:tc>
          <w:tcPr/>
          <w:p>
            <w:pPr>
              <w:pStyle w:val="Compact"/>
              <w:jc w:val="left"/>
            </w:pPr>
            <w:r>
              <w:t xml:space="preserve">UIS-augmented listwise (PAP-0006 Rob 1)</w:t>
            </w:r>
          </w:p>
        </w:tc>
        <w:tc>
          <w:tcPr/>
          <w:p>
            <w:pPr>
              <w:pStyle w:val="Compact"/>
              <w:jc w:val="left"/>
            </w:pPr>
            <w:r>
              <w:t xml:space="preserve">WB HCI HLOS</w:t>
            </w:r>
          </w:p>
        </w:tc>
        <w:tc>
          <w:tcPr/>
          <w:p>
            <w:pPr>
              <w:pStyle w:val="Compact"/>
              <w:jc w:val="right"/>
            </w:pPr>
            <w:r>
              <w:t xml:space="preserve">41</w:t>
            </w:r>
          </w:p>
        </w:tc>
        <w:tc>
          <w:tcPr/>
          <w:p>
            <w:pPr>
              <w:pStyle w:val="Compact"/>
              <w:jc w:val="right"/>
            </w:pPr>
            <w:r>
              <w:t xml:space="preserve">−1.97</w:t>
            </w:r>
          </w:p>
        </w:tc>
        <w:tc>
          <w:tcPr/>
          <w:p>
            <w:pPr>
              <w:pStyle w:val="Compact"/>
              <w:jc w:val="right"/>
            </w:pPr>
            <w:r>
              <w:t xml:space="preserve">4.40</w:t>
            </w:r>
          </w:p>
        </w:tc>
        <w:tc>
          <w:tcPr/>
          <w:p>
            <w:pPr>
              <w:pStyle w:val="Compact"/>
              <w:jc w:val="right"/>
            </w:pPr>
            <w:r>
              <w:t xml:space="preserve">0.660</w:t>
            </w:r>
          </w:p>
        </w:tc>
        <w:tc>
          <w:tcPr/>
          <w:p>
            <w:pPr>
              <w:pStyle w:val="Compact"/>
              <w:jc w:val="left"/>
            </w:pPr>
            <w:r>
              <w:t xml:space="preserve">[−10.58, +6.65]</w:t>
            </w:r>
          </w:p>
        </w:tc>
      </w:tr>
    </w:tbl>
    <w:p>
      <w:pPr>
        <w:pStyle w:val="BodyText"/>
      </w:pPr>
      <w:r>
        <w:t xml:space="preserve">The two AAP variants produce different readings. AAP full coverage sign-reverses the headline at conventional precision (β = −16.67, p = 0.009); the AAP overlap window restricted to the matched 2010–2020 country-years returns a non-significant null (β = −3.94, p = 0.66) that itself fails sign-agreement with the primary. If the two AAP rows had agreed in sign and magnitude, the failure would have isolated measure choice; if they had disagreed, it would have isolated sample-window composition. The AAP overlap-window null rules out sample-window composition as the sole driver, and the measure choice itself materially shapes the within-country coefficient.</w:t>
      </w:r>
    </w:p>
    <w:bookmarkEnd w:id="110"/>
    <w:bookmarkEnd w:id="111"/>
    <w:bookmarkStart w:id="112" w:name="a.5-littles-mcar-test-result"/>
    <w:p>
      <w:pPr>
        <w:pStyle w:val="Heading2"/>
      </w:pPr>
      <w:r>
        <w:t xml:space="preserve">A.5 Little’s MCAR test result</w:t>
      </w:r>
    </w:p>
    <w:p>
      <w:pPr>
        <w:pStyle w:val="FirstParagraph"/>
      </w:pPr>
      <w:r>
        <w:t xml:space="preserve">Production-panel MCAR test rejects MCAR decisively on both the primary-window six-column subset and the UIS-augmented seven-column subset of the analytical panel:</w:t>
      </w:r>
    </w:p>
    <w:tbl>
      <w:tblPr>
        <w:tblStyle w:val="Table"/>
        <w:tblW w:type="pct" w:w="5000"/>
        <w:tblLayout w:type="fixed"/>
        <w:tblLook w:firstRow="1" w:lastRow="0" w:firstColumn="0" w:lastColumn="0" w:noHBand="0" w:noVBand="0" w:val="0020"/>
      </w:tblPr>
      <w:tblGrid>
        <w:gridCol w:w="3362"/>
        <w:gridCol w:w="448"/>
        <w:gridCol w:w="672"/>
        <w:gridCol w:w="672"/>
        <w:gridCol w:w="448"/>
        <w:gridCol w:w="971"/>
        <w:gridCol w:w="1344"/>
      </w:tblGrid>
      <w:tr>
        <w:trPr>
          <w:tblHeader w:val="on"/>
        </w:trPr>
        <w:tc>
          <w:tcPr/>
          <w:p>
            <w:pPr>
              <w:pStyle w:val="Compact"/>
              <w:jc w:val="left"/>
            </w:pPr>
            <w:r>
              <w:t xml:space="preserve">subset</w:t>
            </w:r>
          </w:p>
        </w:tc>
        <w:tc>
          <w:tcPr/>
          <w:p>
            <w:pPr>
              <w:pStyle w:val="Compact"/>
              <w:jc w:val="right"/>
            </w:pPr>
            <w:r>
              <w:t xml:space="preserve">rows</w:t>
            </w:r>
          </w:p>
        </w:tc>
        <w:tc>
          <w:tcPr/>
          <w:p>
            <w:pPr>
              <w:pStyle w:val="Compact"/>
              <w:jc w:val="right"/>
            </w:pPr>
            <w:r>
              <w:t xml:space="preserve">columns</w:t>
            </w:r>
          </w:p>
        </w:tc>
        <w:tc>
          <w:tcPr/>
          <w:p>
            <w:pPr>
              <w:pStyle w:val="Compact"/>
              <w:jc w:val="right"/>
            </w:pPr>
            <w:r>
              <w:t xml:space="preserve">χ²</w:t>
            </w:r>
          </w:p>
        </w:tc>
        <w:tc>
          <w:tcPr/>
          <w:p>
            <w:pPr>
              <w:pStyle w:val="Compact"/>
              <w:jc w:val="right"/>
            </w:pPr>
            <w:r>
              <w:t xml:space="preserve">df</w:t>
            </w:r>
          </w:p>
        </w:tc>
        <w:tc>
          <w:tcPr/>
          <w:p>
            <w:pPr>
              <w:pStyle w:val="Compact"/>
              <w:jc w:val="left"/>
            </w:pPr>
            <w:r>
              <w:t xml:space="preserve">p-value</w:t>
            </w:r>
          </w:p>
        </w:tc>
        <w:tc>
          <w:tcPr/>
          <w:p>
            <w:pPr>
              <w:pStyle w:val="Compact"/>
              <w:jc w:val="right"/>
            </w:pPr>
            <w:r>
              <w:t xml:space="preserve">missing patterns</w:t>
            </w:r>
          </w:p>
        </w:tc>
      </w:tr>
      <w:tr>
        <w:tc>
          <w:tcPr/>
          <w:p>
            <w:pPr>
              <w:pStyle w:val="Compact"/>
              <w:jc w:val="left"/>
            </w:pPr>
            <w:r>
              <w:t xml:space="preserve">Primary window, six controls</w:t>
            </w:r>
          </w:p>
        </w:tc>
        <w:tc>
          <w:tcPr/>
          <w:p>
            <w:pPr>
              <w:pStyle w:val="Compact"/>
              <w:jc w:val="right"/>
            </w:pPr>
            <w:r>
              <w:t xml:space="preserve">1463</w:t>
            </w:r>
          </w:p>
        </w:tc>
        <w:tc>
          <w:tcPr/>
          <w:p>
            <w:pPr>
              <w:pStyle w:val="Compact"/>
              <w:jc w:val="right"/>
            </w:pPr>
            <w:r>
              <w:t xml:space="preserve">6</w:t>
            </w:r>
          </w:p>
        </w:tc>
        <w:tc>
          <w:tcPr/>
          <w:p>
            <w:pPr>
              <w:pStyle w:val="Compact"/>
              <w:jc w:val="right"/>
            </w:pPr>
            <w:r>
              <w:t xml:space="preserve">175.796</w:t>
            </w:r>
          </w:p>
        </w:tc>
        <w:tc>
          <w:tcPr/>
          <w:p>
            <w:pPr>
              <w:pStyle w:val="Compact"/>
              <w:jc w:val="right"/>
            </w:pPr>
            <w:r>
              <w:t xml:space="preserve">41</w:t>
            </w:r>
          </w:p>
        </w:tc>
        <w:tc>
          <w:tcPr/>
          <w:p>
            <w:pPr>
              <w:pStyle w:val="Compact"/>
              <w:jc w:val="left"/>
            </w:pPr>
            <w:r>
              <w:t xml:space="preserve">&lt; 10⁻⁶</w:t>
            </w:r>
          </w:p>
        </w:tc>
        <w:tc>
          <w:tcPr/>
          <w:p>
            <w:pPr>
              <w:pStyle w:val="Compact"/>
              <w:jc w:val="right"/>
            </w:pPr>
            <w:r>
              <w:t xml:space="preserve">12</w:t>
            </w:r>
          </w:p>
        </w:tc>
      </w:tr>
      <w:tr>
        <w:tc>
          <w:tcPr/>
          <w:p>
            <w:pPr>
              <w:pStyle w:val="Compact"/>
              <w:jc w:val="left"/>
            </w:pPr>
            <w:r>
              <w:t xml:space="preserve">UIS-augmented, seven controls</w:t>
            </w:r>
          </w:p>
        </w:tc>
        <w:tc>
          <w:tcPr/>
          <w:p>
            <w:pPr>
              <w:pStyle w:val="Compact"/>
              <w:jc w:val="right"/>
            </w:pPr>
            <w:r>
              <w:t xml:space="preserve">1463</w:t>
            </w:r>
          </w:p>
        </w:tc>
        <w:tc>
          <w:tcPr/>
          <w:p>
            <w:pPr>
              <w:pStyle w:val="Compact"/>
              <w:jc w:val="right"/>
            </w:pPr>
            <w:r>
              <w:t xml:space="preserve">7</w:t>
            </w:r>
          </w:p>
        </w:tc>
        <w:tc>
          <w:tcPr/>
          <w:p>
            <w:pPr>
              <w:pStyle w:val="Compact"/>
              <w:jc w:val="right"/>
            </w:pPr>
            <w:r>
              <w:t xml:space="preserve">341.900</w:t>
            </w:r>
          </w:p>
        </w:tc>
        <w:tc>
          <w:tcPr/>
          <w:p>
            <w:pPr>
              <w:pStyle w:val="Compact"/>
              <w:jc w:val="right"/>
            </w:pPr>
            <w:r>
              <w:t xml:space="preserve">62</w:t>
            </w:r>
          </w:p>
        </w:tc>
        <w:tc>
          <w:tcPr/>
          <w:p>
            <w:pPr>
              <w:pStyle w:val="Compact"/>
              <w:jc w:val="left"/>
            </w:pPr>
            <w:r>
              <w:t xml:space="preserve">&lt; 10⁻⁶</w:t>
            </w:r>
          </w:p>
        </w:tc>
        <w:tc>
          <w:tcPr/>
          <w:p>
            <w:pPr>
              <w:pStyle w:val="Compact"/>
              <w:jc w:val="right"/>
            </w:pPr>
            <w:r>
              <w:t xml:space="preserve">18</w:t>
            </w:r>
          </w:p>
        </w:tc>
      </w:tr>
    </w:tbl>
    <w:p>
      <w:pPr>
        <w:pStyle w:val="BodyText"/>
      </w:pPr>
      <w:r>
        <w:t xml:space="preserve">The MAR assumption multiple imputation requires is therefore not empirically supportable on these data; PAP-0012 retires the multiple-imputation sub-commitment of PAP-0006 on this basis, in combination with the project’s no-fabrication discipline.</w:t>
      </w:r>
    </w:p>
    <w:bookmarkEnd w:id="112"/>
    <w:bookmarkEnd w:id="11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Gill Sans" w:asciiTheme="majorHAnsi" w:cstheme="majorBidi" w:eastAsiaTheme="majorEastAsia" w:hAnsi="Gill Sans"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Gill Sans" w:asciiTheme="majorHAnsi" w:cstheme="majorBidi" w:eastAsiaTheme="majorEastAsia" w:hAnsi="Gill Sans"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Gill Sans" w:asciiTheme="majorHAnsi" w:cstheme="majorBidi" w:eastAsiaTheme="majorEastAsia" w:hAnsi="Gill Sans"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Gill Sans" w:asciiTheme="majorHAnsi" w:cstheme="majorBidi" w:eastAsiaTheme="majorEastAsia" w:hAnsi="Gill Sans"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Gill Sans" w:asciiTheme="majorHAnsi" w:cstheme="majorBidi" w:eastAsiaTheme="majorEastAsia" w:hAnsi="Gill Sans"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Gill Sans" w:asciiTheme="majorHAnsi" w:cstheme="majorBidi" w:eastAsiaTheme="majorEastAsia" w:hAnsi="Gill Sans"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Gill Sans" w:asciiTheme="majorHAnsi" w:cstheme="majorBidi" w:eastAsiaTheme="majorEastAsia" w:hAnsi="Gill Sans"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Gill Sans" w:asciiTheme="majorHAnsi" w:cstheme="majorBidi" w:eastAsiaTheme="majorEastAsia" w:hAnsi="Gill Sans"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Gill Sans" w:asciiTheme="majorHAnsi" w:cstheme="majorBidi" w:eastAsiaTheme="majorEastAsia" w:hAnsi="Gill Sans"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Gill Sans" w:asciiTheme="majorHAnsi" w:cstheme="majorBidi" w:eastAsiaTheme="majorEastAsia" w:hAnsi="Gill Sans"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33" Target="media/rId33.png" /><Relationship Type="http://schemas.openxmlformats.org/officeDocument/2006/relationships/hyperlink" Id="rId38" Target="../docs/decisions/0004-hlo-measure.md" TargetMode="External" /><Relationship Type="http://schemas.openxmlformats.org/officeDocument/2006/relationships/hyperlink" Id="rId39" Target="../docs/decisions/0006-uis-missingness-strategy.md" TargetMode="External" /><Relationship Type="http://schemas.openxmlformats.org/officeDocument/2006/relationships/hyperlink" Id="rId40" Target="../docs/decisions/0012-retirement-of-uis-multiple-imputation.md" TargetMode="External" /><Relationship Type="http://schemas.openxmlformats.org/officeDocument/2006/relationships/hyperlink" Id="rId57" Target="https://doi.org/10.1007/s10258-002-0009-9" TargetMode="External" /><Relationship Type="http://schemas.openxmlformats.org/officeDocument/2006/relationships/hyperlink" Id="rId73" Target="https://doi.org/10.1016/B978-0-444-63459-7.00010-5" TargetMode="External" /><Relationship Type="http://schemas.openxmlformats.org/officeDocument/2006/relationships/hyperlink" Id="rId95" Target="https://doi.org/10.1016/j.econedurev.2017.12.003" TargetMode="External" /><Relationship Type="http://schemas.openxmlformats.org/officeDocument/2006/relationships/hyperlink" Id="rId71" Target="https://doi.org/10.1016/j.econedurev.2020.101971" TargetMode="External" /><Relationship Type="http://schemas.openxmlformats.org/officeDocument/2006/relationships/hyperlink" Id="rId55" Target="https://doi.org/10.1016/j.ijedudev.2015.11.008" TargetMode="External" /><Relationship Type="http://schemas.openxmlformats.org/officeDocument/2006/relationships/hyperlink" Id="rId89" Target="https://doi.org/10.1016/j.ijedudev.2015.11.013" TargetMode="External" /><Relationship Type="http://schemas.openxmlformats.org/officeDocument/2006/relationships/hyperlink" Id="rId65" Target="https://doi.org/10.1016/j.socscimed.2017.12.005" TargetMode="External" /><Relationship Type="http://schemas.openxmlformats.org/officeDocument/2006/relationships/hyperlink" Id="rId97" Target="https://doi.org/10.1016/j.worlddev.2011.07.029" TargetMode="External" /><Relationship Type="http://schemas.openxmlformats.org/officeDocument/2006/relationships/hyperlink" Id="rId61" Target="https://doi.org/10.1016/j.worlddev.2012.12.017" TargetMode="External" /><Relationship Type="http://schemas.openxmlformats.org/officeDocument/2006/relationships/hyperlink" Id="rId82" Target="https://doi.org/10.1080/00220380902952399" TargetMode="External" /><Relationship Type="http://schemas.openxmlformats.org/officeDocument/2006/relationships/hyperlink" Id="rId99" Target="https://doi.org/10.1086/680324" TargetMode="External" /><Relationship Type="http://schemas.openxmlformats.org/officeDocument/2006/relationships/hyperlink" Id="rId101" Target="https://doi.org/10.1093/jeea/jvaa019" TargetMode="External" /><Relationship Type="http://schemas.openxmlformats.org/officeDocument/2006/relationships/hyperlink" Id="rId93" Target="https://doi.org/10.1093/wber/lhm004" TargetMode="External" /><Relationship Type="http://schemas.openxmlformats.org/officeDocument/2006/relationships/hyperlink" Id="rId67" Target="https://doi.org/10.1093/wber/lhn003" TargetMode="External" /><Relationship Type="http://schemas.openxmlformats.org/officeDocument/2006/relationships/hyperlink" Id="rId76" Target="https://doi.org/10.1111/1468-0297.00099" TargetMode="External" /><Relationship Type="http://schemas.openxmlformats.org/officeDocument/2006/relationships/hyperlink" Id="rId63" Target="https://doi.org/10.1111/j.1468-0297.2011.02482.x" TargetMode="External" /><Relationship Type="http://schemas.openxmlformats.org/officeDocument/2006/relationships/hyperlink" Id="rId87" Target="https://doi.org/10.1162/rest.90.4.643" TargetMode="External" /><Relationship Type="http://schemas.openxmlformats.org/officeDocument/2006/relationships/hyperlink" Id="rId69" Target="https://doi.org/10.1257/0002828041464560" TargetMode="External" /><Relationship Type="http://schemas.openxmlformats.org/officeDocument/2006/relationships/hyperlink" Id="rId59" Target="https://doi.org/10.1257/aer.90.4.847" TargetMode="External" /><Relationship Type="http://schemas.openxmlformats.org/officeDocument/2006/relationships/hyperlink" Id="rId78" Target="https://doi.org/10.1257/jel.46.3.607" TargetMode="External" /><Relationship Type="http://schemas.openxmlformats.org/officeDocument/2006/relationships/hyperlink" Id="rId53" Target="https://doi.org/10.1596/1813-9450-8314" TargetMode="External" /><Relationship Type="http://schemas.openxmlformats.org/officeDocument/2006/relationships/hyperlink" Id="rId51" Target="https://doi.org/10.17605/OSF.IO/JRBT8" TargetMode="External" /><Relationship Type="http://schemas.openxmlformats.org/officeDocument/2006/relationships/hyperlink" Id="rId80" Target="https://doi.org/10.1787/9789264234833-en" TargetMode="External" /><Relationship Type="http://schemas.openxmlformats.org/officeDocument/2006/relationships/hyperlink" Id="rId84" Target="https://doi.org/10.2307/1911408" TargetMode="External" /><Relationship Type="http://schemas.openxmlformats.org/officeDocument/2006/relationships/hyperlink" Id="rId91" Target="https://doi.org/10.2307/2087176" TargetMode="External" /><Relationship Type="http://schemas.openxmlformats.org/officeDocument/2006/relationships/hyperlink" Id="rId50" Target="https://github.com/shotazurabishvili/AID" TargetMode="External" /></Relationships>
</file>

<file path=word/_rels/footnotes.xml.rels><?xml version="1.0" encoding="UTF-8"?><Relationships xmlns="http://schemas.openxmlformats.org/package/2006/relationships"><Relationship Type="http://schemas.openxmlformats.org/officeDocument/2006/relationships/hyperlink" Id="rId38" Target="../docs/decisions/0004-hlo-measure.md" TargetMode="External" /><Relationship Type="http://schemas.openxmlformats.org/officeDocument/2006/relationships/hyperlink" Id="rId39" Target="../docs/decisions/0006-uis-missingness-strategy.md" TargetMode="External" /><Relationship Type="http://schemas.openxmlformats.org/officeDocument/2006/relationships/hyperlink" Id="rId40" Target="../docs/decisions/0012-retirement-of-uis-multiple-imputation.md" TargetMode="External" /><Relationship Type="http://schemas.openxmlformats.org/officeDocument/2006/relationships/hyperlink" Id="rId57" Target="https://doi.org/10.1007/s10258-002-0009-9" TargetMode="External" /><Relationship Type="http://schemas.openxmlformats.org/officeDocument/2006/relationships/hyperlink" Id="rId73" Target="https://doi.org/10.1016/B978-0-444-63459-7.00010-5" TargetMode="External" /><Relationship Type="http://schemas.openxmlformats.org/officeDocument/2006/relationships/hyperlink" Id="rId95" Target="https://doi.org/10.1016/j.econedurev.2017.12.003" TargetMode="External" /><Relationship Type="http://schemas.openxmlformats.org/officeDocument/2006/relationships/hyperlink" Id="rId71" Target="https://doi.org/10.1016/j.econedurev.2020.101971" TargetMode="External" /><Relationship Type="http://schemas.openxmlformats.org/officeDocument/2006/relationships/hyperlink" Id="rId55" Target="https://doi.org/10.1016/j.ijedudev.2015.11.008" TargetMode="External" /><Relationship Type="http://schemas.openxmlformats.org/officeDocument/2006/relationships/hyperlink" Id="rId89" Target="https://doi.org/10.1016/j.ijedudev.2015.11.013" TargetMode="External" /><Relationship Type="http://schemas.openxmlformats.org/officeDocument/2006/relationships/hyperlink" Id="rId65" Target="https://doi.org/10.1016/j.socscimed.2017.12.005" TargetMode="External" /><Relationship Type="http://schemas.openxmlformats.org/officeDocument/2006/relationships/hyperlink" Id="rId97" Target="https://doi.org/10.1016/j.worlddev.2011.07.029" TargetMode="External" /><Relationship Type="http://schemas.openxmlformats.org/officeDocument/2006/relationships/hyperlink" Id="rId61" Target="https://doi.org/10.1016/j.worlddev.2012.12.017" TargetMode="External" /><Relationship Type="http://schemas.openxmlformats.org/officeDocument/2006/relationships/hyperlink" Id="rId82" Target="https://doi.org/10.1080/00220380902952399" TargetMode="External" /><Relationship Type="http://schemas.openxmlformats.org/officeDocument/2006/relationships/hyperlink" Id="rId99" Target="https://doi.org/10.1086/680324" TargetMode="External" /><Relationship Type="http://schemas.openxmlformats.org/officeDocument/2006/relationships/hyperlink" Id="rId101" Target="https://doi.org/10.1093/jeea/jvaa019" TargetMode="External" /><Relationship Type="http://schemas.openxmlformats.org/officeDocument/2006/relationships/hyperlink" Id="rId93" Target="https://doi.org/10.1093/wber/lhm004" TargetMode="External" /><Relationship Type="http://schemas.openxmlformats.org/officeDocument/2006/relationships/hyperlink" Id="rId67" Target="https://doi.org/10.1093/wber/lhn003" TargetMode="External" /><Relationship Type="http://schemas.openxmlformats.org/officeDocument/2006/relationships/hyperlink" Id="rId76" Target="https://doi.org/10.1111/1468-0297.00099" TargetMode="External" /><Relationship Type="http://schemas.openxmlformats.org/officeDocument/2006/relationships/hyperlink" Id="rId63" Target="https://doi.org/10.1111/j.1468-0297.2011.02482.x" TargetMode="External" /><Relationship Type="http://schemas.openxmlformats.org/officeDocument/2006/relationships/hyperlink" Id="rId87" Target="https://doi.org/10.1162/rest.90.4.643" TargetMode="External" /><Relationship Type="http://schemas.openxmlformats.org/officeDocument/2006/relationships/hyperlink" Id="rId69" Target="https://doi.org/10.1257/0002828041464560" TargetMode="External" /><Relationship Type="http://schemas.openxmlformats.org/officeDocument/2006/relationships/hyperlink" Id="rId59" Target="https://doi.org/10.1257/aer.90.4.847" TargetMode="External" /><Relationship Type="http://schemas.openxmlformats.org/officeDocument/2006/relationships/hyperlink" Id="rId78" Target="https://doi.org/10.1257/jel.46.3.607" TargetMode="External" /><Relationship Type="http://schemas.openxmlformats.org/officeDocument/2006/relationships/hyperlink" Id="rId53" Target="https://doi.org/10.1596/1813-9450-8314" TargetMode="External" /><Relationship Type="http://schemas.openxmlformats.org/officeDocument/2006/relationships/hyperlink" Id="rId51" Target="https://doi.org/10.17605/OSF.IO/JRBT8" TargetMode="External" /><Relationship Type="http://schemas.openxmlformats.org/officeDocument/2006/relationships/hyperlink" Id="rId80" Target="https://doi.org/10.1787/9789264234833-en" TargetMode="External" /><Relationship Type="http://schemas.openxmlformats.org/officeDocument/2006/relationships/hyperlink" Id="rId84" Target="https://doi.org/10.2307/1911408" TargetMode="External" /><Relationship Type="http://schemas.openxmlformats.org/officeDocument/2006/relationships/hyperlink" Id="rId91" Target="https://doi.org/10.2307/2087176" TargetMode="External" /><Relationship Type="http://schemas.openxmlformats.org/officeDocument/2006/relationships/hyperlink" Id="rId50" Target="https://github.com/shotazurabishvili/AI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Measuring Aid for Learning: What Cross-Country Panel Evidence Can and Cannot Say</dc:title>
  <dc:creator>Shota Zurabishvili</dc:creator>
  <cp:keywords>education aid, learning outcomes, cross-country panel, fixed effects, methodological discipline, AI readiness, sub-Saharan Africa</cp:keywords>
  <dcterms:created xsi:type="dcterms:W3CDTF">2026-05-27T00:13:36Z</dcterms:created>
  <dcterms:modified xsi:type="dcterms:W3CDTF">2026-05-27T00:13:36Z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title">
    <vt:lpwstr>Abstract</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sl">
    <vt:lpwstr>apa.csl</vt:lpwstr>
  </property>
  <property fmtid="{D5CDD505-2E9C-101B-9397-08002B2CF9AE}" pid="10" name="date">
    <vt:lpwstr>2026-05-23</vt:lpwstr>
  </property>
  <property fmtid="{D5CDD505-2E9C-101B-9397-08002B2CF9AE}" pid="11" name="engines">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nk-citations">
    <vt:lpwstr>True</vt:lpwstr>
  </property>
  <property fmtid="{D5CDD505-2E9C-101B-9397-08002B2CF9AE}" pid="17" name="number-depth">
    <vt:lpwstr>2</vt:lpwstr>
  </property>
  <property fmtid="{D5CDD505-2E9C-101B-9397-08002B2CF9AE}" pid="18" name="toc-title">
    <vt:lpwstr>Table of contents</vt:lpwstr>
  </property>
</Properties>
</file>