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3808C"/>
          <w:spacing w:val="40"/>
          <w:sz w:val="24"/>
          <w:szCs w:val="24"/>
        </w:rPr>
        <w:t xml:space="preserve">WEBSITE COPY DECK</w:t>
      </w:r>
    </w:p>
    <w:p>
      <w:pPr>
        <w:spacing w:after="100" w:before="100"/>
        <w:jc w:val="center"/>
      </w:pPr>
      <w:r>
        <w:rPr>
          <w:rFonts w:ascii="Calibri" w:cs="Calibri" w:eastAsia="Calibri" w:hAnsi="Calibri"/>
          <w:b/>
          <w:bCs/>
          <w:color w:val="0B2545"/>
          <w:sz w:val="72"/>
          <w:szCs w:val="72"/>
        </w:rPr>
        <w:t xml:space="preserve">Consolidated</w:t>
      </w:r>
    </w:p>
    <w:p>
      <w:pPr>
        <w:spacing w:after="600" w:before="0"/>
        <w:jc w:val="center"/>
      </w:pPr>
      <w:r>
        <w:rPr>
          <w:rFonts w:ascii="Calibri" w:cs="Calibri" w:eastAsia="Calibri" w:hAnsi="Calibri"/>
          <w:b/>
          <w:bCs/>
          <w:color w:val="0B2545"/>
          <w:sz w:val="72"/>
          <w:szCs w:val="72"/>
        </w:rPr>
        <w:t xml:space="preserve">Default Services</w:t>
      </w:r>
    </w:p>
    <w:p>
      <w:pPr>
        <w:spacing w:after="200" w:before="200"/>
        <w:jc w:val="center"/>
      </w:pPr>
      <w:r>
        <w:rPr>
          <w:rFonts w:ascii="Calibri" w:cs="Calibri" w:eastAsia="Calibri" w:hAnsi="Calibri"/>
          <w:color w:val="555555"/>
          <w:sz w:val="26"/>
          <w:szCs w:val="26"/>
        </w:rPr>
        <w:t xml:space="preserve">Phase 1 — Foundation Site (4 Pages)</w:t>
      </w:r>
    </w:p>
    <w:p>
      <w:pPr>
        <w:spacing w:after="60" w:before="1200"/>
        <w:jc w:val="center"/>
      </w:pPr>
      <w:r>
        <w:rPr>
          <w:rFonts w:ascii="Calibri" w:cs="Calibri" w:eastAsia="Calibri" w:hAnsi="Calibri"/>
          <w:color w:val="555555"/>
          <w:sz w:val="22"/>
          <w:szCs w:val="22"/>
        </w:rPr>
        <w:t xml:space="preserve">Prepared by: Propagate</w:t>
      </w:r>
    </w:p>
    <w:p>
      <w:pPr>
        <w:spacing w:after="40" w:before="40"/>
        <w:jc w:val="center"/>
      </w:pPr>
      <w:r>
        <w:rPr>
          <w:rFonts w:ascii="Calibri" w:cs="Calibri" w:eastAsia="Calibri" w:hAnsi="Calibri"/>
          <w:color w:val="555555"/>
          <w:sz w:val="22"/>
          <w:szCs w:val="22"/>
        </w:rPr>
        <w:t>Version: 7 (Working Baseline)</w:t>
      </w:r>
    </w:p>
    <w:p>
      <w:pPr>
        <w:spacing w:after="40" w:before="40"/>
        <w:jc w:val="center"/>
      </w:pPr>
      <w:r>
        <w:rPr>
          <w:rFonts w:ascii="Calibri" w:cs="Calibri" w:eastAsia="Calibri" w:hAnsi="Calibri"/>
          <w:color w:val="555555"/>
          <w:sz w:val="22"/>
          <w:szCs w:val="22"/>
        </w:rPr>
        <w:t>Date: September 3, 2026</w:t>
      </w:r>
    </w:p>
    <w:p>
      <w:pPr>
        <w:spacing w:after="40" w:before="40"/>
        <w:jc w:val="center"/>
      </w:pPr>
      <w:r>
        <w:rPr>
          <w:rFonts w:ascii="Calibri" w:cs="Calibri" w:eastAsia="Calibri" w:hAnsi="Calibri"/>
          <w:color w:val="555555"/>
          <w:sz w:val="22"/>
          <w:szCs w:val="22"/>
        </w:rPr>
        <w:t>Status: V7 — Hero restructure and lead paragraph rewrite</w:t>
      </w:r>
    </w:p>
    <w:p>
      <w:pPr>
        <w:spacing w:after="40" w:before="40"/>
        <w:jc w:val="center"/>
      </w:pPr>
      <w:r>
        <w:rPr>
          <w:rFonts w:ascii="Calibri" w:cs="Calibri" w:eastAsia="Calibri" w:hAnsi="Calibri"/>
          <w:i/>
          <w:iCs/>
          <w:color w:val="555555"/>
          <w:sz w:val="22"/>
          <w:szCs w:val="22"/>
        </w:rPr>
        <w:t>Wireframe: cds-wireframe-v5.jsx</w:t>
      </w:r>
    </w:p>
    <w:p>
      <w:r>
        <w:br w:type="page"/>
      </w:r>
    </w:p>
    <w:p>
      <w:pPr>
        <w:pStyle w:val="Heading1"/>
        <w:spacing w:after="180" w:before="360"/>
      </w:pPr>
      <w:r>
        <w:rPr>
          <w:rFonts w:ascii="Calibri" w:cs="Calibri" w:eastAsia="Calibri" w:hAnsi="Calibri"/>
          <w:b/>
          <w:bCs/>
          <w:color w:val="0B2545"/>
          <w:sz w:val="36"/>
          <w:szCs w:val="36"/>
        </w:rPr>
        <w:t xml:space="preserve">About This Document</w:t>
      </w:r>
    </w:p>
    <w:p>
      <w:pPr>
        <w:spacing w:after="60" w:before="60"/>
      </w:pPr>
      <w:r>
        <w:rPr>
          <w:rFonts w:ascii="Calibri" w:cs="Calibri" w:eastAsia="Calibri" w:hAnsi="Calibri"/>
          <w:color w:val="555555"/>
          <w:sz w:val="22"/>
          <w:szCs w:val="22"/>
        </w:rPr>
        <w:t xml:space="preserve">This is the working copy deck for the CDS Phase 1 foundation site. It contains the draft copy for all four pages — Homepage, About Us, Services Overview, and Contact — organized to match the wireframe structure.</w:t>
      </w:r>
    </w:p>
    <w:p>
      <w:pPr>
        <w:spacing w:after="60" w:before="60"/>
      </w:pPr>
      <w:r>
        <w:rPr>
          <w:rFonts w:ascii="Calibri" w:cs="Calibri" w:eastAsia="Calibri" w:hAnsi="Calibri"/>
          <w:color w:val="555555"/>
          <w:sz w:val="22"/>
          <w:szCs w:val="22"/>
        </w:rPr>
        <w:t>V6 folded in the writer's V5 refinements as the working baseline. V7 restructures the Homepage Hero — the subhead, positioning line, and CTAs move out of the hero into a new CDS Overview section between the Stats Bar and the Challenge, with a rewritten opening paragraph. Sections updated in V7 are marked with a teal V7 CHANGE badge.</w:t>
      </w:r>
    </w:p>
    <w:p>
      <w:r>
        <w:t xml:space="preserve"/>
      </w:r>
    </w:p>
    <w:p>
      <w:pPr>
        <w:pStyle w:val="Heading3"/>
        <w:spacing w:after="80" w:before="200"/>
      </w:pPr>
      <w:r>
        <w:rPr>
          <w:rFonts w:ascii="Calibri" w:cs="Calibri" w:eastAsia="Calibri" w:hAnsi="Calibri"/>
          <w:b/>
          <w:bCs/>
          <w:color w:val="0B2545"/>
          <w:sz w:val="24"/>
          <w:szCs w:val="24"/>
        </w:rPr>
        <w:t xml:space="preserve">Formatting Key</w:t>
      </w:r>
    </w:p>
    <w:p>
      <w:pPr>
        <w:pStyle w:val="ListParagraph"/>
        <w:numPr>
          <w:ilvl w:val="0"/>
          <w:numId w:val="2"/>
        </w:numPr>
        <w:spacing w:after="40" w:before="40"/>
      </w:pPr>
      <w:r>
        <w:rPr>
          <w:rFonts w:ascii="Calibri" w:cs="Calibri" w:eastAsia="Calibri" w:hAnsi="Calibri"/>
          <w:color w:val="555555"/>
          <w:sz w:val="22"/>
          <w:szCs w:val="22"/>
        </w:rPr>
        <w:t xml:space="preserve">Navy section headers indicate page and section structure</w:t>
      </w:r>
    </w:p>
    <w:p>
      <w:pPr>
        <w:pStyle w:val="ListParagraph"/>
        <w:numPr>
          <w:ilvl w:val="0"/>
          <w:numId w:val="2"/>
        </w:numPr>
        <w:spacing w:after="40" w:before="40"/>
      </w:pPr>
      <w:r>
        <w:rPr>
          <w:rFonts w:ascii="Calibri" w:cs="Calibri" w:eastAsia="Calibri" w:hAnsi="Calibri"/>
          <w:color w:val="555555"/>
          <w:sz w:val="22"/>
          <w:szCs w:val="22"/>
        </w:rPr>
        <w:t xml:space="preserve">Teal labels indicate wireframe component slots (Eyebrow, Headline, Body, etc.)</w:t>
      </w:r>
    </w:p>
    <w:p>
      <w:pPr>
        <w:pStyle w:val="ListParagraph"/>
        <w:numPr>
          <w:ilvl w:val="0"/>
          <w:numId w:val="2"/>
        </w:numPr>
        <w:spacing w:after="40" w:before="40"/>
      </w:pPr>
      <w:r>
        <w:rPr>
          <w:rFonts w:ascii="Calibri" w:cs="Calibri" w:eastAsia="Calibri" w:hAnsi="Calibri"/>
          <w:color w:val="555555"/>
          <w:sz w:val="22"/>
          <w:szCs w:val="22"/>
        </w:rPr>
        <w:t xml:space="preserve">Yellow WRITER NOTE boxes flag items needing client input or further refinement</w:t>
      </w:r>
    </w:p>
    <w:p>
      <w:pPr>
        <w:pStyle w:val="ListParagraph"/>
        <w:numPr>
          <w:ilvl w:val="0"/>
          <w:numId w:val="2"/>
        </w:numPr>
        <w:spacing w:after="40" w:before="40"/>
      </w:pPr>
      <w:r>
        <w:rPr>
          <w:rFonts w:ascii="Calibri" w:cs="Calibri" w:eastAsia="Calibri" w:hAnsi="Calibri"/>
          <w:color w:val="555555"/>
          <w:sz w:val="22"/>
          <w:szCs w:val="22"/>
        </w:rPr>
        <w:t>Teal V7 CHANGE boxes flag copy that moved from V6 → V7 (older V6 CHANGE badges preserved for history)</w:t>
      </w:r>
    </w:p>
    <w:p>
      <w:r>
        <w:t xml:space="preserve"/>
      </w:r>
    </w:p>
    <w:p>
      <w:pPr>
        <w:pStyle w:val="Heading3"/>
        <w:spacing w:after="80" w:before="200"/>
      </w:pPr>
      <w:r>
        <w:rPr>
          <w:rFonts w:ascii="Calibri" w:cs="Calibri" w:eastAsia="Calibri" w:hAnsi="Calibri"/>
          <w:b/>
          <w:bCs/>
          <w:color w:val="0B2545"/>
          <w:sz w:val="24"/>
          <w:szCs w:val="24"/>
        </w:rPr>
        <w:t xml:space="preserve">Target Audience</w:t>
      </w:r>
    </w:p>
    <w:p>
      <w:pPr>
        <w:spacing w:after="60" w:before="60"/>
      </w:pPr>
      <w:r>
        <w:rPr>
          <w:rFonts w:ascii="Calibri" w:cs="Calibri" w:eastAsia="Calibri" w:hAnsi="Calibri"/>
          <w:color w:val="555555"/>
          <w:sz w:val="22"/>
          <w:szCs w:val="22"/>
        </w:rPr>
        <w:t xml:space="preserve">Mortgage servicers, financial institutions, and default management decision-makers. Tone should convey institutional credibility, operational expertise, and risk mitigation focus.</w:t>
      </w:r>
    </w:p>
    <w:p>
      <w:r>
        <w:t xml:space="preserve"/>
      </w:r>
    </w:p>
    <w:p>
      <w:pPr>
        <w:pStyle w:val="Heading3"/>
        <w:spacing w:after="80" w:before="200"/>
      </w:pPr>
      <w:r>
        <w:rPr>
          <w:rFonts w:ascii="Calibri" w:cs="Calibri" w:eastAsia="Calibri" w:hAnsi="Calibri"/>
          <w:b/>
          <w:bCs/>
          <w:color w:val="0B2545"/>
          <w:sz w:val="24"/>
          <w:szCs w:val="24"/>
        </w:rPr>
        <w:t xml:space="preserve">SEO Keywords (Reference)</w:t>
      </w:r>
    </w:p>
    <w:p>
      <w:pPr>
        <w:spacing w:after="60" w:before="60"/>
      </w:pPr>
      <w:r>
        <w:rPr>
          <w:rFonts w:ascii="Calibri" w:cs="Calibri" w:eastAsia="Calibri" w:hAnsi="Calibri"/>
          <w:color w:val="555555"/>
          <w:sz w:val="22"/>
          <w:szCs w:val="22"/>
        </w:rPr>
        <w:t xml:space="preserve">mortgage default services, foreclosure oversight, bankruptcy oversight, vendor management, attorney scorecarding, default portfolio management, claims oversight, title curative, loss mitigation oversight</w:t>
      </w:r>
    </w:p>
    <w:p>
      <w:r>
        <w:t xml:space="preserve"/>
      </w:r>
    </w:p>
    <w:p>
      <w:pPr>
        <w:pStyle w:val="Heading3"/>
        <w:spacing w:after="80" w:before="200"/>
      </w:pPr>
      <w:r>
        <w:rPr>
          <w:rFonts w:ascii="Calibri" w:cs="Calibri" w:eastAsia="Calibri" w:hAnsi="Calibri"/>
          <w:b/>
          <w:bCs/>
          <w:color w:val="0B2545"/>
          <w:sz w:val="24"/>
          <w:szCs w:val="24"/>
        </w:rPr>
        <w:t>Summary of V6 → V7 Changes</w:t>
      </w:r>
    </w:p>
    <w:p>
      <w:pPr>
        <w:pStyle w:val="ListParagraph"/>
        <w:numPr>
          <w:ilvl w:val="0"/>
          <w:numId w:val="2"/>
        </w:numPr>
        <w:spacing w:after="40" w:before="40"/>
      </w:pPr>
      <w:r>
        <w:t xml:space="preserve">Homepage Hero: subhead, positioning line, and CTAs removed. Hero now leads with eyebrow and headline only.</w:t>
      </w:r>
    </w:p>
    <w:p>
      <w:pPr>
        <w:pStyle w:val="ListParagraph"/>
        <w:numPr>
          <w:ilvl w:val="0"/>
          <w:numId w:val="2"/>
        </w:numPr>
        <w:spacing w:after="40" w:before="40"/>
      </w:pPr>
      <w:r>
        <w:t xml:space="preserve">Homepage: New CDS Overview section added between Stats Bar and Challenge. Contains the moved body copy (rewritten), positioning line, and CTAs, paired with a compass illustration on the left.</w:t>
      </w:r>
    </w:p>
    <w:p>
      <w:pPr>
        <w:pStyle w:val="ListParagraph"/>
        <w:numPr>
          <w:ilvl w:val="0"/>
          <w:numId w:val="2"/>
        </w:numPr>
        <w:spacing w:after="40" w:before="40"/>
      </w:pPr>
      <w:r>
        <w:t xml:space="preserve">Opening paragraph rewritten to lead with what CDS is rather than restating the problem, so the section does not overlap with the Challenge copy directly below it.</w:t>
      </w:r>
    </w:p>
    <w:p>
      <w:pPr>
        <w:pStyle w:val="ListParagraph"/>
        <w:numPr>
          <w:ilvl w:val="0"/>
          <w:numId w:val="2"/>
        </w:numPr>
        <w:spacing w:after="40" w:before="40"/>
      </w:pPr>
      <w:r>
        <w:t xml:space="preserve">All other sections unchanged from V6.</w:t>
      </w:r>
    </w:p>
    <w:p>
      <w:pPr>
        <w:pStyle w:val="ListParagraph"/>
        <w:numPr>
          <w:ilvl w:val="0"/>
          <w:numId w:val="2"/>
        </w:numPr>
        <w:spacing w:after="40" w:before="40"/>
      </w:pPr>
      <w:r>
        <w:rPr>
          <w:i/>
        </w:rPr>
        <w:t xml:space="preserve">Previous (V5 → V6):</w:t>
      </w:r>
    </w:p>
    <w:p>
      <w:pPr>
        <w:pStyle w:val="ListParagraph"/>
        <w:numPr>
          <w:ilvl w:val="0"/>
          <w:numId w:val="2"/>
        </w:numPr>
        <w:spacing w:after="40" w:before="40"/>
      </w:pPr>
      <w:r>
        <w:rPr>
          <w:rFonts w:ascii="Calibri" w:cs="Calibri" w:eastAsia="Calibri" w:hAnsi="Calibri"/>
          <w:color w:val="555555"/>
          <w:sz w:val="22"/>
          <w:szCs w:val="22"/>
        </w:rPr>
        <w:t xml:space="preserve">Homepage Hero: new headline, new positioning line, rewritten subhead, refined eyebrow</w:t>
      </w:r>
    </w:p>
    <w:p>
      <w:pPr>
        <w:pStyle w:val="ListParagraph"/>
        <w:numPr>
          <w:ilvl w:val="0"/>
          <w:numId w:val="2"/>
        </w:numPr>
        <w:spacing w:after="40" w:before="40"/>
      </w:pPr>
      <w:r>
        <w:rPr>
          <w:rFonts w:ascii="Calibri" w:cs="Calibri" w:eastAsia="Calibri" w:hAnsi="Calibri"/>
          <w:color w:val="555555"/>
          <w:sz w:val="22"/>
          <w:szCs w:val="22"/>
        </w:rPr>
        <w:t xml:space="preserve">Homepage Stats Bar: label refinements</w:t>
      </w:r>
    </w:p>
    <w:p>
      <w:pPr>
        <w:pStyle w:val="ListParagraph"/>
        <w:numPr>
          <w:ilvl w:val="0"/>
          <w:numId w:val="2"/>
        </w:numPr>
        <w:spacing w:after="40" w:before="40"/>
      </w:pPr>
      <w:r>
        <w:rPr>
          <w:rFonts w:ascii="Calibri" w:cs="Calibri" w:eastAsia="Calibri" w:hAnsi="Calibri"/>
          <w:color w:val="555555"/>
          <w:sz w:val="22"/>
          <w:szCs w:val="22"/>
        </w:rPr>
        <w:t xml:space="preserve">Homepage Challenge section: Card 2 renamed, new closing line added</w:t>
      </w:r>
    </w:p>
    <w:p>
      <w:pPr>
        <w:pStyle w:val="ListParagraph"/>
        <w:numPr>
          <w:ilvl w:val="0"/>
          <w:numId w:val="2"/>
        </w:numPr>
        <w:spacing w:after="40" w:before="40"/>
      </w:pPr>
      <w:r>
        <w:rPr>
          <w:rFonts w:ascii="Calibri" w:cs="Calibri" w:eastAsia="Calibri" w:hAnsi="Calibri"/>
          <w:color w:val="555555"/>
          <w:sz w:val="22"/>
          <w:szCs w:val="22"/>
        </w:rPr>
        <w:t xml:space="preserve">Homepage Service Selector: new eyebrow, headline, and intro framing</w:t>
      </w:r>
    </w:p>
    <w:p>
      <w:pPr>
        <w:pStyle w:val="ListParagraph"/>
        <w:numPr>
          <w:ilvl w:val="0"/>
          <w:numId w:val="2"/>
        </w:numPr>
        <w:spacing w:after="40" w:before="40"/>
      </w:pPr>
      <w:r>
        <w:rPr>
          <w:rFonts w:ascii="Calibri" w:cs="Calibri" w:eastAsia="Calibri" w:hAnsi="Calibri"/>
          <w:color w:val="555555"/>
          <w:sz w:val="22"/>
          <w:szCs w:val="22"/>
        </w:rPr>
        <w:t xml:space="preserve">Homepage Proven Track Record: Top-10 → Top-Tier</w:t>
      </w:r>
    </w:p>
    <w:p>
      <w:pPr>
        <w:pStyle w:val="ListParagraph"/>
        <w:numPr>
          <w:ilvl w:val="0"/>
          <w:numId w:val="2"/>
        </w:numPr>
        <w:spacing w:after="40" w:before="40"/>
      </w:pPr>
      <w:r>
        <w:rPr>
          <w:rFonts w:ascii="Calibri" w:cs="Calibri" w:eastAsia="Calibri" w:hAnsi="Calibri"/>
          <w:color w:val="555555"/>
          <w:sz w:val="22"/>
          <w:szCs w:val="22"/>
        </w:rPr>
        <w:t xml:space="preserve">About Us Our Story: complete rewrite</w:t>
      </w:r>
    </w:p>
    <w:p>
      <w:pPr>
        <w:pStyle w:val="ListParagraph"/>
        <w:numPr>
          <w:ilvl w:val="0"/>
          <w:numId w:val="2"/>
        </w:numPr>
        <w:spacing w:after="40" w:before="40"/>
      </w:pPr>
      <w:r>
        <w:rPr>
          <w:rFonts w:ascii="Calibri" w:cs="Calibri" w:eastAsia="Calibri" w:hAnsi="Calibri"/>
          <w:color w:val="555555"/>
          <w:sz w:val="22"/>
          <w:szCs w:val="22"/>
        </w:rPr>
        <w:t xml:space="preserve">About Us Pull Quote: complete rewrite</w:t>
      </w:r>
    </w:p>
    <w:p>
      <w:pPr>
        <w:pStyle w:val="ListParagraph"/>
        <w:numPr>
          <w:ilvl w:val="0"/>
          <w:numId w:val="2"/>
        </w:numPr>
        <w:spacing w:after="40" w:before="40"/>
      </w:pPr>
      <w:r>
        <w:rPr>
          <w:rFonts w:ascii="Calibri" w:cs="Calibri" w:eastAsia="Calibri" w:hAnsi="Calibri"/>
          <w:color w:val="555555"/>
          <w:sz w:val="22"/>
          <w:szCs w:val="22"/>
        </w:rPr>
        <w:t xml:space="preserve">Services, Contact: unchanged</w:t>
      </w:r>
    </w:p>
    <w:p>
      <w:r>
        <w:br w:type="page"/>
      </w:r>
    </w:p>
    <w:p>
      <w:pPr>
        <w:pStyle w:val="Heading1"/>
        <w:spacing w:after="180" w:before="360"/>
      </w:pPr>
      <w:r>
        <w:rPr>
          <w:rFonts w:ascii="Calibri" w:cs="Calibri" w:eastAsia="Calibri" w:hAnsi="Calibri"/>
          <w:b/>
          <w:bCs/>
          <w:color w:val="0B2545"/>
          <w:sz w:val="36"/>
          <w:szCs w:val="36"/>
        </w:rPr>
        <w:t xml:space="preserve">Page 1: Homepage</w:t>
      </w:r>
    </w:p>
    <w:p>
      <w:pPr>
        <w:pStyle w:val="Heading2"/>
        <w:spacing w:after="120" w:before="300"/>
      </w:pPr>
      <w:r>
        <w:rPr>
          <w:rFonts w:ascii="Calibri" w:cs="Calibri" w:eastAsia="Calibri" w:hAnsi="Calibri"/>
          <w:b/>
          <w:bCs/>
          <w:color w:val="0B2545"/>
          <w:sz w:val="28"/>
          <w:szCs w:val="28"/>
        </w:rPr>
        <w:t xml:space="preserve">Global Navigation</w:t>
      </w:r>
    </w:p>
    <w:p>
      <w:pPr>
        <w:spacing w:after="80" w:before="80"/>
      </w:pPr>
      <w:r>
        <w:rPr>
          <w:rFonts w:ascii="Calibri" w:cs="Calibri" w:eastAsia="Calibri" w:hAnsi="Calibri"/>
          <w:b/>
          <w:bCs/>
          <w:color w:val="0B2545"/>
          <w:sz w:val="22"/>
          <w:szCs w:val="22"/>
        </w:rPr>
        <w:t xml:space="preserve">Logo Area: </w:t>
      </w:r>
      <w:r>
        <w:rPr>
          <w:rFonts w:ascii="Calibri" w:cs="Calibri" w:eastAsia="Calibri" w:hAnsi="Calibri"/>
          <w:color w:val="000000"/>
          <w:sz w:val="22"/>
          <w:szCs w:val="22"/>
        </w:rPr>
        <w:t xml:space="preserve">CDS logo mark + "Consolidated Default Services"</w:t>
      </w:r>
    </w:p>
    <w:p>
      <w:pPr>
        <w:spacing w:after="80" w:before="80"/>
      </w:pPr>
      <w:r>
        <w:rPr>
          <w:rFonts w:ascii="Calibri" w:cs="Calibri" w:eastAsia="Calibri" w:hAnsi="Calibri"/>
          <w:b/>
          <w:bCs/>
          <w:color w:val="0B2545"/>
          <w:sz w:val="22"/>
          <w:szCs w:val="22"/>
        </w:rPr>
        <w:t xml:space="preserve">Nav Links: </w:t>
      </w:r>
      <w:r>
        <w:rPr>
          <w:rFonts w:ascii="Calibri" w:cs="Calibri" w:eastAsia="Calibri" w:hAnsi="Calibri"/>
          <w:color w:val="000000"/>
          <w:sz w:val="22"/>
          <w:szCs w:val="22"/>
        </w:rPr>
        <w:t xml:space="preserve">Home | About Us | Services | Contact</w:t>
      </w:r>
    </w:p>
    <w:p>
      <w:pPr>
        <w:spacing w:after="80" w:before="80"/>
      </w:pPr>
      <w:r>
        <w:rPr>
          <w:rFonts w:ascii="Calibri" w:cs="Calibri" w:eastAsia="Calibri" w:hAnsi="Calibri"/>
          <w:b/>
          <w:bCs/>
          <w:color w:val="0B2545"/>
          <w:sz w:val="22"/>
          <w:szCs w:val="22"/>
        </w:rPr>
        <w:t xml:space="preserve">CTA Button: </w:t>
      </w:r>
      <w:r>
        <w:rPr>
          <w:rFonts w:ascii="Calibri" w:cs="Calibri" w:eastAsia="Calibri" w:hAnsi="Calibri"/>
          <w:color w:val="000000"/>
          <w:sz w:val="22"/>
          <w:szCs w:val="22"/>
        </w:rPr>
        <w:t xml:space="preserve">Get Started</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Navigation is consistent across all pages. "Get Started" links to the Contact page.</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Hero Section</w:t>
      </w:r>
    </w:p>
    <w:p>
      <w:pPr>
        <w:pBdr>
          <w:left w:val="single" w:color="13808C" w:sz="18" w:space="8"/>
        </w:pBdr>
        <w:shd w:fill="E5F3F4" w:val="clear"/>
        <w:spacing w:after="120" w:before="80"/>
        <w:ind w:left="180"/>
      </w:pPr>
      <w:r>
        <w:rPr>
          <w:b/>
        </w:rPr>
        <w:t xml:space="preserve">V7 CHANGE: </w:t>
      </w:r>
      <w:r>
        <w:rPr>
          <w:i/>
        </w:rPr>
        <w:t xml:space="preserve">Subhead, positioning line, and both CTAs removed from the hero and moved into the new CDS Overview section below the Stats Bar. Hero now leads with eyebrow and headline only. (V6 CHANGE history: eyebrow sharpened, headline replaced with benefit-driven positioning, positioning line added.)</w:t>
      </w:r>
    </w:p>
    <w:p>
      <w:pPr>
        <w:spacing w:after="40" w:before="120"/>
      </w:pPr>
      <w:r>
        <w:rPr>
          <w:rFonts w:ascii="Calibri" w:cs="Calibri" w:eastAsia="Calibri" w:hAnsi="Calibri"/>
          <w:b/>
          <w:bCs/>
          <w:color w:val="13808C"/>
          <w:spacing w:val="20"/>
          <w:sz w:val="18"/>
          <w:szCs w:val="18"/>
        </w:rPr>
        <w:t xml:space="preserve">EYEBROW</w:t>
      </w:r>
    </w:p>
    <w:p>
      <w:pPr>
        <w:spacing w:after="120" w:before="60"/>
      </w:pPr>
      <w:r>
        <w:rPr>
          <w:rFonts w:ascii="Calibri" w:cs="Calibri" w:eastAsia="Calibri" w:hAnsi="Calibri"/>
          <w:color w:val="000000"/>
          <w:sz w:val="22"/>
          <w:szCs w:val="22"/>
        </w:rPr>
        <w:t xml:space="preserve">Mortgage Default Oversight · Nationwide Since 2010</w:t>
      </w:r>
    </w:p>
    <w:p>
      <w:pPr>
        <w:spacing w:after="40" w:before="120"/>
      </w:pPr>
      <w:r>
        <w:rPr>
          <w:rFonts w:ascii="Calibri" w:cs="Calibri" w:eastAsia="Calibri" w:hAnsi="Calibri"/>
          <w:b/>
          <w:bCs/>
          <w:color w:val="13808C"/>
          <w:spacing w:val="20"/>
          <w:sz w:val="18"/>
          <w:szCs w:val="18"/>
        </w:rPr>
        <w:t xml:space="preserve">HEADLINE</w:t>
      </w:r>
    </w:p>
    <w:p>
      <w:pPr>
        <w:spacing w:after="120" w:before="60"/>
      </w:pPr>
      <w:r>
        <w:rPr>
          <w:rFonts w:ascii="Calibri" w:cs="Calibri" w:eastAsia="Calibri" w:hAnsi="Calibri"/>
          <w:b/>
          <w:bCs/>
          <w:color w:val="0B2545"/>
          <w:sz w:val="28"/>
          <w:szCs w:val="28"/>
        </w:rPr>
        <w:t xml:space="preserve">One Oversight Layer. Every Vendor. Every State.</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"Cradle-to-Grave" has been demoted from the H1 but still appears on the Services page headline and inside the About "Our Story" copy — worth a client check that they are comfortable with this.</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Stats Bar</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Trust indicators displayed as a horizontal stat bar beneath the hero. Labels refined in V5.</w:t>
      </w:r>
    </w:p>
    <w:p>
      <w:pPr>
        <w:spacing w:after="80" w:before="80"/>
      </w:pPr>
      <w:r>
        <w:rPr>
          <w:rFonts w:ascii="Calibri" w:cs="Calibri" w:eastAsia="Calibri" w:hAnsi="Calibri"/>
          <w:b/>
          <w:bCs/>
          <w:color w:val="0B2545"/>
          <w:sz w:val="22"/>
          <w:szCs w:val="22"/>
        </w:rPr>
        <w:t xml:space="preserve">Stat 1: </w:t>
      </w:r>
      <w:r>
        <w:rPr>
          <w:rFonts w:ascii="Calibri" w:cs="Calibri" w:eastAsia="Calibri" w:hAnsi="Calibri"/>
          <w:color w:val="000000"/>
          <w:sz w:val="22"/>
          <w:szCs w:val="22"/>
        </w:rPr>
        <w:t xml:space="preserve">Trusted Since — 2010</w:t>
      </w:r>
    </w:p>
    <w:p>
      <w:pPr>
        <w:spacing w:after="80" w:before="80"/>
      </w:pPr>
      <w:r>
        <w:rPr>
          <w:rFonts w:ascii="Calibri" w:cs="Calibri" w:eastAsia="Calibri" w:hAnsi="Calibri"/>
          <w:b/>
          <w:bCs/>
          <w:color w:val="0B2545"/>
          <w:sz w:val="22"/>
          <w:szCs w:val="22"/>
        </w:rPr>
        <w:t xml:space="preserve">Stat 2: </w:t>
      </w:r>
      <w:r>
        <w:rPr>
          <w:rFonts w:ascii="Calibri" w:cs="Calibri" w:eastAsia="Calibri" w:hAnsi="Calibri"/>
          <w:color w:val="000000"/>
          <w:sz w:val="22"/>
          <w:szCs w:val="22"/>
        </w:rPr>
        <w:t xml:space="preserve">All 94 — U.S. Bankruptcy Courts</w:t>
      </w:r>
    </w:p>
    <w:p>
      <w:pPr>
        <w:spacing w:after="80" w:before="80"/>
      </w:pPr>
      <w:r>
        <w:rPr>
          <w:rFonts w:ascii="Calibri" w:cs="Calibri" w:eastAsia="Calibri" w:hAnsi="Calibri"/>
          <w:b/>
          <w:bCs/>
          <w:color w:val="0B2545"/>
          <w:sz w:val="22"/>
          <w:szCs w:val="22"/>
        </w:rPr>
        <w:t xml:space="preserve">Stat 3: </w:t>
      </w:r>
      <w:r>
        <w:rPr>
          <w:rFonts w:ascii="Calibri" w:cs="Calibri" w:eastAsia="Calibri" w:hAnsi="Calibri"/>
          <w:color w:val="000000"/>
          <w:sz w:val="22"/>
          <w:szCs w:val="22"/>
        </w:rPr>
        <w:t xml:space="preserve">50+ — States Covered</w:t>
      </w:r>
    </w:p>
    <w:p>
      <w:pPr>
        <w:spacing w:after="80" w:before="80"/>
      </w:pPr>
      <w:r>
        <w:rPr>
          <w:rFonts w:ascii="Calibri" w:cs="Calibri" w:eastAsia="Calibri" w:hAnsi="Calibri"/>
          <w:b/>
          <w:bCs/>
          <w:color w:val="0B2545"/>
          <w:sz w:val="22"/>
          <w:szCs w:val="22"/>
        </w:rPr>
        <w:t xml:space="preserve">Stat 4: </w:t>
      </w:r>
      <w:r>
        <w:rPr>
          <w:rFonts w:ascii="Calibri" w:cs="Calibri" w:eastAsia="Calibri" w:hAnsi="Calibri"/>
          <w:color w:val="000000"/>
          <w:sz w:val="22"/>
          <w:szCs w:val="22"/>
        </w:rPr>
        <w:t xml:space="preserve">8 — Service Lines</w:t>
      </w:r>
    </w:p>
    <w:p>
      <w:pPr>
        <w:pBdr>
          <w:bottom w:val="single" w:color="DDDDDD" w:sz="6" w:space="1"/>
        </w:pBdr>
        <w:spacing w:after="120" w:before="120"/>
      </w:pPr>
      <w:r>
        <w:t xml:space="preserve"/>
      </w:r>
    </w:p>
    <w:p>
      <w:pPr>
        <w:pStyle w:val="Heading2"/>
        <w:spacing w:after="120" w:before="300"/>
      </w:pPr>
      <w:r>
        <w:rPr>
          <w:b/>
          <w:color w:val="0B2545"/>
        </w:rPr>
        <w:t xml:space="preserve">CDS Overview Section</w:t>
      </w:r>
    </w:p>
    <w:p>
      <w:pPr>
        <w:pBdr>
          <w:left w:val="single" w:color="13808C" w:sz="18" w:space="8"/>
        </w:pBdr>
        <w:shd w:fill="E5F3F4" w:val="clear"/>
        <w:spacing w:after="120" w:before="80"/>
        <w:ind w:left="180"/>
      </w:pPr>
      <w:r>
        <w:rPr>
          <w:b/>
        </w:rPr>
        <w:t xml:space="preserve">V7 CHANGE: </w:t>
      </w:r>
      <w:r>
        <w:rPr>
          <w:i/>
        </w:rPr>
        <w:t xml:space="preserve">New section. The subhead, positioning line, and CTAs previously in the hero move here, paired with a compass illustration. The opening paragraph is rewritten to lead with what CDS is, so it does not overlap with the Challenge copy directly below.</w:t>
      </w:r>
    </w:p>
    <w:p>
      <w:pPr>
        <w:spacing w:after="40" w:before="120"/>
      </w:pPr>
      <w:r>
        <w:rPr>
          <w:b/>
          <w:color w:val="13808C"/>
          <w:sz w:val="18"/>
        </w:rPr>
        <w:t xml:space="preserve">LEAD PARAGRAPH</w:t>
      </w:r>
    </w:p>
    <w:p>
      <w:pPr>
        <w:spacing w:after="120" w:before="60"/>
      </w:pPr>
      <w:r>
        <w:t xml:space="preserve">CDS is the dedicated oversight partner for mortgage servicers and investors managing default portfolios across the country. We bring every law firm, vendor, and jurisdiction working your portfolio under one standard of accountability, consistency, and visibility.</w:t>
      </w:r>
    </w:p>
    <w:p>
      <w:pPr>
        <w:spacing w:after="40" w:before="120"/>
      </w:pPr>
      <w:r>
        <w:rPr>
          <w:b/>
          <w:color w:val="13808C"/>
          <w:sz w:val="18"/>
        </w:rPr>
        <w:t xml:space="preserve">BODY</w:t>
      </w:r>
    </w:p>
    <w:p>
      <w:pPr>
        <w:spacing w:after="120" w:before="60"/>
      </w:pPr>
      <w:r>
        <w:t xml:space="preserve">We monitor every file, enforce every SLA, and hold every vendor accountable, so you stay compliant and in control without building the infrastructure to do it yourself.</w:t>
      </w:r>
    </w:p>
    <w:p>
      <w:pPr>
        <w:spacing w:after="40" w:before="120"/>
      </w:pPr>
      <w:r>
        <w:rPr>
          <w:b/>
          <w:color w:val="13808C"/>
          <w:sz w:val="18"/>
        </w:rPr>
        <w:t xml:space="preserve">POSITIONING LINE</w:t>
      </w:r>
    </w:p>
    <w:p>
      <w:pPr>
        <w:spacing w:after="120" w:before="60"/>
      </w:pPr>
      <w:r>
        <w:rPr>
          <w:b/>
          <w:i/>
          <w:color w:val="13808C"/>
        </w:rPr>
        <w:t xml:space="preserve">We don't replace your vendors. We make them perform.</w:t>
      </w:r>
    </w:p>
    <w:p>
      <w:pPr>
        <w:spacing w:after="120" w:before="60"/>
      </w:pPr>
      <w:r>
        <w:rPr>
          <w:b/>
        </w:rPr>
        <w:t xml:space="preserve">WRITER NOTE: </w:t>
      </w:r>
      <w:r>
        <w:rPr>
          <w:i/>
        </w:rPr>
        <w:t xml:space="preserve">Section pairs a compass illustration on the left with the copy block on the right. Lead paragraph is treated as a featured, orange-toned heading-style block; body and positioning line follow in standard body treatment. CTAs sit at the bottom of the copy column.</w:t>
      </w:r>
    </w:p>
    <w:p>
      <w:pPr>
        <w:spacing w:after="120" w:before="60"/>
      </w:pPr>
      <w:r>
        <w:rPr>
          <w:b/>
        </w:rPr>
        <w:t xml:space="preserve">Primary CTA: </w:t>
      </w:r>
      <w:r>
        <w:rPr/>
        <w:t xml:space="preserve">Schedule a Consultation</w:t>
      </w:r>
    </w:p>
    <w:p>
      <w:pPr>
        <w:spacing w:after="120" w:before="60"/>
      </w:pPr>
      <w:r>
        <w:rPr>
          <w:b/>
        </w:rPr>
        <w:t xml:space="preserve">Secondary CTA: </w:t>
      </w:r>
      <w:r>
        <w:rPr/>
        <w:t xml:space="preserve">Explore Services →</w:t>
      </w:r>
    </w:p>
    <w:p>
      <w:pPr>
        <w:pStyle w:val="Heading2"/>
        <w:spacing w:after="120" w:before="300"/>
      </w:pPr>
      <w:r>
        <w:rPr>
          <w:rFonts w:ascii="Calibri" w:cs="Calibri" w:eastAsia="Calibri" w:hAnsi="Calibri"/>
          <w:b/>
          <w:bCs/>
          <w:color w:val="0B2545"/>
          <w:sz w:val="28"/>
          <w:szCs w:val="28"/>
        </w:rPr>
        <w:t xml:space="preserve">The Challenge Section</w:t>
      </w:r>
    </w:p>
    <w:p>
      <w:pPr>
        <w:spacing w:after="40" w:before="120"/>
      </w:pPr>
      <w:r>
        <w:rPr>
          <w:rFonts w:ascii="Calibri" w:cs="Calibri" w:eastAsia="Calibri" w:hAnsi="Calibri"/>
          <w:b/>
          <w:bCs/>
          <w:color w:val="13808C"/>
          <w:spacing w:val="20"/>
          <w:sz w:val="18"/>
          <w:szCs w:val="18"/>
        </w:rPr>
        <w:t xml:space="preserve">SECTION EYEBROW</w:t>
      </w:r>
    </w:p>
    <w:p>
      <w:pPr>
        <w:spacing w:after="120" w:before="60"/>
      </w:pPr>
      <w:r>
        <w:rPr>
          <w:rFonts w:ascii="Calibri" w:cs="Calibri" w:eastAsia="Calibri" w:hAnsi="Calibri"/>
          <w:color w:val="000000"/>
          <w:sz w:val="22"/>
          <w:szCs w:val="22"/>
        </w:rPr>
        <w:t xml:space="preserve">The Challenge</w:t>
      </w:r>
    </w:p>
    <w:p>
      <w:pPr>
        <w:spacing w:after="40" w:before="120"/>
      </w:pPr>
      <w:r>
        <w:rPr>
          <w:rFonts w:ascii="Calibri" w:cs="Calibri" w:eastAsia="Calibri" w:hAnsi="Calibri"/>
          <w:b/>
          <w:bCs/>
          <w:color w:val="13808C"/>
          <w:spacing w:val="20"/>
          <w:sz w:val="18"/>
          <w:szCs w:val="18"/>
        </w:rPr>
        <w:t xml:space="preserve">SECTION HEADLINE</w:t>
      </w:r>
    </w:p>
    <w:p>
      <w:pPr>
        <w:spacing w:after="120" w:before="60"/>
      </w:pPr>
      <w:r>
        <w:rPr>
          <w:rFonts w:ascii="Calibri" w:cs="Calibri" w:eastAsia="Calibri" w:hAnsi="Calibri"/>
          <w:b/>
          <w:bCs/>
          <w:color w:val="000000"/>
          <w:sz w:val="22"/>
          <w:szCs w:val="22"/>
        </w:rPr>
        <w:t xml:space="preserve">Default Portfolios Are Getting Harder to Manage</w:t>
      </w:r>
    </w:p>
    <w:p>
      <w:pPr>
        <w:spacing w:after="40" w:before="120"/>
      </w:pPr>
      <w:r>
        <w:rPr>
          <w:rFonts w:ascii="Calibri" w:cs="Calibri" w:eastAsia="Calibri" w:hAnsi="Calibri"/>
          <w:b/>
          <w:bCs/>
          <w:color w:val="13808C"/>
          <w:spacing w:val="20"/>
          <w:sz w:val="18"/>
          <w:szCs w:val="18"/>
        </w:rPr>
        <w:t xml:space="preserve">SECTION SUBHEAD</w:t>
      </w:r>
    </w:p>
    <w:p>
      <w:pPr>
        <w:spacing w:after="120" w:before="60"/>
      </w:pPr>
      <w:r>
        <w:rPr>
          <w:rFonts w:ascii="Calibri" w:cs="Calibri" w:eastAsia="Calibri" w:hAnsi="Calibri"/>
          <w:color w:val="000000"/>
          <w:sz w:val="22"/>
          <w:szCs w:val="22"/>
        </w:rPr>
        <w:t xml:space="preserve">Dozens of law firms. Multiple states. Evolving regulations. And the cost of building oversight in-house keeps climbing. CDS is the single layer of accountability across all of it — so you don't have to be.</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Three problem cards displayed in a row, each with an icon, title, and description. This section sets up the value proposition before introducing the services.</w:t>
      </w:r>
    </w:p>
    <w:p>
      <w:pPr>
        <w:pStyle w:val="Heading3"/>
        <w:spacing w:after="80" w:before="200"/>
      </w:pPr>
      <w:r>
        <w:rPr>
          <w:rFonts w:ascii="Calibri" w:cs="Calibri" w:eastAsia="Calibri" w:hAnsi="Calibri"/>
          <w:b/>
          <w:bCs/>
          <w:color w:val="0B2545"/>
          <w:sz w:val="24"/>
          <w:szCs w:val="24"/>
        </w:rPr>
        <w:t xml:space="preserve">Challenge Card 1: Fragmented Vendor Networks</w:t>
      </w:r>
    </w:p>
    <w:p>
      <w:pPr>
        <w:spacing w:after="120" w:before="60"/>
      </w:pPr>
      <w:r>
        <w:rPr>
          <w:rFonts w:ascii="Calibri" w:cs="Calibri" w:eastAsia="Calibri" w:hAnsi="Calibri"/>
          <w:color w:val="000000"/>
          <w:sz w:val="22"/>
          <w:szCs w:val="22"/>
        </w:rPr>
        <w:t xml:space="preserve">Multiple law firms and vendors across jurisdictions with inconsistent processes, timelines, and reporting — creating blind spots.</w:t>
      </w:r>
    </w:p>
    <w:p>
      <w:pPr>
        <w:pStyle w:val="Heading3"/>
        <w:spacing w:after="80" w:before="200"/>
      </w:pPr>
      <w:r>
        <w:rPr>
          <w:rFonts w:ascii="Calibri" w:cs="Calibri" w:eastAsia="Calibri" w:hAnsi="Calibri"/>
          <w:b/>
          <w:bCs/>
          <w:color w:val="0B2545"/>
          <w:sz w:val="24"/>
          <w:szCs w:val="24"/>
        </w:rPr>
        <w:t xml:space="preserve">Challenge Card 2: An Unforgiving Compliance Environment</w:t>
      </w:r>
    </w:p>
    <w:p>
      <w:pPr>
        <w:pBdr>
          <w:left w:val="single" w:color="13808C" w:sz="18" w:space="8"/>
        </w:pBdr>
        <w:shd w:fill="E5F3F4" w:val="clear"/>
        <w:spacing w:after="120" w:before="80"/>
        <w:ind w:left="180"/>
      </w:pPr>
      <w:r>
        <w:rPr>
          <w:rFonts w:ascii="Calibri" w:cs="Calibri" w:eastAsia="Calibri" w:hAnsi="Calibri"/>
          <w:b/>
          <w:bCs/>
          <w:color w:val="13808C"/>
          <w:sz w:val="20"/>
          <w:szCs w:val="20"/>
        </w:rPr>
        <w:t xml:space="preserve">V6 CHANGE: </w:t>
      </w:r>
      <w:r>
        <w:rPr>
          <w:rFonts w:ascii="Calibri" w:cs="Calibri" w:eastAsia="Calibri" w:hAnsi="Calibri"/>
          <w:i/>
          <w:iCs/>
          <w:color w:val="555555"/>
          <w:sz w:val="20"/>
          <w:szCs w:val="20"/>
        </w:rPr>
        <w:t xml:space="preserve">Renamed from "Regulatory Pressure." Body copy unchanged.</w:t>
      </w:r>
    </w:p>
    <w:p>
      <w:pPr>
        <w:spacing w:after="120" w:before="60"/>
      </w:pPr>
      <w:r>
        <w:rPr>
          <w:rFonts w:ascii="Calibri" w:cs="Calibri" w:eastAsia="Calibri" w:hAnsi="Calibri"/>
          <w:color w:val="000000"/>
          <w:sz w:val="22"/>
          <w:szCs w:val="22"/>
        </w:rPr>
        <w:t xml:space="preserve">OCC consent orders, CFPB enforcement actions, and GSE servicing mandates demand documentation and oversight that most servicers struggle to maintain internally.</w:t>
      </w:r>
    </w:p>
    <w:p>
      <w:pPr>
        <w:pStyle w:val="Heading3"/>
        <w:spacing w:after="80" w:before="200"/>
      </w:pPr>
      <w:r>
        <w:rPr>
          <w:rFonts w:ascii="Calibri" w:cs="Calibri" w:eastAsia="Calibri" w:hAnsi="Calibri"/>
          <w:b/>
          <w:bCs/>
          <w:color w:val="0B2545"/>
          <w:sz w:val="24"/>
          <w:szCs w:val="24"/>
        </w:rPr>
        <w:t xml:space="preserve">Challenge Card 3: Cost of Internal Build-Out</w:t>
      </w:r>
    </w:p>
    <w:p>
      <w:pPr>
        <w:spacing w:after="120" w:before="60"/>
      </w:pPr>
      <w:r>
        <w:rPr>
          <w:rFonts w:ascii="Calibri" w:cs="Calibri" w:eastAsia="Calibri" w:hAnsi="Calibri"/>
          <w:color w:val="000000"/>
          <w:sz w:val="22"/>
          <w:szCs w:val="22"/>
        </w:rPr>
        <w:t xml:space="preserve">Standing up an in-house oversight function requires dedicated staff, technology, and institutional knowledge that takes years to develop.</w:t>
      </w:r>
    </w:p>
    <w:p>
      <w:pPr>
        <w:spacing w:after="40" w:before="120"/>
      </w:pPr>
      <w:r>
        <w:rPr>
          <w:rFonts w:ascii="Calibri" w:cs="Calibri" w:eastAsia="Calibri" w:hAnsi="Calibri"/>
          <w:b/>
          <w:bCs/>
          <w:color w:val="13808C"/>
          <w:spacing w:val="20"/>
          <w:sz w:val="18"/>
          <w:szCs w:val="18"/>
        </w:rPr>
        <w:t xml:space="preserve">SECTION SUMMARY SUBHEAD</w:t>
      </w:r>
    </w:p>
    <w:p>
      <w:pPr>
        <w:pBdr>
          <w:left w:val="single" w:color="13808C" w:sz="18" w:space="8"/>
        </w:pBdr>
        <w:shd w:fill="E5F3F4" w:val="clear"/>
        <w:spacing w:after="120" w:before="80"/>
        <w:ind w:left="180"/>
      </w:pPr>
      <w:r>
        <w:rPr>
          <w:rFonts w:ascii="Calibri" w:cs="Calibri" w:eastAsia="Calibri" w:hAnsi="Calibri"/>
          <w:b/>
          <w:bCs/>
          <w:color w:val="13808C"/>
          <w:sz w:val="20"/>
          <w:szCs w:val="20"/>
        </w:rPr>
        <w:t xml:space="preserve">V6 CHANGE: </w:t>
      </w:r>
      <w:r>
        <w:rPr>
          <w:rFonts w:ascii="Calibri" w:cs="Calibri" w:eastAsia="Calibri" w:hAnsi="Calibri"/>
          <w:i/>
          <w:iCs/>
          <w:color w:val="555555"/>
          <w:sz w:val="20"/>
          <w:szCs w:val="20"/>
        </w:rPr>
        <w:t xml:space="preserve">New in V5. Bridge line between the Challenge section and the Service Selector.</w:t>
      </w:r>
    </w:p>
    <w:p>
      <w:pPr>
        <w:spacing w:after="120" w:before="60"/>
      </w:pPr>
      <w:r>
        <w:rPr>
          <w:rFonts w:ascii="Calibri" w:cs="Calibri" w:eastAsia="Calibri" w:hAnsi="Calibri"/>
          <w:b/>
          <w:bCs/>
          <w:i/>
          <w:iCs/>
          <w:color w:val="0B2545"/>
          <w:sz w:val="22"/>
          <w:szCs w:val="22"/>
        </w:rPr>
        <w:t xml:space="preserve">That's exactly what CDS was built to solve.</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Service Selector Section</w:t>
      </w:r>
    </w:p>
    <w:p>
      <w:pPr>
        <w:pBdr>
          <w:left w:val="single" w:color="13808C" w:sz="18" w:space="8"/>
        </w:pBdr>
        <w:shd w:fill="E5F3F4" w:val="clear"/>
        <w:spacing w:after="120" w:before="80"/>
        <w:ind w:left="180"/>
      </w:pPr>
      <w:r>
        <w:rPr>
          <w:rFonts w:ascii="Calibri" w:cs="Calibri" w:eastAsia="Calibri" w:hAnsi="Calibri"/>
          <w:b/>
          <w:bCs/>
          <w:color w:val="13808C"/>
          <w:sz w:val="20"/>
          <w:szCs w:val="20"/>
        </w:rPr>
        <w:t xml:space="preserve">V6 CHANGE: </w:t>
      </w:r>
      <w:r>
        <w:rPr>
          <w:rFonts w:ascii="Calibri" w:cs="Calibri" w:eastAsia="Calibri" w:hAnsi="Calibri"/>
          <w:i/>
          <w:iCs/>
          <w:color w:val="555555"/>
          <w:sz w:val="20"/>
          <w:szCs w:val="20"/>
        </w:rPr>
        <w:t xml:space="preserve">New eyebrow, headline, and intro paragraph added in V5 to frame the section before the interactive list.</w:t>
      </w:r>
    </w:p>
    <w:p>
      <w:pPr>
        <w:spacing w:after="40" w:before="120"/>
      </w:pPr>
      <w:r>
        <w:rPr>
          <w:rFonts w:ascii="Calibri" w:cs="Calibri" w:eastAsia="Calibri" w:hAnsi="Calibri"/>
          <w:b/>
          <w:bCs/>
          <w:color w:val="13808C"/>
          <w:spacing w:val="20"/>
          <w:sz w:val="18"/>
          <w:szCs w:val="18"/>
        </w:rPr>
        <w:t xml:space="preserve">SECTION EYEBROW</w:t>
      </w:r>
    </w:p>
    <w:p>
      <w:pPr>
        <w:spacing w:after="120" w:before="60"/>
      </w:pPr>
      <w:r>
        <w:rPr>
          <w:rFonts w:ascii="Calibri" w:cs="Calibri" w:eastAsia="Calibri" w:hAnsi="Calibri"/>
          <w:color w:val="000000"/>
          <w:sz w:val="22"/>
          <w:szCs w:val="22"/>
        </w:rPr>
        <w:t xml:space="preserve">What We Do</w:t>
      </w:r>
    </w:p>
    <w:p>
      <w:pPr>
        <w:spacing w:after="40" w:before="120"/>
      </w:pPr>
      <w:r>
        <w:rPr>
          <w:rFonts w:ascii="Calibri" w:cs="Calibri" w:eastAsia="Calibri" w:hAnsi="Calibri"/>
          <w:b/>
          <w:bCs/>
          <w:color w:val="13808C"/>
          <w:spacing w:val="20"/>
          <w:sz w:val="18"/>
          <w:szCs w:val="18"/>
        </w:rPr>
        <w:t xml:space="preserve">SECTION HEADLINE</w:t>
      </w:r>
    </w:p>
    <w:p>
      <w:pPr>
        <w:spacing w:after="120" w:before="60"/>
      </w:pPr>
      <w:r>
        <w:rPr>
          <w:rFonts w:ascii="Calibri" w:cs="Calibri" w:eastAsia="Calibri" w:hAnsi="Calibri"/>
          <w:b/>
          <w:bCs/>
          <w:color w:val="000000"/>
          <w:sz w:val="22"/>
          <w:szCs w:val="22"/>
        </w:rPr>
        <w:t xml:space="preserve">Full-Spectrum Default Oversight</w:t>
      </w:r>
    </w:p>
    <w:p>
      <w:pPr>
        <w:spacing w:after="40" w:before="120"/>
      </w:pPr>
      <w:r>
        <w:rPr>
          <w:rFonts w:ascii="Calibri" w:cs="Calibri" w:eastAsia="Calibri" w:hAnsi="Calibri"/>
          <w:b/>
          <w:bCs/>
          <w:color w:val="13808C"/>
          <w:spacing w:val="20"/>
          <w:sz w:val="18"/>
          <w:szCs w:val="18"/>
        </w:rPr>
        <w:t xml:space="preserve">SECTION INTRO</w:t>
      </w:r>
    </w:p>
    <w:p>
      <w:pPr>
        <w:spacing w:after="120" w:before="60"/>
      </w:pPr>
      <w:r>
        <w:rPr>
          <w:rFonts w:ascii="Calibri" w:cs="Calibri" w:eastAsia="Calibri" w:hAnsi="Calibri"/>
          <w:color w:val="000000"/>
          <w:sz w:val="22"/>
          <w:szCs w:val="22"/>
        </w:rPr>
        <w:t xml:space="preserve">Eight integrated service lines covering the full default lifecycle — available as a complete portfolio solution or individual engagements tailored to your most pressing needs.</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This section is an interactive component: a clickable list on the left, detail panel on the right. Each service name and description below appears when selected.</w:t>
      </w:r>
    </w:p>
    <w:p>
      <w:pPr>
        <w:pStyle w:val="Heading3"/>
        <w:spacing w:after="80" w:before="200"/>
      </w:pPr>
      <w:r>
        <w:rPr>
          <w:rFonts w:ascii="Calibri" w:cs="Calibri" w:eastAsia="Calibri" w:hAnsi="Calibri"/>
          <w:b/>
          <w:bCs/>
          <w:color w:val="0B2545"/>
          <w:sz w:val="24"/>
          <w:szCs w:val="24"/>
        </w:rPr>
        <w:t xml:space="preserve">Foreclosure Oversight</w:t>
      </w:r>
    </w:p>
    <w:p>
      <w:pPr>
        <w:spacing w:after="120" w:before="60"/>
      </w:pPr>
      <w:r>
        <w:rPr>
          <w:rFonts w:ascii="Calibri" w:cs="Calibri" w:eastAsia="Calibri" w:hAnsi="Calibri"/>
          <w:color w:val="000000"/>
          <w:sz w:val="22"/>
          <w:szCs w:val="22"/>
        </w:rPr>
        <w:t xml:space="preserve">Cradle-to-grave litigation monitoring with attorney performance scorecarding, driving efficiency, compliance, and predictable outcomes across your entire attorney matrix.</w:t>
      </w:r>
    </w:p>
    <w:p>
      <w:pPr>
        <w:pStyle w:val="Heading3"/>
        <w:spacing w:after="80" w:before="200"/>
      </w:pPr>
      <w:r>
        <w:rPr>
          <w:rFonts w:ascii="Calibri" w:cs="Calibri" w:eastAsia="Calibri" w:hAnsi="Calibri"/>
          <w:b/>
          <w:bCs/>
          <w:color w:val="0B2545"/>
          <w:sz w:val="24"/>
          <w:szCs w:val="24"/>
        </w:rPr>
        <w:t xml:space="preserve">Bankruptcy Oversight</w:t>
      </w:r>
    </w:p>
    <w:p>
      <w:pPr>
        <w:spacing w:after="120" w:before="60"/>
      </w:pPr>
      <w:r>
        <w:rPr>
          <w:rFonts w:ascii="Calibri" w:cs="Calibri" w:eastAsia="Calibri" w:hAnsi="Calibri"/>
          <w:color w:val="000000"/>
          <w:sz w:val="22"/>
          <w:szCs w:val="22"/>
        </w:rPr>
        <w:t xml:space="preserve">A seamless national solution across all 94 U.S. Bankruptcy Courts, managed by experienced attorneys and paralegals from initiation through resolution.</w:t>
      </w:r>
    </w:p>
    <w:p>
      <w:pPr>
        <w:pStyle w:val="Heading3"/>
        <w:spacing w:after="80" w:before="200"/>
      </w:pPr>
      <w:r>
        <w:rPr>
          <w:rFonts w:ascii="Calibri" w:cs="Calibri" w:eastAsia="Calibri" w:hAnsi="Calibri"/>
          <w:b/>
          <w:bCs/>
          <w:color w:val="0B2545"/>
          <w:sz w:val="24"/>
          <w:szCs w:val="24"/>
        </w:rPr>
        <w:t xml:space="preserve">Litigation Oversight</w:t>
      </w:r>
    </w:p>
    <w:p>
      <w:pPr>
        <w:spacing w:after="120" w:before="60"/>
      </w:pPr>
      <w:r>
        <w:rPr>
          <w:rFonts w:ascii="Calibri" w:cs="Calibri" w:eastAsia="Calibri" w:hAnsi="Calibri"/>
          <w:color w:val="000000"/>
          <w:sz w:val="22"/>
          <w:szCs w:val="22"/>
        </w:rPr>
        <w:t xml:space="preserve">Management and tracking of contested litigation matters with milestone monitoring, discovery oversight, and vendor accountability.</w:t>
      </w:r>
    </w:p>
    <w:p>
      <w:pPr>
        <w:pStyle w:val="Heading3"/>
        <w:spacing w:after="80" w:before="200"/>
      </w:pPr>
      <w:r>
        <w:rPr>
          <w:rFonts w:ascii="Calibri" w:cs="Calibri" w:eastAsia="Calibri" w:hAnsi="Calibri"/>
          <w:b/>
          <w:bCs/>
          <w:color w:val="0B2545"/>
          <w:sz w:val="24"/>
          <w:szCs w:val="24"/>
        </w:rPr>
        <w:t xml:space="preserve">Eviction Oversight</w:t>
      </w:r>
    </w:p>
    <w:p>
      <w:pPr>
        <w:spacing w:after="120" w:before="60"/>
      </w:pPr>
      <w:r>
        <w:rPr>
          <w:rFonts w:ascii="Calibri" w:cs="Calibri" w:eastAsia="Calibri" w:hAnsi="Calibri"/>
          <w:color w:val="000000"/>
          <w:sz w:val="22"/>
          <w:szCs w:val="22"/>
        </w:rPr>
        <w:t xml:space="preserve">Coordination of post-foreclosure eviction proceedings to ensure timely property possession and compliance.</w:t>
      </w:r>
    </w:p>
    <w:p>
      <w:pPr>
        <w:pStyle w:val="Heading3"/>
        <w:spacing w:after="80" w:before="200"/>
      </w:pPr>
      <w:r>
        <w:rPr>
          <w:rFonts w:ascii="Calibri" w:cs="Calibri" w:eastAsia="Calibri" w:hAnsi="Calibri"/>
          <w:b/>
          <w:bCs/>
          <w:color w:val="0B2545"/>
          <w:sz w:val="24"/>
          <w:szCs w:val="24"/>
        </w:rPr>
        <w:t xml:space="preserve">Title Curative</w:t>
      </w:r>
    </w:p>
    <w:p>
      <w:pPr>
        <w:spacing w:after="120" w:before="60"/>
      </w:pPr>
      <w:r>
        <w:rPr>
          <w:rFonts w:ascii="Calibri" w:cs="Calibri" w:eastAsia="Calibri" w:hAnsi="Calibri"/>
          <w:color w:val="000000"/>
          <w:sz w:val="22"/>
          <w:szCs w:val="22"/>
        </w:rPr>
        <w:t xml:space="preserve">Cradle-to-grave monitoring of title issues — from senior lien clearance and legal description defects to title claims — managing each from identification through resolution.</w:t>
      </w:r>
    </w:p>
    <w:p>
      <w:pPr>
        <w:pStyle w:val="Heading3"/>
        <w:spacing w:after="80" w:before="200"/>
      </w:pPr>
      <w:r>
        <w:rPr>
          <w:rFonts w:ascii="Calibri" w:cs="Calibri" w:eastAsia="Calibri" w:hAnsi="Calibri"/>
          <w:b/>
          <w:bCs/>
          <w:color w:val="0B2545"/>
          <w:sz w:val="24"/>
          <w:szCs w:val="24"/>
        </w:rPr>
        <w:t xml:space="preserve">Claims Oversight</w:t>
      </w:r>
    </w:p>
    <w:p>
      <w:pPr>
        <w:spacing w:after="120" w:before="60"/>
      </w:pPr>
      <w:r>
        <w:rPr>
          <w:rFonts w:ascii="Calibri" w:cs="Calibri" w:eastAsia="Calibri" w:hAnsi="Calibri"/>
          <w:color w:val="000000"/>
          <w:sz w:val="22"/>
          <w:szCs w:val="22"/>
        </w:rPr>
        <w:t xml:space="preserve">End-to-end visibility and control across the claims lifecycle, covering FHA, FNMA, FHLMC, MI, VA, USDA, and eviction-related claims.</w:t>
      </w:r>
    </w:p>
    <w:p>
      <w:pPr>
        <w:pStyle w:val="Heading3"/>
        <w:spacing w:after="80" w:before="200"/>
      </w:pPr>
      <w:r>
        <w:rPr>
          <w:rFonts w:ascii="Calibri" w:cs="Calibri" w:eastAsia="Calibri" w:hAnsi="Calibri"/>
          <w:b/>
          <w:bCs/>
          <w:color w:val="0B2545"/>
          <w:sz w:val="24"/>
          <w:szCs w:val="24"/>
        </w:rPr>
        <w:t xml:space="preserve">Loss Mitigation</w:t>
      </w:r>
    </w:p>
    <w:p>
      <w:pPr>
        <w:spacing w:after="120" w:before="60"/>
      </w:pPr>
      <w:r>
        <w:rPr>
          <w:rFonts w:ascii="Calibri" w:cs="Calibri" w:eastAsia="Calibri" w:hAnsi="Calibri"/>
          <w:color w:val="000000"/>
          <w:sz w:val="22"/>
          <w:szCs w:val="22"/>
        </w:rPr>
        <w:t xml:space="preserve">Oversight of borrower-retention and resolution-driven strategies including short sales, deeds in lieu, and cash-for-keys programs.</w:t>
      </w:r>
    </w:p>
    <w:p>
      <w:pPr>
        <w:pStyle w:val="Heading3"/>
        <w:spacing w:after="80" w:before="200"/>
      </w:pPr>
      <w:r>
        <w:rPr>
          <w:rFonts w:ascii="Calibri" w:cs="Calibri" w:eastAsia="Calibri" w:hAnsi="Calibri"/>
          <w:b/>
          <w:bCs/>
          <w:color w:val="0B2545"/>
          <w:sz w:val="24"/>
          <w:szCs w:val="24"/>
        </w:rPr>
        <w:t xml:space="preserve">FTE Staffing &amp; Capacity</w:t>
      </w:r>
    </w:p>
    <w:p>
      <w:pPr>
        <w:spacing w:after="120" w:before="60"/>
      </w:pPr>
      <w:r>
        <w:rPr>
          <w:rFonts w:ascii="Calibri" w:cs="Calibri" w:eastAsia="Calibri" w:hAnsi="Calibri"/>
          <w:color w:val="000000"/>
          <w:sz w:val="22"/>
          <w:szCs w:val="22"/>
        </w:rPr>
        <w:t xml:space="preserve">Data-driven staffing analysis to establish baseline requirements, balance workloads, and optimize organizational structures for oversight engagements.</w:t>
      </w:r>
    </w:p>
    <w:p>
      <w:pPr>
        <w:spacing w:after="80" w:before="80"/>
      </w:pPr>
      <w:r>
        <w:rPr>
          <w:rFonts w:ascii="Calibri" w:cs="Calibri" w:eastAsia="Calibri" w:hAnsi="Calibri"/>
          <w:b/>
          <w:bCs/>
          <w:color w:val="0B2545"/>
          <w:sz w:val="22"/>
          <w:szCs w:val="22"/>
        </w:rPr>
        <w:t xml:space="preserve">CTA (per service card): </w:t>
      </w:r>
      <w:r>
        <w:rPr>
          <w:rFonts w:ascii="Calibri" w:cs="Calibri" w:eastAsia="Calibri" w:hAnsi="Calibri"/>
          <w:color w:val="000000"/>
          <w:sz w:val="22"/>
          <w:szCs w:val="22"/>
        </w:rPr>
        <w:t xml:space="preserve">Learn More →</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Each service card links to the Services Overview page. In Phase 2, these will link to dedicated landing pages.</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Proven Track Record Section</w:t>
      </w:r>
    </w:p>
    <w:p>
      <w:pPr>
        <w:spacing w:after="40" w:before="120"/>
      </w:pPr>
      <w:r>
        <w:rPr>
          <w:rFonts w:ascii="Calibri" w:cs="Calibri" w:eastAsia="Calibri" w:hAnsi="Calibri"/>
          <w:b/>
          <w:bCs/>
          <w:color w:val="13808C"/>
          <w:spacing w:val="20"/>
          <w:sz w:val="18"/>
          <w:szCs w:val="18"/>
        </w:rPr>
        <w:t xml:space="preserve">SECTION EYEBROW</w:t>
      </w:r>
    </w:p>
    <w:p>
      <w:pPr>
        <w:spacing w:after="120" w:before="60"/>
      </w:pPr>
      <w:r>
        <w:rPr>
          <w:rFonts w:ascii="Calibri" w:cs="Calibri" w:eastAsia="Calibri" w:hAnsi="Calibri"/>
          <w:color w:val="000000"/>
          <w:sz w:val="22"/>
          <w:szCs w:val="22"/>
        </w:rPr>
        <w:t xml:space="preserve">Proven Track Record</w:t>
      </w:r>
    </w:p>
    <w:p>
      <w:pPr>
        <w:spacing w:after="40" w:before="120"/>
      </w:pPr>
      <w:r>
        <w:rPr>
          <w:rFonts w:ascii="Calibri" w:cs="Calibri" w:eastAsia="Calibri" w:hAnsi="Calibri"/>
          <w:b/>
          <w:bCs/>
          <w:color w:val="13808C"/>
          <w:spacing w:val="20"/>
          <w:sz w:val="18"/>
          <w:szCs w:val="18"/>
        </w:rPr>
        <w:t xml:space="preserve">SECTION HEADLINE</w:t>
      </w:r>
    </w:p>
    <w:p>
      <w:pPr>
        <w:spacing w:after="120" w:before="60"/>
      </w:pPr>
      <w:r>
        <w:rPr>
          <w:rFonts w:ascii="Calibri" w:cs="Calibri" w:eastAsia="Calibri" w:hAnsi="Calibri"/>
          <w:b/>
          <w:bCs/>
          <w:color w:val="000000"/>
          <w:sz w:val="22"/>
          <w:szCs w:val="22"/>
        </w:rPr>
        <w:t xml:space="preserve">Results That Speak for Themselves</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Three stats displayed in a row. ALL THREE are placeholder values that MUST be confirmed with the client before launch. These are shown as orange dashed indicators in the wireframe.</w:t>
      </w:r>
    </w:p>
    <w:p>
      <w:pPr>
        <w:pStyle w:val="Heading3"/>
        <w:spacing w:after="80" w:before="200"/>
      </w:pPr>
      <w:r>
        <w:rPr>
          <w:rFonts w:ascii="Calibri" w:cs="Calibri" w:eastAsia="Calibri" w:hAnsi="Calibri"/>
          <w:b/>
          <w:bCs/>
          <w:color w:val="0B2545"/>
          <w:sz w:val="24"/>
          <w:szCs w:val="24"/>
        </w:rPr>
        <w:t xml:space="preserve">Stat 1: 50,000+ Loans Under Oversight</w:t>
      </w:r>
    </w:p>
    <w:p>
      <w:pPr>
        <w:spacing w:after="120" w:before="60"/>
      </w:pPr>
      <w:r>
        <w:rPr>
          <w:rFonts w:ascii="Calibri" w:cs="Calibri" w:eastAsia="Calibri" w:hAnsi="Calibri"/>
          <w:color w:val="000000"/>
          <w:sz w:val="22"/>
          <w:szCs w:val="22"/>
        </w:rPr>
        <w:t xml:space="preserve">Client to confirm — approximate total loans overseen across all engagements.</w:t>
      </w:r>
    </w:p>
    <w:p>
      <w:pPr>
        <w:pStyle w:val="Heading3"/>
        <w:spacing w:after="80" w:before="200"/>
      </w:pPr>
      <w:r>
        <w:rPr>
          <w:rFonts w:ascii="Calibri" w:cs="Calibri" w:eastAsia="Calibri" w:hAnsi="Calibri"/>
          <w:b/>
          <w:bCs/>
          <w:color w:val="0B2545"/>
          <w:sz w:val="24"/>
          <w:szCs w:val="24"/>
        </w:rPr>
        <w:t xml:space="preserve">Stat 2: Top-Tier National Servicer Relationships</w:t>
      </w:r>
    </w:p>
    <w:p>
      <w:pPr>
        <w:pBdr>
          <w:left w:val="single" w:color="13808C" w:sz="18" w:space="8"/>
        </w:pBdr>
        <w:shd w:fill="E5F3F4" w:val="clear"/>
        <w:spacing w:after="120" w:before="80"/>
        <w:ind w:left="180"/>
      </w:pPr>
      <w:r>
        <w:rPr>
          <w:rFonts w:ascii="Calibri" w:cs="Calibri" w:eastAsia="Calibri" w:hAnsi="Calibri"/>
          <w:b/>
          <w:bCs/>
          <w:color w:val="13808C"/>
          <w:sz w:val="20"/>
          <w:szCs w:val="20"/>
        </w:rPr>
        <w:t xml:space="preserve">V6 CHANGE: </w:t>
      </w:r>
      <w:r>
        <w:rPr>
          <w:rFonts w:ascii="Calibri" w:cs="Calibri" w:eastAsia="Calibri" w:hAnsi="Calibri"/>
          <w:i/>
          <w:iCs/>
          <w:color w:val="555555"/>
          <w:sz w:val="20"/>
          <w:szCs w:val="20"/>
        </w:rPr>
        <w:t xml:space="preserve">Softened from "Top-10" to "Top-Tier National" pending client confirmation.</w:t>
      </w:r>
    </w:p>
    <w:p>
      <w:pPr>
        <w:spacing w:after="120" w:before="60"/>
      </w:pPr>
      <w:r>
        <w:rPr>
          <w:rFonts w:ascii="Calibri" w:cs="Calibri" w:eastAsia="Calibri" w:hAnsi="Calibri"/>
          <w:color w:val="000000"/>
          <w:sz w:val="22"/>
          <w:szCs w:val="22"/>
        </w:rPr>
        <w:t xml:space="preserve">Client to confirm — number or tier of servicer clients.</w:t>
      </w:r>
    </w:p>
    <w:p>
      <w:pPr>
        <w:pStyle w:val="Heading3"/>
        <w:spacing w:after="80" w:before="200"/>
      </w:pPr>
      <w:r>
        <w:rPr>
          <w:rFonts w:ascii="Calibri" w:cs="Calibri" w:eastAsia="Calibri" w:hAnsi="Calibri"/>
          <w:b/>
          <w:bCs/>
          <w:color w:val="0B2545"/>
          <w:sz w:val="24"/>
          <w:szCs w:val="24"/>
        </w:rPr>
        <w:t xml:space="preserve">Stat 3: 98% SLA Compliance Rate</w:t>
      </w:r>
    </w:p>
    <w:p>
      <w:pPr>
        <w:spacing w:after="120" w:before="60"/>
      </w:pPr>
      <w:r>
        <w:rPr>
          <w:rFonts w:ascii="Calibri" w:cs="Calibri" w:eastAsia="Calibri" w:hAnsi="Calibri"/>
          <w:color w:val="000000"/>
          <w:sz w:val="22"/>
          <w:szCs w:val="22"/>
        </w:rPr>
        <w:t xml:space="preserve">Client to confirm — actual SLA compliance metric.</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The CDS Difference Section</w:t>
      </w:r>
    </w:p>
    <w:p>
      <w:pPr>
        <w:spacing w:after="40" w:before="120"/>
      </w:pPr>
      <w:r>
        <w:rPr>
          <w:rFonts w:ascii="Calibri" w:cs="Calibri" w:eastAsia="Calibri" w:hAnsi="Calibri"/>
          <w:b/>
          <w:bCs/>
          <w:color w:val="13808C"/>
          <w:spacing w:val="20"/>
          <w:sz w:val="18"/>
          <w:szCs w:val="18"/>
        </w:rPr>
        <w:t xml:space="preserve">SECTION EYEBROW</w:t>
      </w:r>
    </w:p>
    <w:p>
      <w:pPr>
        <w:spacing w:after="120" w:before="60"/>
      </w:pPr>
      <w:r>
        <w:rPr>
          <w:rFonts w:ascii="Calibri" w:cs="Calibri" w:eastAsia="Calibri" w:hAnsi="Calibri"/>
          <w:color w:val="000000"/>
          <w:sz w:val="22"/>
          <w:szCs w:val="22"/>
        </w:rPr>
        <w:t xml:space="preserve">Why CDS</w:t>
      </w:r>
    </w:p>
    <w:p>
      <w:pPr>
        <w:spacing w:after="40" w:before="120"/>
      </w:pPr>
      <w:r>
        <w:rPr>
          <w:rFonts w:ascii="Calibri" w:cs="Calibri" w:eastAsia="Calibri" w:hAnsi="Calibri"/>
          <w:b/>
          <w:bCs/>
          <w:color w:val="13808C"/>
          <w:spacing w:val="20"/>
          <w:sz w:val="18"/>
          <w:szCs w:val="18"/>
        </w:rPr>
        <w:t xml:space="preserve">SECTION HEADLINE</w:t>
      </w:r>
    </w:p>
    <w:p>
      <w:pPr>
        <w:spacing w:after="120" w:before="60"/>
      </w:pPr>
      <w:r>
        <w:rPr>
          <w:rFonts w:ascii="Calibri" w:cs="Calibri" w:eastAsia="Calibri" w:hAnsi="Calibri"/>
          <w:b/>
          <w:bCs/>
          <w:color w:val="000000"/>
          <w:sz w:val="22"/>
          <w:szCs w:val="22"/>
        </w:rPr>
        <w:t xml:space="preserve">The CDS Difference</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Six differentiators displayed as icon + title + description cards in a 3x2 grid. Keep descriptions concise (1-2 sentences).</w:t>
      </w:r>
    </w:p>
    <w:p>
      <w:pPr>
        <w:pStyle w:val="Heading3"/>
        <w:spacing w:after="80" w:before="200"/>
      </w:pPr>
      <w:r>
        <w:rPr>
          <w:rFonts w:ascii="Calibri" w:cs="Calibri" w:eastAsia="Calibri" w:hAnsi="Calibri"/>
          <w:b/>
          <w:bCs/>
          <w:color w:val="0B2545"/>
          <w:sz w:val="24"/>
          <w:szCs w:val="24"/>
        </w:rPr>
        <w:t xml:space="preserve">1. End-to-End Oversight</w:t>
      </w:r>
    </w:p>
    <w:p>
      <w:pPr>
        <w:spacing w:after="120" w:before="60"/>
      </w:pPr>
      <w:r>
        <w:rPr>
          <w:rFonts w:ascii="Calibri" w:cs="Calibri" w:eastAsia="Calibri" w:hAnsi="Calibri"/>
          <w:color w:val="000000"/>
          <w:sz w:val="22"/>
          <w:szCs w:val="22"/>
        </w:rPr>
        <w:t xml:space="preserve">A single, integrated framework spanning loss mitigation, litigation, title, claims, and bankruptcy — eliminating fragmented vendor relationships and communication gaps.</w:t>
      </w:r>
    </w:p>
    <w:p>
      <w:pPr>
        <w:pStyle w:val="Heading3"/>
        <w:spacing w:after="80" w:before="200"/>
      </w:pPr>
      <w:r>
        <w:rPr>
          <w:rFonts w:ascii="Calibri" w:cs="Calibri" w:eastAsia="Calibri" w:hAnsi="Calibri"/>
          <w:b/>
          <w:bCs/>
          <w:color w:val="0B2545"/>
          <w:sz w:val="24"/>
          <w:szCs w:val="24"/>
        </w:rPr>
        <w:t xml:space="preserve">2. Performance-Driven Accountability</w:t>
      </w:r>
    </w:p>
    <w:p>
      <w:pPr>
        <w:spacing w:after="120" w:before="60"/>
      </w:pPr>
      <w:r>
        <w:rPr>
          <w:rFonts w:ascii="Calibri" w:cs="Calibri" w:eastAsia="Calibri" w:hAnsi="Calibri"/>
          <w:color w:val="000000"/>
          <w:sz w:val="22"/>
          <w:szCs w:val="22"/>
        </w:rPr>
        <w:t xml:space="preserve">Attorney and vendor scorecarding tied to SLAs, aging, compliance, and billing accuracy. Real-time visibility with detailed scorecards and exception-based reporting.</w:t>
      </w:r>
    </w:p>
    <w:p>
      <w:pPr>
        <w:pStyle w:val="Heading3"/>
        <w:spacing w:after="80" w:before="200"/>
      </w:pPr>
      <w:r>
        <w:rPr>
          <w:rFonts w:ascii="Calibri" w:cs="Calibri" w:eastAsia="Calibri" w:hAnsi="Calibri"/>
          <w:b/>
          <w:bCs/>
          <w:color w:val="0B2545"/>
          <w:sz w:val="24"/>
          <w:szCs w:val="24"/>
        </w:rPr>
        <w:t xml:space="preserve">3. Risk &amp; Compliance Focus</w:t>
      </w:r>
    </w:p>
    <w:p>
      <w:pPr>
        <w:spacing w:after="120" w:before="60"/>
      </w:pPr>
      <w:r>
        <w:rPr>
          <w:rFonts w:ascii="Calibri" w:cs="Calibri" w:eastAsia="Calibri" w:hAnsi="Calibri"/>
          <w:color w:val="000000"/>
          <w:sz w:val="22"/>
          <w:szCs w:val="22"/>
        </w:rPr>
        <w:t xml:space="preserve">Proactive monitoring and regulatory-ready reporting aligned with OCC, CFPB, and GSE servicing expectations. Built-in compliance checks at every stage reducing risk exposure and audit findings.</w:t>
      </w:r>
    </w:p>
    <w:p>
      <w:pPr>
        <w:pStyle w:val="Heading3"/>
        <w:spacing w:after="80" w:before="200"/>
      </w:pPr>
      <w:r>
        <w:rPr>
          <w:rFonts w:ascii="Calibri" w:cs="Calibri" w:eastAsia="Calibri" w:hAnsi="Calibri"/>
          <w:b/>
          <w:bCs/>
          <w:color w:val="0B2545"/>
          <w:sz w:val="24"/>
          <w:szCs w:val="24"/>
        </w:rPr>
        <w:t xml:space="preserve">4. Operational Expertise at Scale</w:t>
      </w:r>
    </w:p>
    <w:p>
      <w:pPr>
        <w:spacing w:after="120" w:before="60"/>
      </w:pPr>
      <w:r>
        <w:rPr>
          <w:rFonts w:ascii="Calibri" w:cs="Calibri" w:eastAsia="Calibri" w:hAnsi="Calibri"/>
          <w:color w:val="000000"/>
          <w:sz w:val="22"/>
          <w:szCs w:val="22"/>
        </w:rPr>
        <w:t xml:space="preserve">National footprint, system-level expertise, and proven processes across high-volume portfolios. Flexible capacity without compromising quality or turnaround times.</w:t>
      </w:r>
    </w:p>
    <w:p>
      <w:pPr>
        <w:pStyle w:val="Heading3"/>
        <w:spacing w:after="80" w:before="200"/>
      </w:pPr>
      <w:r>
        <w:rPr>
          <w:rFonts w:ascii="Calibri" w:cs="Calibri" w:eastAsia="Calibri" w:hAnsi="Calibri"/>
          <w:b/>
          <w:bCs/>
          <w:color w:val="0B2545"/>
          <w:sz w:val="24"/>
          <w:szCs w:val="24"/>
        </w:rPr>
        <w:t xml:space="preserve">5. Flexible Engagement Models</w:t>
      </w:r>
    </w:p>
    <w:p>
      <w:pPr>
        <w:spacing w:after="120" w:before="60"/>
      </w:pPr>
      <w:r>
        <w:rPr>
          <w:rFonts w:ascii="Calibri" w:cs="Calibri" w:eastAsia="Calibri" w:hAnsi="Calibri"/>
          <w:color w:val="000000"/>
          <w:sz w:val="22"/>
          <w:szCs w:val="22"/>
        </w:rPr>
        <w:t xml:space="preserve">Full-portfolio oversight or individual service lines — our component-based model lets you scale oversight up or down as your portfolio and priorities evolve.</w:t>
      </w:r>
    </w:p>
    <w:p>
      <w:pPr>
        <w:pStyle w:val="Heading3"/>
        <w:spacing w:after="80" w:before="200"/>
      </w:pPr>
      <w:r>
        <w:rPr>
          <w:rFonts w:ascii="Calibri" w:cs="Calibri" w:eastAsia="Calibri" w:hAnsi="Calibri"/>
          <w:b/>
          <w:bCs/>
          <w:color w:val="0B2545"/>
          <w:sz w:val="24"/>
          <w:szCs w:val="24"/>
        </w:rPr>
        <w:t xml:space="preserve">6. Leadership Forged in High-Volume Default Operations</w:t>
      </w:r>
    </w:p>
    <w:p>
      <w:pPr>
        <w:spacing w:after="120" w:before="60"/>
      </w:pPr>
      <w:r>
        <w:rPr>
          <w:rFonts w:ascii="Calibri" w:cs="Calibri" w:eastAsia="Calibri" w:hAnsi="Calibri"/>
          <w:color w:val="000000"/>
          <w:sz w:val="22"/>
          <w:szCs w:val="22"/>
        </w:rPr>
        <w:t xml:space="preserve">Deep mortgage default experience with leadership that has managed oversight programs for the nation's largest servicers, law firms, and default management companies.</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Bottom CTA Banner</w:t>
      </w:r>
    </w:p>
    <w:p>
      <w:pPr>
        <w:spacing w:after="40" w:before="120"/>
      </w:pPr>
      <w:r>
        <w:rPr>
          <w:rFonts w:ascii="Calibri" w:cs="Calibri" w:eastAsia="Calibri" w:hAnsi="Calibri"/>
          <w:b/>
          <w:bCs/>
          <w:color w:val="13808C"/>
          <w:spacing w:val="20"/>
          <w:sz w:val="18"/>
          <w:szCs w:val="18"/>
        </w:rPr>
        <w:t xml:space="preserve">HEADLINE</w:t>
      </w:r>
    </w:p>
    <w:p>
      <w:pPr>
        <w:spacing w:after="120" w:before="60"/>
      </w:pPr>
      <w:r>
        <w:rPr>
          <w:rFonts w:ascii="Calibri" w:cs="Calibri" w:eastAsia="Calibri" w:hAnsi="Calibri"/>
          <w:b/>
          <w:bCs/>
          <w:color w:val="000000"/>
          <w:sz w:val="22"/>
          <w:szCs w:val="22"/>
        </w:rPr>
        <w:t xml:space="preserve">Ready to Strengthen Your Default Operations?</w:t>
      </w:r>
    </w:p>
    <w:p>
      <w:pPr>
        <w:spacing w:after="40" w:before="120"/>
      </w:pPr>
      <w:r>
        <w:rPr>
          <w:rFonts w:ascii="Calibri" w:cs="Calibri" w:eastAsia="Calibri" w:hAnsi="Calibri"/>
          <w:b/>
          <w:bCs/>
          <w:color w:val="13808C"/>
          <w:spacing w:val="20"/>
          <w:sz w:val="18"/>
          <w:szCs w:val="18"/>
        </w:rPr>
        <w:t xml:space="preserve">BODY</w:t>
      </w:r>
    </w:p>
    <w:p>
      <w:pPr>
        <w:spacing w:after="120" w:before="60"/>
      </w:pPr>
      <w:r>
        <w:rPr>
          <w:rFonts w:ascii="Calibri" w:cs="Calibri" w:eastAsia="Calibri" w:hAnsi="Calibri"/>
          <w:color w:val="000000"/>
          <w:sz w:val="22"/>
          <w:szCs w:val="22"/>
        </w:rPr>
        <w:t xml:space="preserve">Let's discuss how CDS can reduce your risk, improve compliance, and deliver measurable results.</w:t>
      </w:r>
    </w:p>
    <w:p>
      <w:pPr>
        <w:spacing w:after="80" w:before="80"/>
      </w:pPr>
      <w:r>
        <w:rPr>
          <w:rFonts w:ascii="Calibri" w:cs="Calibri" w:eastAsia="Calibri" w:hAnsi="Calibri"/>
          <w:b/>
          <w:bCs/>
          <w:color w:val="0B2545"/>
          <w:sz w:val="22"/>
          <w:szCs w:val="22"/>
        </w:rPr>
        <w:t xml:space="preserve">CTA Button: </w:t>
      </w:r>
      <w:r>
        <w:rPr>
          <w:rFonts w:ascii="Calibri" w:cs="Calibri" w:eastAsia="Calibri" w:hAnsi="Calibri"/>
          <w:color w:val="000000"/>
          <w:sz w:val="22"/>
          <w:szCs w:val="22"/>
        </w:rPr>
        <w:t xml:space="preserve">Contact Us Today</w:t>
      </w:r>
    </w:p>
    <w:p>
      <w:r>
        <w:br w:type="page"/>
      </w:r>
    </w:p>
    <w:p>
      <w:pPr>
        <w:pStyle w:val="Heading1"/>
        <w:spacing w:after="180" w:before="360"/>
      </w:pPr>
      <w:r>
        <w:rPr>
          <w:rFonts w:ascii="Calibri" w:cs="Calibri" w:eastAsia="Calibri" w:hAnsi="Calibri"/>
          <w:b/>
          <w:bCs/>
          <w:color w:val="0B2545"/>
          <w:sz w:val="36"/>
          <w:szCs w:val="36"/>
        </w:rPr>
        <w:t xml:space="preserve">Page 2: About Us</w:t>
      </w:r>
    </w:p>
    <w:p>
      <w:pPr>
        <w:pStyle w:val="Heading2"/>
        <w:spacing w:after="120" w:before="300"/>
      </w:pPr>
      <w:r>
        <w:rPr>
          <w:rFonts w:ascii="Calibri" w:cs="Calibri" w:eastAsia="Calibri" w:hAnsi="Calibri"/>
          <w:b/>
          <w:bCs/>
          <w:color w:val="0B2545"/>
          <w:sz w:val="28"/>
          <w:szCs w:val="28"/>
        </w:rPr>
        <w:t xml:space="preserve">Page Header</w:t>
      </w:r>
    </w:p>
    <w:p>
      <w:pPr>
        <w:spacing w:after="80" w:before="80"/>
      </w:pPr>
      <w:r>
        <w:rPr>
          <w:rFonts w:ascii="Calibri" w:cs="Calibri" w:eastAsia="Calibri" w:hAnsi="Calibri"/>
          <w:b/>
          <w:bCs/>
          <w:color w:val="0B2545"/>
          <w:sz w:val="22"/>
          <w:szCs w:val="22"/>
        </w:rPr>
        <w:t xml:space="preserve">Eyebrow: </w:t>
      </w:r>
      <w:r>
        <w:rPr>
          <w:rFonts w:ascii="Calibri" w:cs="Calibri" w:eastAsia="Calibri" w:hAnsi="Calibri"/>
          <w:color w:val="000000"/>
          <w:sz w:val="22"/>
          <w:szCs w:val="22"/>
        </w:rPr>
        <w:t xml:space="preserve">About Us</w:t>
      </w:r>
    </w:p>
    <w:p>
      <w:pPr>
        <w:spacing w:after="80" w:before="80"/>
      </w:pPr>
      <w:r>
        <w:rPr>
          <w:rFonts w:ascii="Calibri" w:cs="Calibri" w:eastAsia="Calibri" w:hAnsi="Calibri"/>
          <w:b/>
          <w:bCs/>
          <w:color w:val="0B2545"/>
          <w:sz w:val="22"/>
          <w:szCs w:val="22"/>
        </w:rPr>
        <w:t xml:space="preserve">Headline: </w:t>
      </w:r>
      <w:r>
        <w:rPr>
          <w:rFonts w:ascii="Calibri" w:cs="Calibri" w:eastAsia="Calibri" w:hAnsi="Calibri"/>
          <w:color w:val="000000"/>
          <w:sz w:val="22"/>
          <w:szCs w:val="22"/>
        </w:rPr>
        <w:t xml:space="preserve">Built on Oversight. Driven by Results.</w:t>
      </w:r>
    </w:p>
    <w:p>
      <w:pPr>
        <w:spacing w:after="40" w:before="120"/>
      </w:pPr>
      <w:r>
        <w:rPr>
          <w:rFonts w:ascii="Calibri" w:cs="Calibri" w:eastAsia="Calibri" w:hAnsi="Calibri"/>
          <w:b/>
          <w:bCs/>
          <w:color w:val="13808C"/>
          <w:spacing w:val="20"/>
          <w:sz w:val="18"/>
          <w:szCs w:val="18"/>
        </w:rPr>
        <w:t xml:space="preserve">SUBHEAD</w:t>
      </w:r>
    </w:p>
    <w:p>
      <w:pPr>
        <w:spacing w:after="120" w:before="60"/>
      </w:pPr>
      <w:r>
        <w:rPr>
          <w:rFonts w:ascii="Calibri" w:cs="Calibri" w:eastAsia="Calibri" w:hAnsi="Calibri"/>
          <w:color w:val="000000"/>
          <w:sz w:val="22"/>
          <w:szCs w:val="22"/>
        </w:rPr>
        <w:t xml:space="preserve">Since 2010, Consolidated Default Services has been the trusted oversight partner for mortgage servicers and financial institutions managing complex default portfolios.</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Our Story</w:t>
      </w:r>
    </w:p>
    <w:p>
      <w:pPr>
        <w:pBdr>
          <w:left w:val="single" w:color="13808C" w:sz="18" w:space="8"/>
        </w:pBdr>
        <w:shd w:fill="E5F3F4" w:val="clear"/>
        <w:spacing w:after="120" w:before="80"/>
        <w:ind w:left="180"/>
      </w:pPr>
      <w:r>
        <w:rPr>
          <w:rFonts w:ascii="Calibri" w:cs="Calibri" w:eastAsia="Calibri" w:hAnsi="Calibri"/>
          <w:b/>
          <w:bCs/>
          <w:color w:val="13808C"/>
          <w:sz w:val="20"/>
          <w:szCs w:val="20"/>
        </w:rPr>
        <w:t xml:space="preserve">V6 CHANGE: </w:t>
      </w:r>
      <w:r>
        <w:rPr>
          <w:rFonts w:ascii="Calibri" w:cs="Calibri" w:eastAsia="Calibri" w:hAnsi="Calibri"/>
          <w:i/>
          <w:iCs/>
          <w:color w:val="555555"/>
          <w:sz w:val="20"/>
          <w:szCs w:val="20"/>
        </w:rPr>
        <w:t xml:space="preserve">Completely rewritten in V5. Previous V4 version was more generic; V5 version opens with a specific premise and builds a real origin narrative.</w:t>
      </w:r>
    </w:p>
    <w:p>
      <w:pPr>
        <w:spacing w:after="120" w:before="60"/>
      </w:pPr>
      <w:r>
        <w:rPr>
          <w:rFonts w:ascii="Calibri" w:cs="Calibri" w:eastAsia="Calibri" w:hAnsi="Calibri"/>
          <w:color w:val="000000"/>
          <w:sz w:val="22"/>
          <w:szCs w:val="22"/>
        </w:rPr>
        <w:t xml:space="preserve">CDS was founded in 2010 with a straightforward premise: mortgage servicers needed more than a referral network. They needed someone to manage what happened after the referral — to make sure files moved, deadlines were met, and vendors were held accountable across dozens of jurisdictions simultaneously.</w:t>
      </w:r>
    </w:p>
    <w:p>
      <w:pPr>
        <w:spacing w:after="120" w:before="60"/>
      </w:pPr>
      <w:r>
        <w:rPr>
          <w:rFonts w:ascii="Calibri" w:cs="Calibri" w:eastAsia="Calibri" w:hAnsi="Calibri"/>
          <w:color w:val="000000"/>
          <w:sz w:val="22"/>
          <w:szCs w:val="22"/>
        </w:rPr>
        <w:t xml:space="preserve">We built that capability through direct dialogue with our clients. The problems they described weren't unique to one servicer; they were systemic. Fragmented vendor networks. Inconsistent timelines. Compliance gaps that only surfaced at audit. No single point of accountability. We heard it repeatedly, and we built the answer.</w:t>
      </w:r>
    </w:p>
    <w:p>
      <w:pPr>
        <w:spacing w:after="120" w:before="60"/>
      </w:pPr>
      <w:r>
        <w:rPr>
          <w:rFonts w:ascii="Calibri" w:cs="Calibri" w:eastAsia="Calibri" w:hAnsi="Calibri"/>
          <w:color w:val="000000"/>
          <w:sz w:val="22"/>
          <w:szCs w:val="22"/>
        </w:rPr>
        <w:t xml:space="preserve">The result was a formal oversight framework spanning foreclosure, bankruptcy, litigation, loss mitigation, title, and claims — the foundation of what CDS does today. What began as a support function has grown into a full-spectrum oversight practice trusted by some of the nation's largest servicers and portfolio managers.</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Three paragraphs currently. Consider whether this can be tightened or if a fourth paragraph about growth/evolution would strengthen the narrative. Verify founding story details with client.</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Our Mission</w:t>
      </w:r>
    </w:p>
    <w:p>
      <w:pPr>
        <w:spacing w:after="120" w:before="60"/>
      </w:pPr>
      <w:r>
        <w:rPr>
          <w:rFonts w:ascii="Calibri" w:cs="Calibri" w:eastAsia="Calibri" w:hAnsi="Calibri"/>
          <w:color w:val="000000"/>
          <w:sz w:val="22"/>
          <w:szCs w:val="22"/>
        </w:rPr>
        <w:t xml:space="preserve">To provide comprehensive, transparent, and accountable oversight of mortgage default services — reducing operational burden, mitigating risk, and enabling our clients to focus on strategic priorities while we ensure execution, compliance, and performance across their portfolios.</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Pull Quote (Styled Callout Box)</w:t>
      </w:r>
    </w:p>
    <w:p>
      <w:pPr>
        <w:pBdr>
          <w:left w:val="single" w:color="13808C" w:sz="18" w:space="8"/>
        </w:pBdr>
        <w:shd w:fill="E5F3F4" w:val="clear"/>
        <w:spacing w:after="120" w:before="80"/>
        <w:ind w:left="180"/>
      </w:pPr>
      <w:r>
        <w:rPr>
          <w:rFonts w:ascii="Calibri" w:cs="Calibri" w:eastAsia="Calibri" w:hAnsi="Calibri"/>
          <w:b/>
          <w:bCs/>
          <w:color w:val="13808C"/>
          <w:sz w:val="20"/>
          <w:szCs w:val="20"/>
        </w:rPr>
        <w:t xml:space="preserve">V6 CHANGE: </w:t>
      </w:r>
      <w:r>
        <w:rPr>
          <w:rFonts w:ascii="Calibri" w:cs="Calibri" w:eastAsia="Calibri" w:hAnsi="Calibri"/>
          <w:i/>
          <w:iCs/>
          <w:color w:val="555555"/>
          <w:sz w:val="20"/>
          <w:szCs w:val="20"/>
        </w:rPr>
        <w:t xml:space="preserve">Completely rewritten in V5. Previous V4 version echoed the mission statement; V5 version has a distinct voice and makes a specific claim.</w:t>
      </w:r>
    </w:p>
    <w:p>
      <w:pPr>
        <w:spacing w:after="120" w:before="60"/>
      </w:pPr>
      <w:r>
        <w:rPr>
          <w:rFonts w:ascii="Calibri" w:cs="Calibri" w:eastAsia="Calibri" w:hAnsi="Calibri"/>
          <w:i/>
          <w:iCs/>
          <w:color w:val="0B2545"/>
          <w:sz w:val="22"/>
          <w:szCs w:val="22"/>
        </w:rPr>
        <w:t xml:space="preserve">"The servicers we work with are managing enormous complexity across dozens of vendors and jurisdictions. Our job is to make that invisible to them — to ensure every file is moving, every deadline is met, and every exception is caught before it becomes a problem."</w:t>
      </w:r>
    </w:p>
    <w:p>
      <w:pPr>
        <w:spacing w:after="120" w:before="60"/>
      </w:pPr>
      <w:r>
        <w:rPr>
          <w:rFonts w:ascii="Calibri" w:cs="Calibri" w:eastAsia="Calibri" w:hAnsi="Calibri"/>
          <w:b/>
          <w:bCs/>
          <w:color w:val="13808C"/>
          <w:sz w:val="22"/>
          <w:szCs w:val="22"/>
        </w:rPr>
        <w:t xml:space="preserve">— CDS Leadership</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Attribution should go to a specific leader (e.g., Gary Marinosci or Jennifer VonFlatern, including title). Confirm preferred attribution with client.</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Our Approach to Oversight</w:t>
      </w:r>
    </w:p>
    <w:p>
      <w:pPr>
        <w:spacing w:after="40" w:before="120"/>
      </w:pPr>
      <w:r>
        <w:rPr>
          <w:rFonts w:ascii="Calibri" w:cs="Calibri" w:eastAsia="Calibri" w:hAnsi="Calibri"/>
          <w:b/>
          <w:bCs/>
          <w:color w:val="13808C"/>
          <w:spacing w:val="20"/>
          <w:sz w:val="18"/>
          <w:szCs w:val="18"/>
        </w:rPr>
        <w:t xml:space="preserve">SECTION EYEBROW</w:t>
      </w:r>
    </w:p>
    <w:p>
      <w:pPr>
        <w:spacing w:after="120" w:before="60"/>
      </w:pPr>
      <w:r>
        <w:rPr>
          <w:rFonts w:ascii="Calibri" w:cs="Calibri" w:eastAsia="Calibri" w:hAnsi="Calibri"/>
          <w:color w:val="000000"/>
          <w:sz w:val="22"/>
          <w:szCs w:val="22"/>
        </w:rPr>
        <w:t xml:space="preserve">What Sets Us Apart</w:t>
      </w:r>
    </w:p>
    <w:p>
      <w:pPr>
        <w:spacing w:after="40" w:before="120"/>
      </w:pPr>
      <w:r>
        <w:rPr>
          <w:rFonts w:ascii="Calibri" w:cs="Calibri" w:eastAsia="Calibri" w:hAnsi="Calibri"/>
          <w:b/>
          <w:bCs/>
          <w:color w:val="13808C"/>
          <w:spacing w:val="20"/>
          <w:sz w:val="18"/>
          <w:szCs w:val="18"/>
        </w:rPr>
        <w:t xml:space="preserve">SECTION HEADLINE</w:t>
      </w:r>
    </w:p>
    <w:p>
      <w:pPr>
        <w:spacing w:after="120" w:before="60"/>
      </w:pPr>
      <w:r>
        <w:rPr>
          <w:rFonts w:ascii="Calibri" w:cs="Calibri" w:eastAsia="Calibri" w:hAnsi="Calibri"/>
          <w:b/>
          <w:bCs/>
          <w:color w:val="000000"/>
          <w:sz w:val="22"/>
          <w:szCs w:val="22"/>
        </w:rPr>
        <w:t xml:space="preserve">Our Approach to Oversight</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Three numbered cards displayed in a row. Consider whether a 4th differentiator would balance the layout or if three is sufficient.</w:t>
      </w:r>
    </w:p>
    <w:p>
      <w:pPr>
        <w:pStyle w:val="Heading3"/>
        <w:spacing w:after="80" w:before="200"/>
      </w:pPr>
      <w:r>
        <w:rPr>
          <w:rFonts w:ascii="Calibri" w:cs="Calibri" w:eastAsia="Calibri" w:hAnsi="Calibri"/>
          <w:b/>
          <w:bCs/>
          <w:color w:val="0B2545"/>
          <w:sz w:val="24"/>
          <w:szCs w:val="24"/>
        </w:rPr>
        <w:t xml:space="preserve">01 — Proactive, Not Reactive</w:t>
      </w:r>
    </w:p>
    <w:p>
      <w:pPr>
        <w:spacing w:after="120" w:before="60"/>
      </w:pPr>
      <w:r>
        <w:rPr>
          <w:rFonts w:ascii="Calibri" w:cs="Calibri" w:eastAsia="Calibri" w:hAnsi="Calibri"/>
          <w:color w:val="000000"/>
          <w:sz w:val="22"/>
          <w:szCs w:val="22"/>
        </w:rPr>
        <w:t xml:space="preserve">We identify issues before they become problems. Exception-based monitoring catches delays, compliance gaps, and vendor performance issues in real time. Structured 15- and 30-day follow-ups ensure SLA adherence and increase resolution velocity.</w:t>
      </w:r>
    </w:p>
    <w:p>
      <w:pPr>
        <w:pStyle w:val="Heading3"/>
        <w:spacing w:after="80" w:before="200"/>
      </w:pPr>
      <w:r>
        <w:rPr>
          <w:rFonts w:ascii="Calibri" w:cs="Calibri" w:eastAsia="Calibri" w:hAnsi="Calibri"/>
          <w:b/>
          <w:bCs/>
          <w:color w:val="0B2545"/>
          <w:sz w:val="24"/>
          <w:szCs w:val="24"/>
        </w:rPr>
        <w:t xml:space="preserve">02 — National Coverage, Local Expertise</w:t>
      </w:r>
    </w:p>
    <w:p>
      <w:pPr>
        <w:spacing w:after="120" w:before="60"/>
      </w:pPr>
      <w:r>
        <w:rPr>
          <w:rFonts w:ascii="Calibri" w:cs="Calibri" w:eastAsia="Calibri" w:hAnsi="Calibri"/>
          <w:color w:val="000000"/>
          <w:sz w:val="22"/>
          <w:szCs w:val="22"/>
        </w:rPr>
        <w:t xml:space="preserve">Coverage across all 50 states and 94 U.S. Bankruptcy Courts with continuous collection of national and local rules — including trustee, jurisdictional, and state-specific requirements and regulatory updates.</w:t>
      </w:r>
    </w:p>
    <w:p>
      <w:pPr>
        <w:pStyle w:val="Heading3"/>
        <w:spacing w:after="80" w:before="200"/>
      </w:pPr>
      <w:r>
        <w:rPr>
          <w:rFonts w:ascii="Calibri" w:cs="Calibri" w:eastAsia="Calibri" w:hAnsi="Calibri"/>
          <w:b/>
          <w:bCs/>
          <w:color w:val="0B2545"/>
          <w:sz w:val="24"/>
          <w:szCs w:val="24"/>
        </w:rPr>
        <w:t xml:space="preserve">03 — Technology-Enabled Transparency</w:t>
      </w:r>
    </w:p>
    <w:p>
      <w:pPr>
        <w:spacing w:after="120" w:before="60"/>
      </w:pPr>
      <w:r>
        <w:rPr>
          <w:rFonts w:ascii="Calibri" w:cs="Calibri" w:eastAsia="Calibri" w:hAnsi="Calibri"/>
          <w:color w:val="000000"/>
          <w:sz w:val="22"/>
          <w:szCs w:val="22"/>
        </w:rPr>
        <w:t xml:space="preserve">Proprietary firm performance scorecarding draws from multiple data sources to generate firm-level metrics automatically — giving you a clear monthly view of which attorneys are performing, where files are aging, and where exceptions require attention. No internal reporting infrastructure required.</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Leadership Team</w:t>
      </w:r>
    </w:p>
    <w:p>
      <w:pPr>
        <w:spacing w:after="40" w:before="120"/>
      </w:pPr>
      <w:r>
        <w:rPr>
          <w:rFonts w:ascii="Calibri" w:cs="Calibri" w:eastAsia="Calibri" w:hAnsi="Calibri"/>
          <w:b/>
          <w:bCs/>
          <w:color w:val="13808C"/>
          <w:spacing w:val="20"/>
          <w:sz w:val="18"/>
          <w:szCs w:val="18"/>
        </w:rPr>
        <w:t xml:space="preserve">SECTION EYEBROW</w:t>
      </w:r>
    </w:p>
    <w:p>
      <w:pPr>
        <w:spacing w:after="120" w:before="60"/>
      </w:pPr>
      <w:r>
        <w:rPr>
          <w:rFonts w:ascii="Calibri" w:cs="Calibri" w:eastAsia="Calibri" w:hAnsi="Calibri"/>
          <w:color w:val="000000"/>
          <w:sz w:val="22"/>
          <w:szCs w:val="22"/>
        </w:rPr>
        <w:t xml:space="preserve">Leadership</w:t>
      </w:r>
    </w:p>
    <w:p>
      <w:pPr>
        <w:spacing w:after="40" w:before="120"/>
      </w:pPr>
      <w:r>
        <w:rPr>
          <w:rFonts w:ascii="Calibri" w:cs="Calibri" w:eastAsia="Calibri" w:hAnsi="Calibri"/>
          <w:b/>
          <w:bCs/>
          <w:color w:val="13808C"/>
          <w:spacing w:val="20"/>
          <w:sz w:val="18"/>
          <w:szCs w:val="18"/>
        </w:rPr>
        <w:t xml:space="preserve">SECTION HEADLINE</w:t>
      </w:r>
    </w:p>
    <w:p>
      <w:pPr>
        <w:spacing w:after="120" w:before="60"/>
      </w:pPr>
      <w:r>
        <w:rPr>
          <w:rFonts w:ascii="Calibri" w:cs="Calibri" w:eastAsia="Calibri" w:hAnsi="Calibri"/>
          <w:b/>
          <w:bCs/>
          <w:color w:val="000000"/>
          <w:sz w:val="22"/>
          <w:szCs w:val="22"/>
        </w:rPr>
        <w:t xml:space="preserve">Our Team</w:t>
      </w:r>
    </w:p>
    <w:p>
      <w:pPr>
        <w:spacing w:after="40" w:before="120"/>
      </w:pPr>
      <w:r>
        <w:rPr>
          <w:rFonts w:ascii="Calibri" w:cs="Calibri" w:eastAsia="Calibri" w:hAnsi="Calibri"/>
          <w:b/>
          <w:bCs/>
          <w:color w:val="13808C"/>
          <w:spacing w:val="20"/>
          <w:sz w:val="18"/>
          <w:szCs w:val="18"/>
        </w:rPr>
        <w:t xml:space="preserve">SECTION SUBHEAD</w:t>
      </w:r>
    </w:p>
    <w:p>
      <w:pPr>
        <w:spacing w:after="120" w:before="60"/>
      </w:pPr>
      <w:r>
        <w:rPr>
          <w:rFonts w:ascii="Calibri" w:cs="Calibri" w:eastAsia="Calibri" w:hAnsi="Calibri"/>
          <w:color w:val="000000"/>
          <w:sz w:val="22"/>
          <w:szCs w:val="22"/>
        </w:rPr>
        <w:t xml:space="preserve">Experienced professionals with deep roots in mortgage default services.</w:t>
      </w:r>
    </w:p>
    <w:p>
      <w:pPr>
        <w:pStyle w:val="Heading3"/>
        <w:spacing w:after="80" w:before="200"/>
      </w:pPr>
      <w:r>
        <w:rPr>
          <w:rFonts w:ascii="Calibri" w:cs="Calibri" w:eastAsia="Calibri" w:hAnsi="Calibri"/>
          <w:b/>
          <w:bCs/>
          <w:color w:val="0B2545"/>
          <w:sz w:val="24"/>
          <w:szCs w:val="24"/>
        </w:rPr>
        <w:t xml:space="preserve">Team Members</w:t>
      </w:r>
    </w:p>
    <w:p>
      <w:pPr>
        <w:pStyle w:val="ListParagraph"/>
        <w:numPr>
          <w:ilvl w:val="0"/>
          <w:numId w:val="2"/>
        </w:numPr>
        <w:spacing w:after="40" w:before="40"/>
      </w:pPr>
      <w:r>
        <w:rPr>
          <w:rFonts w:ascii="Calibri" w:cs="Calibri" w:eastAsia="Calibri" w:hAnsi="Calibri"/>
          <w:color w:val="555555"/>
          <w:sz w:val="22"/>
          <w:szCs w:val="22"/>
        </w:rPr>
        <w:t xml:space="preserve">Gary Marinosci — [Title TBD]</w:t>
      </w:r>
    </w:p>
    <w:p>
      <w:pPr>
        <w:pStyle w:val="ListParagraph"/>
        <w:numPr>
          <w:ilvl w:val="0"/>
          <w:numId w:val="2"/>
        </w:numPr>
        <w:spacing w:after="40" w:before="40"/>
      </w:pPr>
      <w:r>
        <w:rPr>
          <w:rFonts w:ascii="Calibri" w:cs="Calibri" w:eastAsia="Calibri" w:hAnsi="Calibri"/>
          <w:color w:val="555555"/>
          <w:sz w:val="22"/>
          <w:szCs w:val="22"/>
        </w:rPr>
        <w:t xml:space="preserve">Jennifer VonFlatern — Executive Vice President</w:t>
      </w:r>
    </w:p>
    <w:p>
      <w:pPr>
        <w:pStyle w:val="ListParagraph"/>
        <w:numPr>
          <w:ilvl w:val="0"/>
          <w:numId w:val="2"/>
        </w:numPr>
        <w:spacing w:after="40" w:before="40"/>
      </w:pPr>
      <w:r>
        <w:rPr>
          <w:rFonts w:ascii="Calibri" w:cs="Calibri" w:eastAsia="Calibri" w:hAnsi="Calibri"/>
          <w:color w:val="555555"/>
          <w:sz w:val="22"/>
          <w:szCs w:val="22"/>
        </w:rPr>
        <w:t xml:space="preserve">Israel Solano — [Title TBD]</w:t>
      </w:r>
    </w:p>
    <w:p>
      <w:pPr>
        <w:pStyle w:val="ListParagraph"/>
        <w:numPr>
          <w:ilvl w:val="0"/>
          <w:numId w:val="2"/>
        </w:numPr>
        <w:spacing w:after="40" w:before="40"/>
      </w:pPr>
      <w:r>
        <w:rPr>
          <w:rFonts w:ascii="Calibri" w:cs="Calibri" w:eastAsia="Calibri" w:hAnsi="Calibri"/>
          <w:color w:val="555555"/>
          <w:sz w:val="22"/>
          <w:szCs w:val="22"/>
        </w:rPr>
        <w:t xml:space="preserve">Daniel Lailer — [Title TBD]</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Recommend adding 2-3 sentence bios for each leader, plus headshots. Confirm titles with client.</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Bottom CTA Banner</w:t>
      </w:r>
    </w:p>
    <w:p>
      <w:pPr>
        <w:spacing w:after="40" w:before="120"/>
      </w:pPr>
      <w:r>
        <w:rPr>
          <w:rFonts w:ascii="Calibri" w:cs="Calibri" w:eastAsia="Calibri" w:hAnsi="Calibri"/>
          <w:b/>
          <w:bCs/>
          <w:color w:val="13808C"/>
          <w:spacing w:val="20"/>
          <w:sz w:val="18"/>
          <w:szCs w:val="18"/>
        </w:rPr>
        <w:t xml:space="preserve">HEADLINE</w:t>
      </w:r>
    </w:p>
    <w:p>
      <w:pPr>
        <w:spacing w:after="120" w:before="60"/>
      </w:pPr>
      <w:r>
        <w:rPr>
          <w:rFonts w:ascii="Calibri" w:cs="Calibri" w:eastAsia="Calibri" w:hAnsi="Calibri"/>
          <w:b/>
          <w:bCs/>
          <w:color w:val="000000"/>
          <w:sz w:val="22"/>
          <w:szCs w:val="22"/>
        </w:rPr>
        <w:t xml:space="preserve">Want to Learn More?</w:t>
      </w:r>
    </w:p>
    <w:p>
      <w:pPr>
        <w:spacing w:after="40" w:before="120"/>
      </w:pPr>
      <w:r>
        <w:rPr>
          <w:rFonts w:ascii="Calibri" w:cs="Calibri" w:eastAsia="Calibri" w:hAnsi="Calibri"/>
          <w:b/>
          <w:bCs/>
          <w:color w:val="13808C"/>
          <w:spacing w:val="20"/>
          <w:sz w:val="18"/>
          <w:szCs w:val="18"/>
        </w:rPr>
        <w:t xml:space="preserve">BODY</w:t>
      </w:r>
    </w:p>
    <w:p>
      <w:pPr>
        <w:spacing w:after="120" w:before="60"/>
      </w:pPr>
      <w:r>
        <w:rPr>
          <w:rFonts w:ascii="Calibri" w:cs="Calibri" w:eastAsia="Calibri" w:hAnsi="Calibri"/>
          <w:color w:val="000000"/>
          <w:sz w:val="22"/>
          <w:szCs w:val="22"/>
        </w:rPr>
        <w:t xml:space="preserve">We'd love to talk about how CDS can support your default operations.</w:t>
      </w:r>
    </w:p>
    <w:p>
      <w:pPr>
        <w:spacing w:after="80" w:before="80"/>
      </w:pPr>
      <w:r>
        <w:rPr>
          <w:rFonts w:ascii="Calibri" w:cs="Calibri" w:eastAsia="Calibri" w:hAnsi="Calibri"/>
          <w:b/>
          <w:bCs/>
          <w:color w:val="0B2545"/>
          <w:sz w:val="22"/>
          <w:szCs w:val="22"/>
        </w:rPr>
        <w:t xml:space="preserve">CTA Button: </w:t>
      </w:r>
      <w:r>
        <w:rPr>
          <w:rFonts w:ascii="Calibri" w:cs="Calibri" w:eastAsia="Calibri" w:hAnsi="Calibri"/>
          <w:color w:val="000000"/>
          <w:sz w:val="22"/>
          <w:szCs w:val="22"/>
        </w:rPr>
        <w:t xml:space="preserve">Get in Touch</w:t>
      </w:r>
    </w:p>
    <w:p>
      <w:r>
        <w:br w:type="page"/>
      </w:r>
    </w:p>
    <w:p>
      <w:pPr>
        <w:pStyle w:val="Heading1"/>
        <w:spacing w:after="180" w:before="360"/>
      </w:pPr>
      <w:r>
        <w:rPr>
          <w:rFonts w:ascii="Calibri" w:cs="Calibri" w:eastAsia="Calibri" w:hAnsi="Calibri"/>
          <w:b/>
          <w:bCs/>
          <w:color w:val="0B2545"/>
          <w:sz w:val="36"/>
          <w:szCs w:val="36"/>
        </w:rPr>
        <w:t xml:space="preserve">Page 3: Services Overview</w:t>
      </w:r>
    </w:p>
    <w:p>
      <w:pPr>
        <w:pStyle w:val="Heading2"/>
        <w:spacing w:after="120" w:before="300"/>
      </w:pPr>
      <w:r>
        <w:rPr>
          <w:rFonts w:ascii="Calibri" w:cs="Calibri" w:eastAsia="Calibri" w:hAnsi="Calibri"/>
          <w:b/>
          <w:bCs/>
          <w:color w:val="0B2545"/>
          <w:sz w:val="28"/>
          <w:szCs w:val="28"/>
        </w:rPr>
        <w:t xml:space="preserve">Page Header</w:t>
      </w:r>
    </w:p>
    <w:p>
      <w:pPr>
        <w:spacing w:after="80" w:before="80"/>
      </w:pPr>
      <w:r>
        <w:rPr>
          <w:rFonts w:ascii="Calibri" w:cs="Calibri" w:eastAsia="Calibri" w:hAnsi="Calibri"/>
          <w:b/>
          <w:bCs/>
          <w:color w:val="0B2545"/>
          <w:sz w:val="22"/>
          <w:szCs w:val="22"/>
        </w:rPr>
        <w:t xml:space="preserve">Eyebrow: </w:t>
      </w:r>
      <w:r>
        <w:rPr>
          <w:rFonts w:ascii="Calibri" w:cs="Calibri" w:eastAsia="Calibri" w:hAnsi="Calibri"/>
          <w:color w:val="000000"/>
          <w:sz w:val="22"/>
          <w:szCs w:val="22"/>
        </w:rPr>
        <w:t xml:space="preserve">Our Services</w:t>
      </w:r>
    </w:p>
    <w:p>
      <w:pPr>
        <w:spacing w:after="80" w:before="80"/>
      </w:pPr>
      <w:r>
        <w:rPr>
          <w:rFonts w:ascii="Calibri" w:cs="Calibri" w:eastAsia="Calibri" w:hAnsi="Calibri"/>
          <w:b/>
          <w:bCs/>
          <w:color w:val="0B2545"/>
          <w:sz w:val="22"/>
          <w:szCs w:val="22"/>
        </w:rPr>
        <w:t xml:space="preserve">Headline: </w:t>
      </w:r>
      <w:r>
        <w:rPr>
          <w:rFonts w:ascii="Calibri" w:cs="Calibri" w:eastAsia="Calibri" w:hAnsi="Calibri"/>
          <w:color w:val="000000"/>
          <w:sz w:val="22"/>
          <w:szCs w:val="22"/>
        </w:rPr>
        <w:t xml:space="preserve">Cradle-to-Grave Default Services Management</w:t>
      </w:r>
    </w:p>
    <w:p>
      <w:pPr>
        <w:spacing w:after="40" w:before="120"/>
      </w:pPr>
      <w:r>
        <w:rPr>
          <w:rFonts w:ascii="Calibri" w:cs="Calibri" w:eastAsia="Calibri" w:hAnsi="Calibri"/>
          <w:b/>
          <w:bCs/>
          <w:color w:val="13808C"/>
          <w:spacing w:val="20"/>
          <w:sz w:val="18"/>
          <w:szCs w:val="18"/>
        </w:rPr>
        <w:t xml:space="preserve">SUBHEAD</w:t>
      </w:r>
    </w:p>
    <w:p>
      <w:pPr>
        <w:spacing w:after="120" w:before="60"/>
      </w:pPr>
      <w:r>
        <w:rPr>
          <w:rFonts w:ascii="Calibri" w:cs="Calibri" w:eastAsia="Calibri" w:hAnsi="Calibri"/>
          <w:color w:val="000000"/>
          <w:sz w:val="22"/>
          <w:szCs w:val="22"/>
        </w:rPr>
        <w:t xml:space="preserve">Eight integrated service lines providing comprehensive oversight of your entire default portfolio — from first legal action through final resolution.</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Flexible Engagement Banner</w:t>
      </w:r>
    </w:p>
    <w:p>
      <w:pPr>
        <w:spacing w:after="40" w:before="120"/>
      </w:pPr>
      <w:r>
        <w:rPr>
          <w:rFonts w:ascii="Calibri" w:cs="Calibri" w:eastAsia="Calibri" w:hAnsi="Calibri"/>
          <w:b/>
          <w:bCs/>
          <w:color w:val="13808C"/>
          <w:spacing w:val="20"/>
          <w:sz w:val="18"/>
          <w:szCs w:val="18"/>
        </w:rPr>
        <w:t xml:space="preserve">BANNER COPY</w:t>
      </w:r>
    </w:p>
    <w:p>
      <w:pPr>
        <w:spacing w:after="60" w:before="60"/>
      </w:pPr>
      <w:r>
        <w:rPr>
          <w:rFonts w:ascii="Calibri" w:cs="Calibri" w:eastAsia="Calibri" w:hAnsi="Calibri"/>
          <w:b/>
          <w:bCs/>
          <w:color w:val="0B2545"/>
          <w:sz w:val="22"/>
          <w:szCs w:val="22"/>
        </w:rPr>
        <w:t xml:space="preserve">Flexible engagement: </w:t>
      </w:r>
      <w:r>
        <w:rPr>
          <w:rFonts w:ascii="Calibri" w:cs="Calibri" w:eastAsia="Calibri" w:hAnsi="Calibri"/>
          <w:color w:val="000000"/>
          <w:sz w:val="22"/>
          <w:szCs w:val="22"/>
        </w:rPr>
        <w:t xml:space="preserve">Engage CDS for full-portfolio oversight or select individual service lines to address your most pressing needs.</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Teal-background info banner with an icon, displayed below the page header. Short, clear positioning statement about engagement flexibility.</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Oversight Lifecycle</w:t>
      </w:r>
    </w:p>
    <w:p>
      <w:pPr>
        <w:spacing w:after="120" w:before="60"/>
      </w:pPr>
      <w:r>
        <w:rPr>
          <w:rFonts w:ascii="Calibri" w:cs="Calibri" w:eastAsia="Calibri" w:hAnsi="Calibri"/>
          <w:color w:val="000000"/>
          <w:sz w:val="22"/>
          <w:szCs w:val="22"/>
        </w:rPr>
        <w:t xml:space="preserve">Referral → Assignment → Oversight → Milestone Tracking → Exception Management → Resolution → Performance Reporting</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Horizontal process flow graphic, not text copy. Labels only. Uses horizontal scroll on mobile.</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Our Approach Section</w:t>
      </w:r>
    </w:p>
    <w:p>
      <w:pPr>
        <w:spacing w:after="40" w:before="120"/>
      </w:pPr>
      <w:r>
        <w:rPr>
          <w:rFonts w:ascii="Calibri" w:cs="Calibri" w:eastAsia="Calibri" w:hAnsi="Calibri"/>
          <w:b/>
          <w:bCs/>
          <w:color w:val="13808C"/>
          <w:spacing w:val="20"/>
          <w:sz w:val="18"/>
          <w:szCs w:val="18"/>
        </w:rPr>
        <w:t xml:space="preserve">SECTION EYEBROW</w:t>
      </w:r>
    </w:p>
    <w:p>
      <w:pPr>
        <w:spacing w:after="120" w:before="60"/>
      </w:pPr>
      <w:r>
        <w:rPr>
          <w:rFonts w:ascii="Calibri" w:cs="Calibri" w:eastAsia="Calibri" w:hAnsi="Calibri"/>
          <w:color w:val="000000"/>
          <w:sz w:val="22"/>
          <w:szCs w:val="22"/>
        </w:rPr>
        <w:t xml:space="preserve">Our Approach</w:t>
      </w:r>
    </w:p>
    <w:p>
      <w:pPr>
        <w:spacing w:after="40" w:before="120"/>
      </w:pPr>
      <w:r>
        <w:rPr>
          <w:rFonts w:ascii="Calibri" w:cs="Calibri" w:eastAsia="Calibri" w:hAnsi="Calibri"/>
          <w:b/>
          <w:bCs/>
          <w:color w:val="13808C"/>
          <w:spacing w:val="20"/>
          <w:sz w:val="18"/>
          <w:szCs w:val="18"/>
        </w:rPr>
        <w:t xml:space="preserve">SECTION HEADLINE</w:t>
      </w:r>
    </w:p>
    <w:p>
      <w:pPr>
        <w:spacing w:after="120" w:before="60"/>
      </w:pPr>
      <w:r>
        <w:rPr>
          <w:rFonts w:ascii="Calibri" w:cs="Calibri" w:eastAsia="Calibri" w:hAnsi="Calibri"/>
          <w:b/>
          <w:bCs/>
          <w:color w:val="000000"/>
          <w:sz w:val="22"/>
          <w:szCs w:val="22"/>
        </w:rPr>
        <w:t xml:space="preserve">Oversight That Drives Outcomes</w:t>
      </w:r>
    </w:p>
    <w:p>
      <w:pPr>
        <w:pStyle w:val="Heading3"/>
        <w:spacing w:after="80" w:before="200"/>
      </w:pPr>
      <w:r>
        <w:rPr>
          <w:rFonts w:ascii="Calibri" w:cs="Calibri" w:eastAsia="Calibri" w:hAnsi="Calibri"/>
          <w:b/>
          <w:bCs/>
          <w:color w:val="0B2545"/>
          <w:sz w:val="24"/>
          <w:szCs w:val="24"/>
        </w:rPr>
        <w:t xml:space="preserve">Body (Left Column)</w:t>
      </w:r>
    </w:p>
    <w:p>
      <w:pPr>
        <w:spacing w:after="120" w:before="60"/>
      </w:pPr>
      <w:r>
        <w:rPr>
          <w:rFonts w:ascii="Calibri" w:cs="Calibri" w:eastAsia="Calibri" w:hAnsi="Calibri"/>
          <w:color w:val="000000"/>
          <w:sz w:val="22"/>
          <w:szCs w:val="22"/>
        </w:rPr>
        <w:t xml:space="preserve">Most servicers work with dozens of law firms and vendors across multiple states — each with different processes, timelines, and reporting standards. CDS sits between you and your vendor network, providing a consistent oversight layer that ensures every file is moving, every deadline is met, and every exception is caught early.</w:t>
      </w:r>
    </w:p>
    <w:p>
      <w:pPr>
        <w:spacing w:after="120" w:before="60"/>
      </w:pPr>
      <w:r>
        <w:rPr>
          <w:rFonts w:ascii="Calibri" w:cs="Calibri" w:eastAsia="Calibri" w:hAnsi="Calibri"/>
          <w:color w:val="000000"/>
          <w:sz w:val="22"/>
          <w:szCs w:val="22"/>
        </w:rPr>
        <w:t xml:space="preserve">We don't replace your existing vendors — we make them perform better. Our team monitors milestones, flags delays, enforces SLAs, and delivers the reporting you need to stay compliant and in control.</w:t>
      </w:r>
    </w:p>
    <w:p>
      <w:pPr>
        <w:pStyle w:val="Heading3"/>
        <w:spacing w:after="80" w:before="200"/>
      </w:pPr>
      <w:r>
        <w:rPr>
          <w:rFonts w:ascii="Calibri" w:cs="Calibri" w:eastAsia="Calibri" w:hAnsi="Calibri"/>
          <w:b/>
          <w:bCs/>
          <w:color w:val="0B2545"/>
          <w:sz w:val="24"/>
          <w:szCs w:val="24"/>
        </w:rPr>
        <w:t xml:space="preserve">Process Steps (Right Column)</w:t>
      </w:r>
    </w:p>
    <w:p>
      <w:pPr>
        <w:pStyle w:val="Heading3"/>
        <w:spacing w:after="80" w:before="200"/>
      </w:pPr>
      <w:r>
        <w:rPr>
          <w:rFonts w:ascii="Calibri" w:cs="Calibri" w:eastAsia="Calibri" w:hAnsi="Calibri"/>
          <w:b/>
          <w:bCs/>
          <w:color w:val="0B2545"/>
          <w:sz w:val="24"/>
          <w:szCs w:val="24"/>
        </w:rPr>
        <w:t xml:space="preserve">01 — Assign &amp; Onboard</w:t>
      </w:r>
    </w:p>
    <w:p>
      <w:pPr>
        <w:spacing w:after="120" w:before="60"/>
      </w:pPr>
      <w:r>
        <w:rPr>
          <w:rFonts w:ascii="Calibri" w:cs="Calibri" w:eastAsia="Calibri" w:hAnsi="Calibri"/>
          <w:color w:val="000000"/>
          <w:sz w:val="22"/>
          <w:szCs w:val="22"/>
        </w:rPr>
        <w:t xml:space="preserve">Every referral is matched to the right vendor and tracked from day one. Files are graded based on type and impediments, with SLAs assigned to each grade.</w:t>
      </w:r>
    </w:p>
    <w:p>
      <w:pPr>
        <w:pStyle w:val="Heading3"/>
        <w:spacing w:after="80" w:before="200"/>
      </w:pPr>
      <w:r>
        <w:rPr>
          <w:rFonts w:ascii="Calibri" w:cs="Calibri" w:eastAsia="Calibri" w:hAnsi="Calibri"/>
          <w:b/>
          <w:bCs/>
          <w:color w:val="0B2545"/>
          <w:sz w:val="24"/>
          <w:szCs w:val="24"/>
        </w:rPr>
        <w:t xml:space="preserve">02 — Monitor &amp; Manage</w:t>
      </w:r>
    </w:p>
    <w:p>
      <w:pPr>
        <w:spacing w:after="120" w:before="60"/>
      </w:pPr>
      <w:r>
        <w:rPr>
          <w:rFonts w:ascii="Calibri" w:cs="Calibri" w:eastAsia="Calibri" w:hAnsi="Calibri"/>
          <w:color w:val="000000"/>
          <w:sz w:val="22"/>
          <w:szCs w:val="22"/>
        </w:rPr>
        <w:t xml:space="preserve">Standardized 15- and 30-day follow-ups with counsel and vendors increase resolution velocity and ensure SLA adherence.</w:t>
      </w:r>
    </w:p>
    <w:p>
      <w:pPr>
        <w:pStyle w:val="Heading3"/>
        <w:spacing w:after="80" w:before="200"/>
      </w:pPr>
      <w:r>
        <w:rPr>
          <w:rFonts w:ascii="Calibri" w:cs="Calibri" w:eastAsia="Calibri" w:hAnsi="Calibri"/>
          <w:b/>
          <w:bCs/>
          <w:color w:val="0B2545"/>
          <w:sz w:val="24"/>
          <w:szCs w:val="24"/>
        </w:rPr>
        <w:t xml:space="preserve">03 — Report &amp; Optimize</w:t>
      </w:r>
    </w:p>
    <w:p>
      <w:pPr>
        <w:spacing w:after="120" w:before="60"/>
      </w:pPr>
      <w:r>
        <w:rPr>
          <w:rFonts w:ascii="Calibri" w:cs="Calibri" w:eastAsia="Calibri" w:hAnsi="Calibri"/>
          <w:color w:val="000000"/>
          <w:sz w:val="22"/>
          <w:szCs w:val="22"/>
        </w:rPr>
        <w:t xml:space="preserve">Monthly centralized reporting with file grades, aging, attorney performance scorecards, and structured opportunity for firm rebuttals.</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Service Detail Sections</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Each service below is displayed as a two-column layout: service name + icon on the left, description + bullet points on the right. All eight services appear on a single scrolling page.</w:t>
      </w:r>
    </w:p>
    <w:p>
      <w:pPr>
        <w:pStyle w:val="Heading3"/>
        <w:spacing w:after="80" w:before="200"/>
      </w:pPr>
      <w:r>
        <w:rPr>
          <w:rFonts w:ascii="Calibri" w:cs="Calibri" w:eastAsia="Calibri" w:hAnsi="Calibri"/>
          <w:b/>
          <w:bCs/>
          <w:color w:val="0B2545"/>
          <w:sz w:val="24"/>
          <w:szCs w:val="24"/>
        </w:rPr>
        <w:t xml:space="preserve">Foreclosure Oversight</w:t>
      </w:r>
    </w:p>
    <w:p>
      <w:pPr>
        <w:spacing w:after="40" w:before="120"/>
      </w:pPr>
      <w:r>
        <w:rPr>
          <w:rFonts w:ascii="Calibri" w:cs="Calibri" w:eastAsia="Calibri" w:hAnsi="Calibri"/>
          <w:b/>
          <w:bCs/>
          <w:color w:val="13808C"/>
          <w:spacing w:val="20"/>
          <w:sz w:val="18"/>
          <w:szCs w:val="18"/>
        </w:rPr>
        <w:t xml:space="preserve">LEAD DESCRIPTION</w:t>
      </w:r>
    </w:p>
    <w:p>
      <w:pPr>
        <w:spacing w:after="120" w:before="60"/>
      </w:pPr>
      <w:r>
        <w:rPr>
          <w:rFonts w:ascii="Calibri" w:cs="Calibri" w:eastAsia="Calibri" w:hAnsi="Calibri"/>
          <w:color w:val="000000"/>
          <w:sz w:val="22"/>
          <w:szCs w:val="22"/>
        </w:rPr>
        <w:t xml:space="preserve">Fully customizable oversight aligned with each client's operational, compliance, and risk-mitigation objectives. Cradle-to-grave litigation monitoring with attorney performance scorecarding.</w:t>
      </w:r>
    </w:p>
    <w:p>
      <w:pPr>
        <w:spacing w:after="40" w:before="120"/>
      </w:pPr>
      <w:r>
        <w:rPr>
          <w:rFonts w:ascii="Calibri" w:cs="Calibri" w:eastAsia="Calibri" w:hAnsi="Calibri"/>
          <w:b/>
          <w:bCs/>
          <w:color w:val="13808C"/>
          <w:spacing w:val="20"/>
          <w:sz w:val="18"/>
          <w:szCs w:val="18"/>
        </w:rPr>
        <w:t xml:space="preserve">KEY CAPABILITIES</w:t>
      </w:r>
    </w:p>
    <w:p>
      <w:pPr>
        <w:pStyle w:val="ListParagraph"/>
        <w:numPr>
          <w:ilvl w:val="0"/>
          <w:numId w:val="2"/>
        </w:numPr>
        <w:spacing w:after="40" w:before="40"/>
      </w:pPr>
      <w:r>
        <w:rPr>
          <w:rFonts w:ascii="Calibri" w:cs="Calibri" w:eastAsia="Calibri" w:hAnsi="Calibri"/>
          <w:color w:val="555555"/>
          <w:sz w:val="22"/>
          <w:szCs w:val="22"/>
        </w:rPr>
        <w:t xml:space="preserve">Attorney matrix oversight with performance scorecarding</w:t>
      </w:r>
    </w:p>
    <w:p>
      <w:pPr>
        <w:pStyle w:val="ListParagraph"/>
        <w:numPr>
          <w:ilvl w:val="0"/>
          <w:numId w:val="2"/>
        </w:numPr>
        <w:spacing w:after="40" w:before="40"/>
      </w:pPr>
      <w:r>
        <w:rPr>
          <w:rFonts w:ascii="Calibri" w:cs="Calibri" w:eastAsia="Calibri" w:hAnsi="Calibri"/>
          <w:color w:val="555555"/>
          <w:sz w:val="22"/>
          <w:szCs w:val="22"/>
        </w:rPr>
        <w:t xml:space="preserve">Contested and uncontested foreclosure timeline management</w:t>
      </w:r>
    </w:p>
    <w:p>
      <w:pPr>
        <w:pStyle w:val="ListParagraph"/>
        <w:numPr>
          <w:ilvl w:val="0"/>
          <w:numId w:val="2"/>
        </w:numPr>
        <w:spacing w:after="40" w:before="40"/>
      </w:pPr>
      <w:r>
        <w:rPr>
          <w:rFonts w:ascii="Calibri" w:cs="Calibri" w:eastAsia="Calibri" w:hAnsi="Calibri"/>
          <w:color w:val="555555"/>
          <w:sz w:val="22"/>
          <w:szCs w:val="22"/>
        </w:rPr>
        <w:t xml:space="preserve">RESPA issues, TROs, and invalid foreclosure claims oversight</w:t>
      </w:r>
    </w:p>
    <w:p>
      <w:pPr>
        <w:pStyle w:val="ListParagraph"/>
        <w:numPr>
          <w:ilvl w:val="0"/>
          <w:numId w:val="2"/>
        </w:numPr>
        <w:spacing w:after="40" w:before="40"/>
      </w:pPr>
      <w:r>
        <w:rPr>
          <w:rFonts w:ascii="Calibri" w:cs="Calibri" w:eastAsia="Calibri" w:hAnsi="Calibri"/>
          <w:color w:val="555555"/>
          <w:sz w:val="22"/>
          <w:szCs w:val="22"/>
        </w:rPr>
        <w:t xml:space="preserve">Billing oversight with milestone validation and AP verification</w:t>
      </w:r>
    </w:p>
    <w:p>
      <w:pPr>
        <w:pStyle w:val="ListParagraph"/>
        <w:numPr>
          <w:ilvl w:val="0"/>
          <w:numId w:val="2"/>
        </w:numPr>
        <w:spacing w:after="40" w:before="40"/>
      </w:pPr>
      <w:r>
        <w:rPr>
          <w:rFonts w:ascii="Calibri" w:cs="Calibri" w:eastAsia="Calibri" w:hAnsi="Calibri"/>
          <w:color w:val="555555"/>
          <w:sz w:val="22"/>
          <w:szCs w:val="22"/>
        </w:rPr>
        <w:t xml:space="preserve">Witness coordination for court and mediation proceedings</w:t>
      </w:r>
    </w:p>
    <w:p>
      <w:pPr>
        <w:pStyle w:val="Heading3"/>
        <w:spacing w:after="80" w:before="200"/>
      </w:pPr>
      <w:r>
        <w:rPr>
          <w:rFonts w:ascii="Calibri" w:cs="Calibri" w:eastAsia="Calibri" w:hAnsi="Calibri"/>
          <w:b/>
          <w:bCs/>
          <w:color w:val="0B2545"/>
          <w:sz w:val="24"/>
          <w:szCs w:val="24"/>
        </w:rPr>
        <w:t xml:space="preserve">Bankruptcy Oversight</w:t>
      </w:r>
    </w:p>
    <w:p>
      <w:pPr>
        <w:spacing w:after="40" w:before="120"/>
      </w:pPr>
      <w:r>
        <w:rPr>
          <w:rFonts w:ascii="Calibri" w:cs="Calibri" w:eastAsia="Calibri" w:hAnsi="Calibri"/>
          <w:b/>
          <w:bCs/>
          <w:color w:val="13808C"/>
          <w:spacing w:val="20"/>
          <w:sz w:val="18"/>
          <w:szCs w:val="18"/>
        </w:rPr>
        <w:t xml:space="preserve">LEAD DESCRIPTION</w:t>
      </w:r>
    </w:p>
    <w:p>
      <w:pPr>
        <w:spacing w:after="120" w:before="60"/>
      </w:pPr>
      <w:r>
        <w:rPr>
          <w:rFonts w:ascii="Calibri" w:cs="Calibri" w:eastAsia="Calibri" w:hAnsi="Calibri"/>
          <w:color w:val="000000"/>
          <w:sz w:val="22"/>
          <w:szCs w:val="22"/>
        </w:rPr>
        <w:t xml:space="preserve">A seamless national solution supported by experienced attorneys and paralegals managing bankruptcy matters across entire loan portfolios — including credit card, automobile, and mortgage assets.</w:t>
      </w:r>
    </w:p>
    <w:p>
      <w:pPr>
        <w:spacing w:after="40" w:before="120"/>
      </w:pPr>
      <w:r>
        <w:rPr>
          <w:rFonts w:ascii="Calibri" w:cs="Calibri" w:eastAsia="Calibri" w:hAnsi="Calibri"/>
          <w:b/>
          <w:bCs/>
          <w:color w:val="13808C"/>
          <w:spacing w:val="20"/>
          <w:sz w:val="18"/>
          <w:szCs w:val="18"/>
        </w:rPr>
        <w:t xml:space="preserve">KEY CAPABILITIES</w:t>
      </w:r>
    </w:p>
    <w:p>
      <w:pPr>
        <w:pStyle w:val="ListParagraph"/>
        <w:numPr>
          <w:ilvl w:val="0"/>
          <w:numId w:val="2"/>
        </w:numPr>
        <w:spacing w:after="40" w:before="40"/>
      </w:pPr>
      <w:r>
        <w:rPr>
          <w:rFonts w:ascii="Calibri" w:cs="Calibri" w:eastAsia="Calibri" w:hAnsi="Calibri"/>
          <w:color w:val="555555"/>
          <w:sz w:val="22"/>
          <w:szCs w:val="22"/>
        </w:rPr>
        <w:t xml:space="preserve">Nationwide coverage across all 94 U.S. Bankruptcy Courts</w:t>
      </w:r>
    </w:p>
    <w:p>
      <w:pPr>
        <w:pStyle w:val="ListParagraph"/>
        <w:numPr>
          <w:ilvl w:val="0"/>
          <w:numId w:val="2"/>
        </w:numPr>
        <w:spacing w:after="40" w:before="40"/>
      </w:pPr>
      <w:r>
        <w:rPr>
          <w:rFonts w:ascii="Calibri" w:cs="Calibri" w:eastAsia="Calibri" w:hAnsi="Calibri"/>
          <w:color w:val="555555"/>
          <w:sz w:val="22"/>
          <w:szCs w:val="22"/>
        </w:rPr>
        <w:t xml:space="preserve">Proofs of Claim management and compliance review</w:t>
      </w:r>
    </w:p>
    <w:p>
      <w:pPr>
        <w:pStyle w:val="ListParagraph"/>
        <w:numPr>
          <w:ilvl w:val="0"/>
          <w:numId w:val="2"/>
        </w:numPr>
        <w:spacing w:after="40" w:before="40"/>
      </w:pPr>
      <w:r>
        <w:rPr>
          <w:rFonts w:ascii="Calibri" w:cs="Calibri" w:eastAsia="Calibri" w:hAnsi="Calibri"/>
          <w:color w:val="555555"/>
          <w:sz w:val="22"/>
          <w:szCs w:val="22"/>
        </w:rPr>
        <w:t xml:space="preserve">Motions for Relief monitoring and execution</w:t>
      </w:r>
    </w:p>
    <w:p>
      <w:pPr>
        <w:pStyle w:val="ListParagraph"/>
        <w:numPr>
          <w:ilvl w:val="0"/>
          <w:numId w:val="2"/>
        </w:numPr>
        <w:spacing w:after="40" w:before="40"/>
      </w:pPr>
      <w:r>
        <w:rPr>
          <w:rFonts w:ascii="Calibri" w:cs="Calibri" w:eastAsia="Calibri" w:hAnsi="Calibri"/>
          <w:color w:val="555555"/>
          <w:sz w:val="22"/>
          <w:szCs w:val="22"/>
        </w:rPr>
        <w:t xml:space="preserve">Continuous collection of national and local bankruptcy rules</w:t>
      </w:r>
    </w:p>
    <w:p>
      <w:pPr>
        <w:pStyle w:val="ListParagraph"/>
        <w:numPr>
          <w:ilvl w:val="0"/>
          <w:numId w:val="2"/>
        </w:numPr>
        <w:spacing w:after="40" w:before="40"/>
      </w:pPr>
      <w:r>
        <w:rPr>
          <w:rFonts w:ascii="Calibri" w:cs="Calibri" w:eastAsia="Calibri" w:hAnsi="Calibri"/>
          <w:color w:val="555555"/>
          <w:sz w:val="22"/>
          <w:szCs w:val="22"/>
        </w:rPr>
        <w:t xml:space="preserve">Objection monitoring and adversary proceeding oversight</w:t>
      </w:r>
    </w:p>
    <w:p>
      <w:pPr>
        <w:pStyle w:val="Heading3"/>
        <w:spacing w:after="80" w:before="200"/>
      </w:pPr>
      <w:r>
        <w:rPr>
          <w:rFonts w:ascii="Calibri" w:cs="Calibri" w:eastAsia="Calibri" w:hAnsi="Calibri"/>
          <w:b/>
          <w:bCs/>
          <w:color w:val="0B2545"/>
          <w:sz w:val="24"/>
          <w:szCs w:val="24"/>
        </w:rPr>
        <w:t xml:space="preserve">Litigation Oversight</w:t>
      </w:r>
    </w:p>
    <w:p>
      <w:pPr>
        <w:spacing w:after="40" w:before="120"/>
      </w:pPr>
      <w:r>
        <w:rPr>
          <w:rFonts w:ascii="Calibri" w:cs="Calibri" w:eastAsia="Calibri" w:hAnsi="Calibri"/>
          <w:b/>
          <w:bCs/>
          <w:color w:val="13808C"/>
          <w:spacing w:val="20"/>
          <w:sz w:val="18"/>
          <w:szCs w:val="18"/>
        </w:rPr>
        <w:t xml:space="preserve">LEAD DESCRIPTION</w:t>
      </w:r>
    </w:p>
    <w:p>
      <w:pPr>
        <w:spacing w:after="120" w:before="60"/>
      </w:pPr>
      <w:r>
        <w:rPr>
          <w:rFonts w:ascii="Calibri" w:cs="Calibri" w:eastAsia="Calibri" w:hAnsi="Calibri"/>
          <w:color w:val="000000"/>
          <w:sz w:val="22"/>
          <w:szCs w:val="22"/>
        </w:rPr>
        <w:t xml:space="preserve">Management and tracking of contested litigation matters with milestone monitoring, discovery oversight, and vendor accountability across the full litigation lifecycle.</w:t>
      </w:r>
    </w:p>
    <w:p>
      <w:pPr>
        <w:spacing w:after="40" w:before="120"/>
      </w:pPr>
      <w:r>
        <w:rPr>
          <w:rFonts w:ascii="Calibri" w:cs="Calibri" w:eastAsia="Calibri" w:hAnsi="Calibri"/>
          <w:b/>
          <w:bCs/>
          <w:color w:val="13808C"/>
          <w:spacing w:val="20"/>
          <w:sz w:val="18"/>
          <w:szCs w:val="18"/>
        </w:rPr>
        <w:t xml:space="preserve">KEY CAPABILITIES</w:t>
      </w:r>
    </w:p>
    <w:p>
      <w:pPr>
        <w:pStyle w:val="ListParagraph"/>
        <w:numPr>
          <w:ilvl w:val="0"/>
          <w:numId w:val="2"/>
        </w:numPr>
        <w:spacing w:after="40" w:before="40"/>
      </w:pPr>
      <w:r>
        <w:rPr>
          <w:rFonts w:ascii="Calibri" w:cs="Calibri" w:eastAsia="Calibri" w:hAnsi="Calibri"/>
          <w:color w:val="555555"/>
          <w:sz w:val="22"/>
          <w:szCs w:val="22"/>
        </w:rPr>
        <w:t xml:space="preserve">Discovery interrogatory review and documentation support</w:t>
      </w:r>
    </w:p>
    <w:p>
      <w:pPr>
        <w:pStyle w:val="ListParagraph"/>
        <w:numPr>
          <w:ilvl w:val="0"/>
          <w:numId w:val="2"/>
        </w:numPr>
        <w:spacing w:after="40" w:before="40"/>
      </w:pPr>
      <w:r>
        <w:rPr>
          <w:rFonts w:ascii="Calibri" w:cs="Calibri" w:eastAsia="Calibri" w:hAnsi="Calibri"/>
          <w:color w:val="555555"/>
          <w:sz w:val="22"/>
          <w:szCs w:val="22"/>
        </w:rPr>
        <w:t xml:space="preserve">Litigation fee reviews and compliance tracking</w:t>
      </w:r>
    </w:p>
    <w:p>
      <w:pPr>
        <w:pStyle w:val="ListParagraph"/>
        <w:numPr>
          <w:ilvl w:val="0"/>
          <w:numId w:val="2"/>
        </w:numPr>
        <w:spacing w:after="40" w:before="40"/>
      </w:pPr>
      <w:r>
        <w:rPr>
          <w:rFonts w:ascii="Calibri" w:cs="Calibri" w:eastAsia="Calibri" w:hAnsi="Calibri"/>
          <w:color w:val="555555"/>
          <w:sz w:val="22"/>
          <w:szCs w:val="22"/>
        </w:rPr>
        <w:t xml:space="preserve">Escalation management and impediment resolution</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Only 3 bullets here vs. 5 for other services. Consider expanding with client.</w:t>
      </w:r>
    </w:p>
    <w:p>
      <w:pPr>
        <w:pStyle w:val="Heading3"/>
        <w:spacing w:after="80" w:before="200"/>
      </w:pPr>
      <w:r>
        <w:rPr>
          <w:rFonts w:ascii="Calibri" w:cs="Calibri" w:eastAsia="Calibri" w:hAnsi="Calibri"/>
          <w:b/>
          <w:bCs/>
          <w:color w:val="0B2545"/>
          <w:sz w:val="24"/>
          <w:szCs w:val="24"/>
        </w:rPr>
        <w:t xml:space="preserve">Eviction Oversight</w:t>
      </w:r>
    </w:p>
    <w:p>
      <w:pPr>
        <w:spacing w:after="40" w:before="120"/>
      </w:pPr>
      <w:r>
        <w:rPr>
          <w:rFonts w:ascii="Calibri" w:cs="Calibri" w:eastAsia="Calibri" w:hAnsi="Calibri"/>
          <w:b/>
          <w:bCs/>
          <w:color w:val="13808C"/>
          <w:spacing w:val="20"/>
          <w:sz w:val="18"/>
          <w:szCs w:val="18"/>
        </w:rPr>
        <w:t xml:space="preserve">LEAD DESCRIPTION</w:t>
      </w:r>
    </w:p>
    <w:p>
      <w:pPr>
        <w:spacing w:after="120" w:before="60"/>
      </w:pPr>
      <w:r>
        <w:rPr>
          <w:rFonts w:ascii="Calibri" w:cs="Calibri" w:eastAsia="Calibri" w:hAnsi="Calibri"/>
          <w:color w:val="000000"/>
          <w:sz w:val="22"/>
          <w:szCs w:val="22"/>
        </w:rPr>
        <w:t xml:space="preserve">Coordination of post-foreclosure eviction proceedings to ensure timely property possession and compliance.</w:t>
      </w:r>
    </w:p>
    <w:p>
      <w:pPr>
        <w:spacing w:after="40" w:before="120"/>
      </w:pPr>
      <w:r>
        <w:rPr>
          <w:rFonts w:ascii="Calibri" w:cs="Calibri" w:eastAsia="Calibri" w:hAnsi="Calibri"/>
          <w:b/>
          <w:bCs/>
          <w:color w:val="13808C"/>
          <w:spacing w:val="20"/>
          <w:sz w:val="18"/>
          <w:szCs w:val="18"/>
        </w:rPr>
        <w:t xml:space="preserve">KEY CAPABILITIES</w:t>
      </w:r>
    </w:p>
    <w:p>
      <w:pPr>
        <w:pStyle w:val="ListParagraph"/>
        <w:numPr>
          <w:ilvl w:val="0"/>
          <w:numId w:val="2"/>
        </w:numPr>
        <w:spacing w:after="40" w:before="40"/>
      </w:pPr>
      <w:r>
        <w:rPr>
          <w:rFonts w:ascii="Calibri" w:cs="Calibri" w:eastAsia="Calibri" w:hAnsi="Calibri"/>
          <w:color w:val="555555"/>
          <w:sz w:val="22"/>
          <w:szCs w:val="22"/>
        </w:rPr>
        <w:t xml:space="preserve">Post-sale eviction timeline management</w:t>
      </w:r>
    </w:p>
    <w:p>
      <w:pPr>
        <w:pStyle w:val="ListParagraph"/>
        <w:numPr>
          <w:ilvl w:val="0"/>
          <w:numId w:val="2"/>
        </w:numPr>
        <w:spacing w:after="40" w:before="40"/>
      </w:pPr>
      <w:r>
        <w:rPr>
          <w:rFonts w:ascii="Calibri" w:cs="Calibri" w:eastAsia="Calibri" w:hAnsi="Calibri"/>
          <w:color w:val="555555"/>
          <w:sz w:val="22"/>
          <w:szCs w:val="22"/>
        </w:rPr>
        <w:t xml:space="preserve">Vendor coordination and compliance tracking</w:t>
      </w:r>
    </w:p>
    <w:p>
      <w:pPr>
        <w:pStyle w:val="ListParagraph"/>
        <w:numPr>
          <w:ilvl w:val="0"/>
          <w:numId w:val="2"/>
        </w:numPr>
        <w:spacing w:after="40" w:before="40"/>
      </w:pPr>
      <w:r>
        <w:rPr>
          <w:rFonts w:ascii="Calibri" w:cs="Calibri" w:eastAsia="Calibri" w:hAnsi="Calibri"/>
          <w:color w:val="555555"/>
          <w:sz w:val="22"/>
          <w:szCs w:val="22"/>
        </w:rPr>
        <w:t xml:space="preserve">Cash-for-keys program oversight</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Shortest service description. Only 3 bullets. Expand if client has additional detail.</w:t>
      </w:r>
    </w:p>
    <w:p>
      <w:pPr>
        <w:pStyle w:val="Heading3"/>
        <w:spacing w:after="80" w:before="200"/>
      </w:pPr>
      <w:r>
        <w:rPr>
          <w:rFonts w:ascii="Calibri" w:cs="Calibri" w:eastAsia="Calibri" w:hAnsi="Calibri"/>
          <w:b/>
          <w:bCs/>
          <w:color w:val="0B2545"/>
          <w:sz w:val="24"/>
          <w:szCs w:val="24"/>
        </w:rPr>
        <w:t xml:space="preserve">Title Curative</w:t>
      </w:r>
    </w:p>
    <w:p>
      <w:pPr>
        <w:spacing w:after="40" w:before="120"/>
      </w:pPr>
      <w:r>
        <w:rPr>
          <w:rFonts w:ascii="Calibri" w:cs="Calibri" w:eastAsia="Calibri" w:hAnsi="Calibri"/>
          <w:b/>
          <w:bCs/>
          <w:color w:val="13808C"/>
          <w:spacing w:val="20"/>
          <w:sz w:val="18"/>
          <w:szCs w:val="18"/>
        </w:rPr>
        <w:t xml:space="preserve">LEAD DESCRIPTION</w:t>
      </w:r>
    </w:p>
    <w:p>
      <w:pPr>
        <w:spacing w:after="120" w:before="60"/>
      </w:pPr>
      <w:r>
        <w:rPr>
          <w:rFonts w:ascii="Calibri" w:cs="Calibri" w:eastAsia="Calibri" w:hAnsi="Calibri"/>
          <w:color w:val="000000"/>
          <w:sz w:val="22"/>
          <w:szCs w:val="22"/>
        </w:rPr>
        <w:t xml:space="preserve">Cradle-to-grave monitoring of title issues spanning senior lien clearance, repurchases, mobile home resolution, legal description defects, origination issues, and title claims.</w:t>
      </w:r>
    </w:p>
    <w:p>
      <w:pPr>
        <w:spacing w:after="40" w:before="120"/>
      </w:pPr>
      <w:r>
        <w:rPr>
          <w:rFonts w:ascii="Calibri" w:cs="Calibri" w:eastAsia="Calibri" w:hAnsi="Calibri"/>
          <w:b/>
          <w:bCs/>
          <w:color w:val="13808C"/>
          <w:spacing w:val="20"/>
          <w:sz w:val="18"/>
          <w:szCs w:val="18"/>
        </w:rPr>
        <w:t xml:space="preserve">KEY CAPABILITIES</w:t>
      </w:r>
    </w:p>
    <w:p>
      <w:pPr>
        <w:pStyle w:val="ListParagraph"/>
        <w:numPr>
          <w:ilvl w:val="0"/>
          <w:numId w:val="2"/>
        </w:numPr>
        <w:spacing w:after="40" w:before="40"/>
      </w:pPr>
      <w:r>
        <w:rPr>
          <w:rFonts w:ascii="Calibri" w:cs="Calibri" w:eastAsia="Calibri" w:hAnsi="Calibri"/>
          <w:color w:val="555555"/>
          <w:sz w:val="22"/>
          <w:szCs w:val="22"/>
        </w:rPr>
        <w:t xml:space="preserve">Issue identification through foreclosure counsel notification</w:t>
      </w:r>
    </w:p>
    <w:p>
      <w:pPr>
        <w:pStyle w:val="ListParagraph"/>
        <w:numPr>
          <w:ilvl w:val="0"/>
          <w:numId w:val="2"/>
        </w:numPr>
        <w:spacing w:after="40" w:before="40"/>
      </w:pPr>
      <w:r>
        <w:rPr>
          <w:rFonts w:ascii="Calibri" w:cs="Calibri" w:eastAsia="Calibri" w:hAnsi="Calibri"/>
          <w:color w:val="555555"/>
          <w:sz w:val="22"/>
          <w:szCs w:val="22"/>
        </w:rPr>
        <w:t xml:space="preserve">Review, validation, and grading of title issues</w:t>
      </w:r>
    </w:p>
    <w:p>
      <w:pPr>
        <w:pStyle w:val="ListParagraph"/>
        <w:numPr>
          <w:ilvl w:val="0"/>
          <w:numId w:val="2"/>
        </w:numPr>
        <w:spacing w:after="40" w:before="40"/>
      </w:pPr>
      <w:r>
        <w:rPr>
          <w:rFonts w:ascii="Calibri" w:cs="Calibri" w:eastAsia="Calibri" w:hAnsi="Calibri"/>
          <w:color w:val="555555"/>
          <w:sz w:val="22"/>
          <w:szCs w:val="22"/>
        </w:rPr>
        <w:t xml:space="preserve">Curative strategy based on risk, complexity, and jurisdiction</w:t>
      </w:r>
    </w:p>
    <w:p>
      <w:pPr>
        <w:pStyle w:val="ListParagraph"/>
        <w:numPr>
          <w:ilvl w:val="0"/>
          <w:numId w:val="2"/>
        </w:numPr>
        <w:spacing w:after="40" w:before="40"/>
      </w:pPr>
      <w:r>
        <w:rPr>
          <w:rFonts w:ascii="Calibri" w:cs="Calibri" w:eastAsia="Calibri" w:hAnsi="Calibri"/>
          <w:color w:val="555555"/>
          <w:sz w:val="22"/>
          <w:szCs w:val="22"/>
        </w:rPr>
        <w:t xml:space="preserve">Active monitoring against historical curative timelines</w:t>
      </w:r>
    </w:p>
    <w:p>
      <w:pPr>
        <w:pStyle w:val="ListParagraph"/>
        <w:numPr>
          <w:ilvl w:val="0"/>
          <w:numId w:val="2"/>
        </w:numPr>
        <w:spacing w:after="40" w:before="40"/>
      </w:pPr>
      <w:r>
        <w:rPr>
          <w:rFonts w:ascii="Calibri" w:cs="Calibri" w:eastAsia="Calibri" w:hAnsi="Calibri"/>
          <w:color w:val="555555"/>
          <w:sz w:val="22"/>
          <w:szCs w:val="22"/>
        </w:rPr>
        <w:t xml:space="preserve">Resolution, clearance, and file progression</w:t>
      </w:r>
    </w:p>
    <w:p>
      <w:pPr>
        <w:pStyle w:val="Heading3"/>
        <w:spacing w:after="80" w:before="200"/>
      </w:pPr>
      <w:r>
        <w:rPr>
          <w:rFonts w:ascii="Calibri" w:cs="Calibri" w:eastAsia="Calibri" w:hAnsi="Calibri"/>
          <w:b/>
          <w:bCs/>
          <w:color w:val="0B2545"/>
          <w:sz w:val="24"/>
          <w:szCs w:val="24"/>
        </w:rPr>
        <w:t xml:space="preserve">Claims Oversight</w:t>
      </w:r>
    </w:p>
    <w:p>
      <w:pPr>
        <w:spacing w:after="40" w:before="120"/>
      </w:pPr>
      <w:r>
        <w:rPr>
          <w:rFonts w:ascii="Calibri" w:cs="Calibri" w:eastAsia="Calibri" w:hAnsi="Calibri"/>
          <w:b/>
          <w:bCs/>
          <w:color w:val="13808C"/>
          <w:spacing w:val="20"/>
          <w:sz w:val="18"/>
          <w:szCs w:val="18"/>
        </w:rPr>
        <w:t xml:space="preserve">LEAD DESCRIPTION</w:t>
      </w:r>
    </w:p>
    <w:p>
      <w:pPr>
        <w:spacing w:after="120" w:before="60"/>
      </w:pPr>
      <w:r>
        <w:rPr>
          <w:rFonts w:ascii="Calibri" w:cs="Calibri" w:eastAsia="Calibri" w:hAnsi="Calibri"/>
          <w:color w:val="000000"/>
          <w:sz w:val="22"/>
          <w:szCs w:val="22"/>
        </w:rPr>
        <w:t xml:space="preserve">End-to-end visibility, compliance, and control across the claims lifecycle covering FHA, FNMA, FHLMC, MI, VA, USDA, and eviction-related claims.</w:t>
      </w:r>
    </w:p>
    <w:p>
      <w:pPr>
        <w:spacing w:after="40" w:before="120"/>
      </w:pPr>
      <w:r>
        <w:rPr>
          <w:rFonts w:ascii="Calibri" w:cs="Calibri" w:eastAsia="Calibri" w:hAnsi="Calibri"/>
          <w:b/>
          <w:bCs/>
          <w:color w:val="13808C"/>
          <w:spacing w:val="20"/>
          <w:sz w:val="18"/>
          <w:szCs w:val="18"/>
        </w:rPr>
        <w:t xml:space="preserve">KEY CAPABILITIES</w:t>
      </w:r>
    </w:p>
    <w:p>
      <w:pPr>
        <w:pStyle w:val="ListParagraph"/>
        <w:numPr>
          <w:ilvl w:val="0"/>
          <w:numId w:val="2"/>
        </w:numPr>
        <w:spacing w:after="40" w:before="40"/>
      </w:pPr>
      <w:r>
        <w:rPr>
          <w:rFonts w:ascii="Calibri" w:cs="Calibri" w:eastAsia="Calibri" w:hAnsi="Calibri"/>
          <w:color w:val="555555"/>
          <w:sz w:val="22"/>
          <w:szCs w:val="22"/>
        </w:rPr>
        <w:t xml:space="preserve">Claims deadline monitoring and compliance tracking</w:t>
      </w:r>
    </w:p>
    <w:p>
      <w:pPr>
        <w:pStyle w:val="ListParagraph"/>
        <w:numPr>
          <w:ilvl w:val="0"/>
          <w:numId w:val="2"/>
        </w:numPr>
        <w:spacing w:after="40" w:before="40"/>
      </w:pPr>
      <w:r>
        <w:rPr>
          <w:rFonts w:ascii="Calibri" w:cs="Calibri" w:eastAsia="Calibri" w:hAnsi="Calibri"/>
          <w:color w:val="555555"/>
          <w:sz w:val="22"/>
          <w:szCs w:val="22"/>
        </w:rPr>
        <w:t xml:space="preserve">FHA Part A &amp; B, FNMA 571, MI claims, and rebuttals</w:t>
      </w:r>
    </w:p>
    <w:p>
      <w:pPr>
        <w:pStyle w:val="ListParagraph"/>
        <w:numPr>
          <w:ilvl w:val="0"/>
          <w:numId w:val="2"/>
        </w:numPr>
        <w:spacing w:after="40" w:before="40"/>
      </w:pPr>
      <w:r>
        <w:rPr>
          <w:rFonts w:ascii="Calibri" w:cs="Calibri" w:eastAsia="Calibri" w:hAnsi="Calibri"/>
          <w:color w:val="555555"/>
          <w:sz w:val="22"/>
          <w:szCs w:val="22"/>
        </w:rPr>
        <w:t xml:space="preserve">Initial, final, and supplemental claims filing status</w:t>
      </w:r>
    </w:p>
    <w:p>
      <w:pPr>
        <w:pStyle w:val="ListParagraph"/>
        <w:numPr>
          <w:ilvl w:val="0"/>
          <w:numId w:val="2"/>
        </w:numPr>
        <w:spacing w:after="40" w:before="40"/>
      </w:pPr>
      <w:r>
        <w:rPr>
          <w:rFonts w:ascii="Calibri" w:cs="Calibri" w:eastAsia="Calibri" w:hAnsi="Calibri"/>
          <w:color w:val="555555"/>
          <w:sz w:val="22"/>
          <w:szCs w:val="22"/>
        </w:rPr>
        <w:t xml:space="preserve">Loss analysis and post-mortem reviews</w:t>
      </w:r>
    </w:p>
    <w:p>
      <w:pPr>
        <w:pStyle w:val="ListParagraph"/>
        <w:numPr>
          <w:ilvl w:val="0"/>
          <w:numId w:val="2"/>
        </w:numPr>
        <w:spacing w:after="40" w:before="40"/>
      </w:pPr>
      <w:r>
        <w:rPr>
          <w:rFonts w:ascii="Calibri" w:cs="Calibri" w:eastAsia="Calibri" w:hAnsi="Calibri"/>
          <w:color w:val="555555"/>
          <w:sz w:val="22"/>
          <w:szCs w:val="22"/>
        </w:rPr>
        <w:t xml:space="preserve">Claims performance analytics and custom reporting</w:t>
      </w:r>
    </w:p>
    <w:p>
      <w:pPr>
        <w:pStyle w:val="Heading3"/>
        <w:spacing w:after="80" w:before="200"/>
      </w:pPr>
      <w:r>
        <w:rPr>
          <w:rFonts w:ascii="Calibri" w:cs="Calibri" w:eastAsia="Calibri" w:hAnsi="Calibri"/>
          <w:b/>
          <w:bCs/>
          <w:color w:val="0B2545"/>
          <w:sz w:val="24"/>
          <w:szCs w:val="24"/>
        </w:rPr>
        <w:t xml:space="preserve">Loss Mitigation</w:t>
      </w:r>
    </w:p>
    <w:p>
      <w:pPr>
        <w:spacing w:after="40" w:before="120"/>
      </w:pPr>
      <w:r>
        <w:rPr>
          <w:rFonts w:ascii="Calibri" w:cs="Calibri" w:eastAsia="Calibri" w:hAnsi="Calibri"/>
          <w:b/>
          <w:bCs/>
          <w:color w:val="13808C"/>
          <w:spacing w:val="20"/>
          <w:sz w:val="18"/>
          <w:szCs w:val="18"/>
        </w:rPr>
        <w:t xml:space="preserve">LEAD DESCRIPTION</w:t>
      </w:r>
    </w:p>
    <w:p>
      <w:pPr>
        <w:spacing w:after="120" w:before="60"/>
      </w:pPr>
      <w:r>
        <w:rPr>
          <w:rFonts w:ascii="Calibri" w:cs="Calibri" w:eastAsia="Calibri" w:hAnsi="Calibri"/>
          <w:color w:val="000000"/>
          <w:sz w:val="22"/>
          <w:szCs w:val="22"/>
        </w:rPr>
        <w:t xml:space="preserve">Comprehensive oversight of loss mitigation strategies aligned with client objectives and borrower outcomes, spanning both retention and resolution approaches.</w:t>
      </w:r>
    </w:p>
    <w:p>
      <w:pPr>
        <w:spacing w:after="40" w:before="120"/>
      </w:pPr>
      <w:r>
        <w:rPr>
          <w:rFonts w:ascii="Calibri" w:cs="Calibri" w:eastAsia="Calibri" w:hAnsi="Calibri"/>
          <w:b/>
          <w:bCs/>
          <w:color w:val="13808C"/>
          <w:spacing w:val="20"/>
          <w:sz w:val="18"/>
          <w:szCs w:val="18"/>
        </w:rPr>
        <w:t xml:space="preserve">KEY CAPABILITIES</w:t>
      </w:r>
    </w:p>
    <w:p>
      <w:pPr>
        <w:pStyle w:val="ListParagraph"/>
        <w:numPr>
          <w:ilvl w:val="0"/>
          <w:numId w:val="2"/>
        </w:numPr>
        <w:spacing w:after="40" w:before="40"/>
      </w:pPr>
      <w:r>
        <w:rPr>
          <w:rFonts w:ascii="Calibri" w:cs="Calibri" w:eastAsia="Calibri" w:hAnsi="Calibri"/>
          <w:color w:val="555555"/>
          <w:sz w:val="22"/>
          <w:szCs w:val="22"/>
        </w:rPr>
        <w:t xml:space="preserve">Borrower-retention: mediation and loan modifications</w:t>
      </w:r>
    </w:p>
    <w:p>
      <w:pPr>
        <w:pStyle w:val="ListParagraph"/>
        <w:numPr>
          <w:ilvl w:val="0"/>
          <w:numId w:val="2"/>
        </w:numPr>
        <w:spacing w:after="40" w:before="40"/>
      </w:pPr>
      <w:r>
        <w:rPr>
          <w:rFonts w:ascii="Calibri" w:cs="Calibri" w:eastAsia="Calibri" w:hAnsi="Calibri"/>
          <w:color w:val="555555"/>
          <w:sz w:val="22"/>
          <w:szCs w:val="22"/>
        </w:rPr>
        <w:t xml:space="preserve">Resolution-driven: short sales, deeds in lieu, cash-for-keys</w:t>
      </w:r>
    </w:p>
    <w:p>
      <w:pPr>
        <w:pStyle w:val="ListParagraph"/>
        <w:numPr>
          <w:ilvl w:val="0"/>
          <w:numId w:val="2"/>
        </w:numPr>
        <w:spacing w:after="40" w:before="40"/>
      </w:pPr>
      <w:r>
        <w:rPr>
          <w:rFonts w:ascii="Calibri" w:cs="Calibri" w:eastAsia="Calibri" w:hAnsi="Calibri"/>
          <w:color w:val="555555"/>
          <w:sz w:val="22"/>
          <w:szCs w:val="22"/>
        </w:rPr>
        <w:t xml:space="preserve">Data-driven strategy support for client initiatives</w:t>
      </w:r>
    </w:p>
    <w:p>
      <w:pPr>
        <w:pStyle w:val="Heading3"/>
        <w:spacing w:after="80" w:before="200"/>
      </w:pPr>
      <w:r>
        <w:rPr>
          <w:rFonts w:ascii="Calibri" w:cs="Calibri" w:eastAsia="Calibri" w:hAnsi="Calibri"/>
          <w:b/>
          <w:bCs/>
          <w:color w:val="0B2545"/>
          <w:sz w:val="24"/>
          <w:szCs w:val="24"/>
        </w:rPr>
        <w:t xml:space="preserve">FTE Staffing &amp; Capacity Management</w:t>
      </w:r>
    </w:p>
    <w:p>
      <w:pPr>
        <w:spacing w:after="40" w:before="120"/>
      </w:pPr>
      <w:r>
        <w:rPr>
          <w:rFonts w:ascii="Calibri" w:cs="Calibri" w:eastAsia="Calibri" w:hAnsi="Calibri"/>
          <w:b/>
          <w:bCs/>
          <w:color w:val="13808C"/>
          <w:spacing w:val="20"/>
          <w:sz w:val="18"/>
          <w:szCs w:val="18"/>
        </w:rPr>
        <w:t xml:space="preserve">LEAD DESCRIPTION</w:t>
      </w:r>
    </w:p>
    <w:p>
      <w:pPr>
        <w:spacing w:after="120" w:before="60"/>
      </w:pPr>
      <w:r>
        <w:rPr>
          <w:rFonts w:ascii="Calibri" w:cs="Calibri" w:eastAsia="Calibri" w:hAnsi="Calibri"/>
          <w:color w:val="000000"/>
          <w:sz w:val="22"/>
          <w:szCs w:val="22"/>
        </w:rPr>
        <w:t xml:space="preserve">Full-Time Equivalent analysis to establish baseline staffing requirements through structured evaluation of work activities, time allocations, and cost drivers.</w:t>
      </w:r>
    </w:p>
    <w:p>
      <w:pPr>
        <w:spacing w:after="40" w:before="120"/>
      </w:pPr>
      <w:r>
        <w:rPr>
          <w:rFonts w:ascii="Calibri" w:cs="Calibri" w:eastAsia="Calibri" w:hAnsi="Calibri"/>
          <w:b/>
          <w:bCs/>
          <w:color w:val="13808C"/>
          <w:spacing w:val="20"/>
          <w:sz w:val="18"/>
          <w:szCs w:val="18"/>
        </w:rPr>
        <w:t xml:space="preserve">KEY CAPABILITIES</w:t>
      </w:r>
    </w:p>
    <w:p>
      <w:pPr>
        <w:pStyle w:val="ListParagraph"/>
        <w:numPr>
          <w:ilvl w:val="0"/>
          <w:numId w:val="2"/>
        </w:numPr>
        <w:spacing w:after="40" w:before="40"/>
      </w:pPr>
      <w:r>
        <w:rPr>
          <w:rFonts w:ascii="Calibri" w:cs="Calibri" w:eastAsia="Calibri" w:hAnsi="Calibri"/>
          <w:color w:val="555555"/>
          <w:sz w:val="22"/>
          <w:szCs w:val="22"/>
        </w:rPr>
        <w:t xml:space="preserve">Resource requirements and labor hour analysis</w:t>
      </w:r>
    </w:p>
    <w:p>
      <w:pPr>
        <w:pStyle w:val="ListParagraph"/>
        <w:numPr>
          <w:ilvl w:val="0"/>
          <w:numId w:val="2"/>
        </w:numPr>
        <w:spacing w:after="40" w:before="40"/>
      </w:pPr>
      <w:r>
        <w:rPr>
          <w:rFonts w:ascii="Calibri" w:cs="Calibri" w:eastAsia="Calibri" w:hAnsi="Calibri"/>
          <w:color w:val="555555"/>
          <w:sz w:val="22"/>
          <w:szCs w:val="22"/>
        </w:rPr>
        <w:t xml:space="preserve">Workload allocation and balancing across teams</w:t>
      </w:r>
    </w:p>
    <w:p>
      <w:pPr>
        <w:pStyle w:val="ListParagraph"/>
        <w:numPr>
          <w:ilvl w:val="0"/>
          <w:numId w:val="2"/>
        </w:numPr>
        <w:spacing w:after="40" w:before="40"/>
      </w:pPr>
      <w:r>
        <w:rPr>
          <w:rFonts w:ascii="Calibri" w:cs="Calibri" w:eastAsia="Calibri" w:hAnsi="Calibri"/>
          <w:color w:val="555555"/>
          <w:sz w:val="22"/>
          <w:szCs w:val="22"/>
        </w:rPr>
        <w:t xml:space="preserve">Organizational and individual performance metrics</w:t>
      </w:r>
    </w:p>
    <w:p>
      <w:pPr>
        <w:pStyle w:val="ListParagraph"/>
        <w:numPr>
          <w:ilvl w:val="0"/>
          <w:numId w:val="2"/>
        </w:numPr>
        <w:spacing w:after="40" w:before="40"/>
      </w:pPr>
      <w:r>
        <w:rPr>
          <w:rFonts w:ascii="Calibri" w:cs="Calibri" w:eastAsia="Calibri" w:hAnsi="Calibri"/>
          <w:color w:val="555555"/>
          <w:sz w:val="22"/>
          <w:szCs w:val="22"/>
        </w:rPr>
        <w:t xml:space="preserve">Generalist vs. specialist role design</w:t>
      </w:r>
    </w:p>
    <w:p>
      <w:pPr>
        <w:pStyle w:val="ListParagraph"/>
        <w:numPr>
          <w:ilvl w:val="0"/>
          <w:numId w:val="2"/>
        </w:numPr>
        <w:spacing w:after="40" w:before="40"/>
      </w:pPr>
      <w:r>
        <w:rPr>
          <w:rFonts w:ascii="Calibri" w:cs="Calibri" w:eastAsia="Calibri" w:hAnsi="Calibri"/>
          <w:color w:val="555555"/>
          <w:sz w:val="22"/>
          <w:szCs w:val="22"/>
        </w:rPr>
        <w:t xml:space="preserve">Virtual shared services and expert center structures</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Bottom CTA Banner</w:t>
      </w:r>
    </w:p>
    <w:p>
      <w:pPr>
        <w:spacing w:after="40" w:before="120"/>
      </w:pPr>
      <w:r>
        <w:rPr>
          <w:rFonts w:ascii="Calibri" w:cs="Calibri" w:eastAsia="Calibri" w:hAnsi="Calibri"/>
          <w:b/>
          <w:bCs/>
          <w:color w:val="13808C"/>
          <w:spacing w:val="20"/>
          <w:sz w:val="18"/>
          <w:szCs w:val="18"/>
        </w:rPr>
        <w:t xml:space="preserve">HEADLINE</w:t>
      </w:r>
    </w:p>
    <w:p>
      <w:pPr>
        <w:spacing w:after="120" w:before="60"/>
      </w:pPr>
      <w:r>
        <w:rPr>
          <w:rFonts w:ascii="Calibri" w:cs="Calibri" w:eastAsia="Calibri" w:hAnsi="Calibri"/>
          <w:b/>
          <w:bCs/>
          <w:color w:val="000000"/>
          <w:sz w:val="22"/>
          <w:szCs w:val="22"/>
        </w:rPr>
        <w:t xml:space="preserve">Need a Customized Oversight Solution?</w:t>
      </w:r>
    </w:p>
    <w:p>
      <w:pPr>
        <w:spacing w:after="40" w:before="120"/>
      </w:pPr>
      <w:r>
        <w:rPr>
          <w:rFonts w:ascii="Calibri" w:cs="Calibri" w:eastAsia="Calibri" w:hAnsi="Calibri"/>
          <w:b/>
          <w:bCs/>
          <w:color w:val="13808C"/>
          <w:spacing w:val="20"/>
          <w:sz w:val="18"/>
          <w:szCs w:val="18"/>
        </w:rPr>
        <w:t xml:space="preserve">BODY</w:t>
      </w:r>
    </w:p>
    <w:p>
      <w:pPr>
        <w:spacing w:after="120" w:before="60"/>
      </w:pPr>
      <w:r>
        <w:rPr>
          <w:rFonts w:ascii="Calibri" w:cs="Calibri" w:eastAsia="Calibri" w:hAnsi="Calibri"/>
          <w:color w:val="000000"/>
          <w:sz w:val="22"/>
          <w:szCs w:val="22"/>
        </w:rPr>
        <w:t xml:space="preserve">Every servicer's default portfolio is different. Let's discuss your specific needs.</w:t>
      </w:r>
    </w:p>
    <w:p>
      <w:pPr>
        <w:spacing w:after="80" w:before="80"/>
      </w:pPr>
      <w:r>
        <w:rPr>
          <w:rFonts w:ascii="Calibri" w:cs="Calibri" w:eastAsia="Calibri" w:hAnsi="Calibri"/>
          <w:b/>
          <w:bCs/>
          <w:color w:val="0B2545"/>
          <w:sz w:val="22"/>
          <w:szCs w:val="22"/>
        </w:rPr>
        <w:t xml:space="preserve">CTA Button: </w:t>
      </w:r>
      <w:r>
        <w:rPr>
          <w:rFonts w:ascii="Calibri" w:cs="Calibri" w:eastAsia="Calibri" w:hAnsi="Calibri"/>
          <w:color w:val="000000"/>
          <w:sz w:val="22"/>
          <w:szCs w:val="22"/>
        </w:rPr>
        <w:t xml:space="preserve">Request a Consultation</w:t>
      </w:r>
    </w:p>
    <w:p>
      <w:r>
        <w:br w:type="page"/>
      </w:r>
    </w:p>
    <w:p>
      <w:pPr>
        <w:pStyle w:val="Heading1"/>
        <w:spacing w:after="180" w:before="360"/>
      </w:pPr>
      <w:r>
        <w:rPr>
          <w:rFonts w:ascii="Calibri" w:cs="Calibri" w:eastAsia="Calibri" w:hAnsi="Calibri"/>
          <w:b/>
          <w:bCs/>
          <w:color w:val="0B2545"/>
          <w:sz w:val="36"/>
          <w:szCs w:val="36"/>
        </w:rPr>
        <w:t xml:space="preserve">Page 4: Contact</w:t>
      </w:r>
    </w:p>
    <w:p>
      <w:pPr>
        <w:pStyle w:val="Heading2"/>
        <w:spacing w:after="120" w:before="300"/>
      </w:pPr>
      <w:r>
        <w:rPr>
          <w:rFonts w:ascii="Calibri" w:cs="Calibri" w:eastAsia="Calibri" w:hAnsi="Calibri"/>
          <w:b/>
          <w:bCs/>
          <w:color w:val="0B2545"/>
          <w:sz w:val="28"/>
          <w:szCs w:val="28"/>
        </w:rPr>
        <w:t xml:space="preserve">Page Header</w:t>
      </w:r>
    </w:p>
    <w:p>
      <w:pPr>
        <w:spacing w:after="80" w:before="80"/>
      </w:pPr>
      <w:r>
        <w:rPr>
          <w:rFonts w:ascii="Calibri" w:cs="Calibri" w:eastAsia="Calibri" w:hAnsi="Calibri"/>
          <w:b/>
          <w:bCs/>
          <w:color w:val="0B2545"/>
          <w:sz w:val="22"/>
          <w:szCs w:val="22"/>
        </w:rPr>
        <w:t xml:space="preserve">Eyebrow: </w:t>
      </w:r>
      <w:r>
        <w:rPr>
          <w:rFonts w:ascii="Calibri" w:cs="Calibri" w:eastAsia="Calibri" w:hAnsi="Calibri"/>
          <w:color w:val="000000"/>
          <w:sz w:val="22"/>
          <w:szCs w:val="22"/>
        </w:rPr>
        <w:t xml:space="preserve">Contact Us</w:t>
      </w:r>
    </w:p>
    <w:p>
      <w:pPr>
        <w:spacing w:after="80" w:before="80"/>
      </w:pPr>
      <w:r>
        <w:rPr>
          <w:rFonts w:ascii="Calibri" w:cs="Calibri" w:eastAsia="Calibri" w:hAnsi="Calibri"/>
          <w:b/>
          <w:bCs/>
          <w:color w:val="0B2545"/>
          <w:sz w:val="22"/>
          <w:szCs w:val="22"/>
        </w:rPr>
        <w:t xml:space="preserve">Headline: </w:t>
      </w:r>
      <w:r>
        <w:rPr>
          <w:rFonts w:ascii="Calibri" w:cs="Calibri" w:eastAsia="Calibri" w:hAnsi="Calibri"/>
          <w:color w:val="000000"/>
          <w:sz w:val="22"/>
          <w:szCs w:val="22"/>
        </w:rPr>
        <w:t xml:space="preserve">Let's Start a Conversation</w:t>
      </w:r>
    </w:p>
    <w:p>
      <w:pPr>
        <w:spacing w:after="40" w:before="120"/>
      </w:pPr>
      <w:r>
        <w:rPr>
          <w:rFonts w:ascii="Calibri" w:cs="Calibri" w:eastAsia="Calibri" w:hAnsi="Calibri"/>
          <w:b/>
          <w:bCs/>
          <w:color w:val="13808C"/>
          <w:spacing w:val="20"/>
          <w:sz w:val="18"/>
          <w:szCs w:val="18"/>
        </w:rPr>
        <w:t xml:space="preserve">SUBHEAD</w:t>
      </w:r>
    </w:p>
    <w:p>
      <w:pPr>
        <w:spacing w:after="120" w:before="60"/>
      </w:pPr>
      <w:r>
        <w:rPr>
          <w:rFonts w:ascii="Calibri" w:cs="Calibri" w:eastAsia="Calibri" w:hAnsi="Calibri"/>
          <w:color w:val="000000"/>
          <w:sz w:val="22"/>
          <w:szCs w:val="22"/>
        </w:rPr>
        <w:t xml:space="preserve">Whether you're exploring oversight solutions or ready to get started, we're here to help.</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Contact Form (Left Column)</w:t>
      </w:r>
    </w:p>
    <w:p>
      <w:pPr>
        <w:spacing w:after="80" w:before="80"/>
      </w:pPr>
      <w:r>
        <w:rPr>
          <w:rFonts w:ascii="Calibri" w:cs="Calibri" w:eastAsia="Calibri" w:hAnsi="Calibri"/>
          <w:b/>
          <w:bCs/>
          <w:color w:val="0B2545"/>
          <w:sz w:val="22"/>
          <w:szCs w:val="22"/>
        </w:rPr>
        <w:t xml:space="preserve">Form Headline: </w:t>
      </w:r>
      <w:r>
        <w:rPr>
          <w:rFonts w:ascii="Calibri" w:cs="Calibri" w:eastAsia="Calibri" w:hAnsi="Calibri"/>
          <w:color w:val="000000"/>
          <w:sz w:val="22"/>
          <w:szCs w:val="22"/>
        </w:rPr>
        <w:t xml:space="preserve">Send Us a Message</w:t>
      </w:r>
    </w:p>
    <w:p>
      <w:pPr>
        <w:spacing w:after="40" w:before="120"/>
      </w:pPr>
      <w:r>
        <w:rPr>
          <w:rFonts w:ascii="Calibri" w:cs="Calibri" w:eastAsia="Calibri" w:hAnsi="Calibri"/>
          <w:b/>
          <w:bCs/>
          <w:color w:val="13808C"/>
          <w:spacing w:val="20"/>
          <w:sz w:val="18"/>
          <w:szCs w:val="18"/>
        </w:rPr>
        <w:t xml:space="preserve">FORM FIELDS</w:t>
      </w:r>
    </w:p>
    <w:p>
      <w:pPr>
        <w:pStyle w:val="ListParagraph"/>
        <w:numPr>
          <w:ilvl w:val="0"/>
          <w:numId w:val="2"/>
        </w:numPr>
        <w:spacing w:after="40" w:before="40"/>
      </w:pPr>
      <w:r>
        <w:rPr>
          <w:rFonts w:ascii="Calibri" w:cs="Calibri" w:eastAsia="Calibri" w:hAnsi="Calibri"/>
          <w:color w:val="555555"/>
          <w:sz w:val="22"/>
          <w:szCs w:val="22"/>
        </w:rPr>
        <w:t xml:space="preserve">First Name *</w:t>
      </w:r>
    </w:p>
    <w:p>
      <w:pPr>
        <w:pStyle w:val="ListParagraph"/>
        <w:numPr>
          <w:ilvl w:val="0"/>
          <w:numId w:val="2"/>
        </w:numPr>
        <w:spacing w:after="40" w:before="40"/>
      </w:pPr>
      <w:r>
        <w:rPr>
          <w:rFonts w:ascii="Calibri" w:cs="Calibri" w:eastAsia="Calibri" w:hAnsi="Calibri"/>
          <w:color w:val="555555"/>
          <w:sz w:val="22"/>
          <w:szCs w:val="22"/>
        </w:rPr>
        <w:t xml:space="preserve">Last Name *</w:t>
      </w:r>
    </w:p>
    <w:p>
      <w:pPr>
        <w:pStyle w:val="ListParagraph"/>
        <w:numPr>
          <w:ilvl w:val="0"/>
          <w:numId w:val="2"/>
        </w:numPr>
        <w:spacing w:after="40" w:before="40"/>
      </w:pPr>
      <w:r>
        <w:rPr>
          <w:rFonts w:ascii="Calibri" w:cs="Calibri" w:eastAsia="Calibri" w:hAnsi="Calibri"/>
          <w:color w:val="555555"/>
          <w:sz w:val="22"/>
          <w:szCs w:val="22"/>
        </w:rPr>
        <w:t xml:space="preserve">Company *</w:t>
      </w:r>
    </w:p>
    <w:p>
      <w:pPr>
        <w:pStyle w:val="ListParagraph"/>
        <w:numPr>
          <w:ilvl w:val="0"/>
          <w:numId w:val="2"/>
        </w:numPr>
        <w:spacing w:after="40" w:before="40"/>
      </w:pPr>
      <w:r>
        <w:rPr>
          <w:rFonts w:ascii="Calibri" w:cs="Calibri" w:eastAsia="Calibri" w:hAnsi="Calibri"/>
          <w:color w:val="555555"/>
          <w:sz w:val="22"/>
          <w:szCs w:val="22"/>
        </w:rPr>
        <w:t xml:space="preserve">Email *</w:t>
      </w:r>
    </w:p>
    <w:p>
      <w:pPr>
        <w:pStyle w:val="ListParagraph"/>
        <w:numPr>
          <w:ilvl w:val="0"/>
          <w:numId w:val="2"/>
        </w:numPr>
        <w:spacing w:after="40" w:before="40"/>
      </w:pPr>
      <w:r>
        <w:rPr>
          <w:rFonts w:ascii="Calibri" w:cs="Calibri" w:eastAsia="Calibri" w:hAnsi="Calibri"/>
          <w:color w:val="555555"/>
          <w:sz w:val="22"/>
          <w:szCs w:val="22"/>
        </w:rPr>
        <w:t xml:space="preserve">Phone</w:t>
      </w:r>
    </w:p>
    <w:p>
      <w:pPr>
        <w:pStyle w:val="ListParagraph"/>
        <w:numPr>
          <w:ilvl w:val="0"/>
          <w:numId w:val="2"/>
        </w:numPr>
        <w:spacing w:after="40" w:before="40"/>
      </w:pPr>
      <w:r>
        <w:rPr>
          <w:rFonts w:ascii="Calibri" w:cs="Calibri" w:eastAsia="Calibri" w:hAnsi="Calibri"/>
          <w:color w:val="555555"/>
          <w:sz w:val="22"/>
          <w:szCs w:val="22"/>
        </w:rPr>
        <w:t xml:space="preserve">How Can We Help? (textarea)</w:t>
      </w:r>
    </w:p>
    <w:p>
      <w:pPr>
        <w:spacing w:after="80" w:before="80"/>
      </w:pPr>
      <w:r>
        <w:rPr>
          <w:rFonts w:ascii="Calibri" w:cs="Calibri" w:eastAsia="Calibri" w:hAnsi="Calibri"/>
          <w:b/>
          <w:bCs/>
          <w:color w:val="0B2545"/>
          <w:sz w:val="22"/>
          <w:szCs w:val="22"/>
        </w:rPr>
        <w:t xml:space="preserve">Submit Button: </w:t>
      </w:r>
      <w:r>
        <w:rPr>
          <w:rFonts w:ascii="Calibri" w:cs="Calibri" w:eastAsia="Calibri" w:hAnsi="Calibri"/>
          <w:color w:val="000000"/>
          <w:sz w:val="22"/>
          <w:szCs w:val="22"/>
        </w:rPr>
        <w:t xml:space="preserve">Submit Inquiry</w:t>
      </w:r>
    </w:p>
    <w:p>
      <w:pPr>
        <w:spacing w:after="80" w:before="80"/>
      </w:pPr>
      <w:r>
        <w:rPr>
          <w:rFonts w:ascii="Calibri" w:cs="Calibri" w:eastAsia="Calibri" w:hAnsi="Calibri"/>
          <w:b/>
          <w:bCs/>
          <w:color w:val="0B2545"/>
          <w:sz w:val="22"/>
          <w:szCs w:val="22"/>
        </w:rPr>
        <w:t xml:space="preserve">Success Message: </w:t>
      </w:r>
      <w:r>
        <w:rPr>
          <w:rFonts w:ascii="Calibri" w:cs="Calibri" w:eastAsia="Calibri" w:hAnsi="Calibri"/>
          <w:color w:val="000000"/>
          <w:sz w:val="22"/>
          <w:szCs w:val="22"/>
        </w:rPr>
        <w:t xml:space="preserve">Thank You! We'll be in touch within one business day.</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Contact Info (Right Column)</w:t>
      </w:r>
    </w:p>
    <w:p>
      <w:pPr>
        <w:spacing w:after="80" w:before="80"/>
      </w:pPr>
      <w:r>
        <w:rPr>
          <w:rFonts w:ascii="Calibri" w:cs="Calibri" w:eastAsia="Calibri" w:hAnsi="Calibri"/>
          <w:b/>
          <w:bCs/>
          <w:color w:val="0B2545"/>
          <w:sz w:val="22"/>
          <w:szCs w:val="22"/>
        </w:rPr>
        <w:t xml:space="preserve">Section Headline: </w:t>
      </w:r>
      <w:r>
        <w:rPr>
          <w:rFonts w:ascii="Calibri" w:cs="Calibri" w:eastAsia="Calibri" w:hAnsi="Calibri"/>
          <w:color w:val="000000"/>
          <w:sz w:val="22"/>
          <w:szCs w:val="22"/>
        </w:rPr>
        <w:t xml:space="preserve">Get in Touch</w:t>
      </w:r>
    </w:p>
    <w:p>
      <w:pPr>
        <w:spacing w:after="80" w:before="80"/>
      </w:pPr>
      <w:r>
        <w:rPr>
          <w:rFonts w:ascii="Calibri" w:cs="Calibri" w:eastAsia="Calibri" w:hAnsi="Calibri"/>
          <w:b/>
          <w:bCs/>
          <w:color w:val="0B2545"/>
          <w:sz w:val="22"/>
          <w:szCs w:val="22"/>
        </w:rPr>
        <w:t xml:space="preserve">Email: </w:t>
      </w:r>
      <w:r>
        <w:rPr>
          <w:rFonts w:ascii="Calibri" w:cs="Calibri" w:eastAsia="Calibri" w:hAnsi="Calibri"/>
          <w:color w:val="000000"/>
          <w:sz w:val="22"/>
          <w:szCs w:val="22"/>
        </w:rPr>
        <w:t xml:space="preserve">info@cds-default.com</w:t>
      </w:r>
    </w:p>
    <w:p>
      <w:pPr>
        <w:spacing w:after="60" w:before="60"/>
      </w:pPr>
      <w:r>
        <w:rPr>
          <w:rFonts w:ascii="Calibri" w:cs="Calibri" w:eastAsia="Calibri" w:hAnsi="Calibri"/>
          <w:color w:val="555555"/>
          <w:sz w:val="22"/>
          <w:szCs w:val="22"/>
        </w:rPr>
        <w:t xml:space="preserve">We respond within one business day</w:t>
      </w:r>
    </w:p>
    <w:p>
      <w:pPr>
        <w:spacing w:after="80" w:before="80"/>
      </w:pPr>
      <w:r>
        <w:rPr>
          <w:rFonts w:ascii="Calibri" w:cs="Calibri" w:eastAsia="Calibri" w:hAnsi="Calibri"/>
          <w:b/>
          <w:bCs/>
          <w:color w:val="0B2545"/>
          <w:sz w:val="22"/>
          <w:szCs w:val="22"/>
        </w:rPr>
        <w:t xml:space="preserve">Phone: </w:t>
      </w:r>
      <w:r>
        <w:rPr>
          <w:rFonts w:ascii="Calibri" w:cs="Calibri" w:eastAsia="Calibri" w:hAnsi="Calibri"/>
          <w:color w:val="000000"/>
          <w:sz w:val="22"/>
          <w:szCs w:val="22"/>
        </w:rPr>
        <w:t xml:space="preserve">972.331.2320</w:t>
      </w:r>
    </w:p>
    <w:p>
      <w:pPr>
        <w:spacing w:after="80" w:before="80"/>
      </w:pPr>
      <w:r>
        <w:rPr>
          <w:rFonts w:ascii="Calibri" w:cs="Calibri" w:eastAsia="Calibri" w:hAnsi="Calibri"/>
          <w:b/>
          <w:bCs/>
          <w:color w:val="0B2545"/>
          <w:sz w:val="22"/>
          <w:szCs w:val="22"/>
        </w:rPr>
        <w:t xml:space="preserve">Web: </w:t>
      </w:r>
      <w:r>
        <w:rPr>
          <w:rFonts w:ascii="Calibri" w:cs="Calibri" w:eastAsia="Calibri" w:hAnsi="Calibri"/>
          <w:color w:val="000000"/>
          <w:sz w:val="22"/>
          <w:szCs w:val="22"/>
        </w:rPr>
        <w:t xml:space="preserve">www.CDS-Default.com</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Schedule a Call Card</w:t>
      </w:r>
    </w:p>
    <w:p>
      <w:pPr>
        <w:spacing w:after="40" w:before="120"/>
      </w:pPr>
      <w:r>
        <w:rPr>
          <w:rFonts w:ascii="Calibri" w:cs="Calibri" w:eastAsia="Calibri" w:hAnsi="Calibri"/>
          <w:b/>
          <w:bCs/>
          <w:color w:val="13808C"/>
          <w:spacing w:val="20"/>
          <w:sz w:val="18"/>
          <w:szCs w:val="18"/>
        </w:rPr>
        <w:t xml:space="preserve">CARD HEADLINE</w:t>
      </w:r>
    </w:p>
    <w:p>
      <w:pPr>
        <w:spacing w:after="120" w:before="60"/>
      </w:pPr>
      <w:r>
        <w:rPr>
          <w:rFonts w:ascii="Calibri" w:cs="Calibri" w:eastAsia="Calibri" w:hAnsi="Calibri"/>
          <w:b/>
          <w:bCs/>
          <w:color w:val="000000"/>
          <w:sz w:val="22"/>
          <w:szCs w:val="22"/>
        </w:rPr>
        <w:t xml:space="preserve">Schedule a Call</w:t>
      </w:r>
    </w:p>
    <w:p>
      <w:pPr>
        <w:spacing w:after="40" w:before="120"/>
      </w:pPr>
      <w:r>
        <w:rPr>
          <w:rFonts w:ascii="Calibri" w:cs="Calibri" w:eastAsia="Calibri" w:hAnsi="Calibri"/>
          <w:b/>
          <w:bCs/>
          <w:color w:val="13808C"/>
          <w:spacing w:val="20"/>
          <w:sz w:val="18"/>
          <w:szCs w:val="18"/>
        </w:rPr>
        <w:t xml:space="preserve">CARD BODY</w:t>
      </w:r>
    </w:p>
    <w:p>
      <w:pPr>
        <w:spacing w:after="120" w:before="60"/>
      </w:pPr>
      <w:r>
        <w:rPr>
          <w:rFonts w:ascii="Calibri" w:cs="Calibri" w:eastAsia="Calibri" w:hAnsi="Calibri"/>
          <w:color w:val="000000"/>
          <w:sz w:val="22"/>
          <w:szCs w:val="22"/>
        </w:rPr>
        <w:t xml:space="preserve">Prefer to talk? Book a 30-minute introductory call with our team at a time that works for you.</w:t>
      </w:r>
    </w:p>
    <w:p>
      <w:pPr>
        <w:spacing w:after="80" w:before="80"/>
      </w:pPr>
      <w:r>
        <w:rPr>
          <w:rFonts w:ascii="Calibri" w:cs="Calibri" w:eastAsia="Calibri" w:hAnsi="Calibri"/>
          <w:b/>
          <w:bCs/>
          <w:color w:val="0B2545"/>
          <w:sz w:val="22"/>
          <w:szCs w:val="22"/>
        </w:rPr>
        <w:t xml:space="preserve">CTA Button: </w:t>
      </w:r>
      <w:r>
        <w:rPr>
          <w:rFonts w:ascii="Calibri" w:cs="Calibri" w:eastAsia="Calibri" w:hAnsi="Calibri"/>
          <w:color w:val="000000"/>
          <w:sz w:val="22"/>
          <w:szCs w:val="22"/>
        </w:rPr>
        <w:t xml:space="preserve">Book a Time →</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Scheduling integration TBD. May use Calendly or similar tool. Confirm with client.</w:t>
      </w:r>
    </w:p>
    <w:p>
      <w:r>
        <w:br w:type="page"/>
      </w:r>
    </w:p>
    <w:p>
      <w:pPr>
        <w:pStyle w:val="Heading1"/>
        <w:spacing w:after="180" w:before="360"/>
      </w:pPr>
      <w:r>
        <w:rPr>
          <w:rFonts w:ascii="Calibri" w:cs="Calibri" w:eastAsia="Calibri" w:hAnsi="Calibri"/>
          <w:b/>
          <w:bCs/>
          <w:color w:val="0B2545"/>
          <w:sz w:val="36"/>
          <w:szCs w:val="36"/>
        </w:rPr>
        <w:t xml:space="preserve">Global Footer</w:t>
      </w:r>
    </w:p>
    <w:p>
      <w:pPr>
        <w:pStyle w:val="Heading2"/>
        <w:spacing w:after="120" w:before="300"/>
      </w:pPr>
      <w:r>
        <w:rPr>
          <w:rFonts w:ascii="Calibri" w:cs="Calibri" w:eastAsia="Calibri" w:hAnsi="Calibri"/>
          <w:b/>
          <w:bCs/>
          <w:color w:val="0B2545"/>
          <w:sz w:val="28"/>
          <w:szCs w:val="28"/>
        </w:rPr>
        <w:t xml:space="preserve">Company Description</w:t>
      </w:r>
    </w:p>
    <w:p>
      <w:pPr>
        <w:spacing w:after="120" w:before="60"/>
      </w:pPr>
      <w:r>
        <w:rPr>
          <w:rFonts w:ascii="Calibri" w:cs="Calibri" w:eastAsia="Calibri" w:hAnsi="Calibri"/>
          <w:color w:val="000000"/>
          <w:sz w:val="22"/>
          <w:szCs w:val="22"/>
        </w:rPr>
        <w:t xml:space="preserve">Trusted oversight partner providing cradle-to-grave default services management for mortgage servicers and financial institutions nationwide.</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Footer Columns</w:t>
      </w:r>
    </w:p>
    <w:p>
      <w:pPr>
        <w:spacing w:after="40" w:before="120"/>
      </w:pPr>
      <w:r>
        <w:rPr>
          <w:rFonts w:ascii="Calibri" w:cs="Calibri" w:eastAsia="Calibri" w:hAnsi="Calibri"/>
          <w:b/>
          <w:bCs/>
          <w:color w:val="13808C"/>
          <w:spacing w:val="20"/>
          <w:sz w:val="18"/>
          <w:szCs w:val="18"/>
        </w:rPr>
        <w:t xml:space="preserve">SERVICES COLUMN</w:t>
      </w:r>
    </w:p>
    <w:p>
      <w:pPr>
        <w:pStyle w:val="ListParagraph"/>
        <w:numPr>
          <w:ilvl w:val="0"/>
          <w:numId w:val="2"/>
        </w:numPr>
        <w:spacing w:after="40" w:before="40"/>
      </w:pPr>
      <w:r>
        <w:rPr>
          <w:rFonts w:ascii="Calibri" w:cs="Calibri" w:eastAsia="Calibri" w:hAnsi="Calibri"/>
          <w:color w:val="555555"/>
          <w:sz w:val="22"/>
          <w:szCs w:val="22"/>
        </w:rPr>
        <w:t xml:space="preserve">Foreclosure Oversight</w:t>
      </w:r>
    </w:p>
    <w:p>
      <w:pPr>
        <w:pStyle w:val="ListParagraph"/>
        <w:numPr>
          <w:ilvl w:val="0"/>
          <w:numId w:val="2"/>
        </w:numPr>
        <w:spacing w:after="40" w:before="40"/>
      </w:pPr>
      <w:r>
        <w:rPr>
          <w:rFonts w:ascii="Calibri" w:cs="Calibri" w:eastAsia="Calibri" w:hAnsi="Calibri"/>
          <w:color w:val="555555"/>
          <w:sz w:val="22"/>
          <w:szCs w:val="22"/>
        </w:rPr>
        <w:t xml:space="preserve">Bankruptcy Oversight</w:t>
      </w:r>
    </w:p>
    <w:p>
      <w:pPr>
        <w:pStyle w:val="ListParagraph"/>
        <w:numPr>
          <w:ilvl w:val="0"/>
          <w:numId w:val="2"/>
        </w:numPr>
        <w:spacing w:after="40" w:before="40"/>
      </w:pPr>
      <w:r>
        <w:rPr>
          <w:rFonts w:ascii="Calibri" w:cs="Calibri" w:eastAsia="Calibri" w:hAnsi="Calibri"/>
          <w:color w:val="555555"/>
          <w:sz w:val="22"/>
          <w:szCs w:val="22"/>
        </w:rPr>
        <w:t xml:space="preserve">Litigation Oversight</w:t>
      </w:r>
    </w:p>
    <w:p>
      <w:pPr>
        <w:pStyle w:val="ListParagraph"/>
        <w:numPr>
          <w:ilvl w:val="0"/>
          <w:numId w:val="2"/>
        </w:numPr>
        <w:spacing w:after="40" w:before="40"/>
      </w:pPr>
      <w:r>
        <w:rPr>
          <w:rFonts w:ascii="Calibri" w:cs="Calibri" w:eastAsia="Calibri" w:hAnsi="Calibri"/>
          <w:color w:val="555555"/>
          <w:sz w:val="22"/>
          <w:szCs w:val="22"/>
        </w:rPr>
        <w:t xml:space="preserve">Eviction Oversight</w:t>
      </w:r>
    </w:p>
    <w:p>
      <w:pPr>
        <w:spacing w:after="40" w:before="120"/>
      </w:pPr>
      <w:r>
        <w:rPr>
          <w:rFonts w:ascii="Calibri" w:cs="Calibri" w:eastAsia="Calibri" w:hAnsi="Calibri"/>
          <w:b/>
          <w:bCs/>
          <w:color w:val="13808C"/>
          <w:spacing w:val="20"/>
          <w:sz w:val="18"/>
          <w:szCs w:val="18"/>
        </w:rPr>
        <w:t xml:space="preserve">COMPANY COLUMN</w:t>
      </w:r>
    </w:p>
    <w:p>
      <w:pPr>
        <w:pStyle w:val="ListParagraph"/>
        <w:numPr>
          <w:ilvl w:val="0"/>
          <w:numId w:val="2"/>
        </w:numPr>
        <w:spacing w:after="40" w:before="40"/>
      </w:pPr>
      <w:r>
        <w:rPr>
          <w:rFonts w:ascii="Calibri" w:cs="Calibri" w:eastAsia="Calibri" w:hAnsi="Calibri"/>
          <w:color w:val="555555"/>
          <w:sz w:val="22"/>
          <w:szCs w:val="22"/>
        </w:rPr>
        <w:t xml:space="preserve">About Us</w:t>
      </w:r>
    </w:p>
    <w:p>
      <w:pPr>
        <w:pStyle w:val="ListParagraph"/>
        <w:numPr>
          <w:ilvl w:val="0"/>
          <w:numId w:val="2"/>
        </w:numPr>
        <w:spacing w:after="40" w:before="40"/>
      </w:pPr>
      <w:r>
        <w:rPr>
          <w:rFonts w:ascii="Calibri" w:cs="Calibri" w:eastAsia="Calibri" w:hAnsi="Calibri"/>
          <w:color w:val="555555"/>
          <w:sz w:val="22"/>
          <w:szCs w:val="22"/>
        </w:rPr>
        <w:t xml:space="preserve">Services</w:t>
      </w:r>
    </w:p>
    <w:p>
      <w:pPr>
        <w:pStyle w:val="ListParagraph"/>
        <w:numPr>
          <w:ilvl w:val="0"/>
          <w:numId w:val="2"/>
        </w:numPr>
        <w:spacing w:after="40" w:before="40"/>
      </w:pPr>
      <w:r>
        <w:rPr>
          <w:rFonts w:ascii="Calibri" w:cs="Calibri" w:eastAsia="Calibri" w:hAnsi="Calibri"/>
          <w:color w:val="555555"/>
          <w:sz w:val="22"/>
          <w:szCs w:val="22"/>
        </w:rPr>
        <w:t xml:space="preserve">Contact</w:t>
      </w:r>
    </w:p>
    <w:p>
      <w:pPr>
        <w:spacing w:after="40" w:before="120"/>
      </w:pPr>
      <w:r>
        <w:rPr>
          <w:rFonts w:ascii="Calibri" w:cs="Calibri" w:eastAsia="Calibri" w:hAnsi="Calibri"/>
          <w:b/>
          <w:bCs/>
          <w:color w:val="13808C"/>
          <w:spacing w:val="20"/>
          <w:sz w:val="18"/>
          <w:szCs w:val="18"/>
        </w:rPr>
        <w:t xml:space="preserve">CONTACT COLUMN</w:t>
      </w:r>
    </w:p>
    <w:p>
      <w:pPr>
        <w:pStyle w:val="ListParagraph"/>
        <w:numPr>
          <w:ilvl w:val="0"/>
          <w:numId w:val="2"/>
        </w:numPr>
        <w:spacing w:after="40" w:before="40"/>
      </w:pPr>
      <w:r>
        <w:rPr>
          <w:rFonts w:ascii="Calibri" w:cs="Calibri" w:eastAsia="Calibri" w:hAnsi="Calibri"/>
          <w:color w:val="555555"/>
          <w:sz w:val="22"/>
          <w:szCs w:val="22"/>
        </w:rPr>
        <w:t xml:space="preserve">info@cds-default.com</w:t>
      </w:r>
    </w:p>
    <w:p>
      <w:pPr>
        <w:pStyle w:val="ListParagraph"/>
        <w:numPr>
          <w:ilvl w:val="0"/>
          <w:numId w:val="2"/>
        </w:numPr>
        <w:spacing w:after="40" w:before="40"/>
      </w:pPr>
      <w:r>
        <w:rPr>
          <w:rFonts w:ascii="Calibri" w:cs="Calibri" w:eastAsia="Calibri" w:hAnsi="Calibri"/>
          <w:color w:val="555555"/>
          <w:sz w:val="22"/>
          <w:szCs w:val="22"/>
        </w:rPr>
        <w:t xml:space="preserve">972.331.2320</w:t>
      </w:r>
    </w:p>
    <w:p>
      <w:pPr>
        <w:pStyle w:val="ListParagraph"/>
        <w:numPr>
          <w:ilvl w:val="0"/>
          <w:numId w:val="2"/>
        </w:numPr>
        <w:spacing w:after="40" w:before="40"/>
      </w:pPr>
      <w:r>
        <w:rPr>
          <w:rFonts w:ascii="Calibri" w:cs="Calibri" w:eastAsia="Calibri" w:hAnsi="Calibri"/>
          <w:color w:val="555555"/>
          <w:sz w:val="22"/>
          <w:szCs w:val="22"/>
        </w:rPr>
        <w:t xml:space="preserve">www.CDS-Default.com</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Legal Bar</w:t>
      </w:r>
    </w:p>
    <w:p>
      <w:pPr>
        <w:spacing w:after="120" w:before="60"/>
      </w:pPr>
      <w:r>
        <w:rPr>
          <w:rFonts w:ascii="Calibri" w:cs="Calibri" w:eastAsia="Calibri" w:hAnsi="Calibri"/>
          <w:color w:val="000000"/>
          <w:sz w:val="22"/>
          <w:szCs w:val="22"/>
        </w:rPr>
        <w:t xml:space="preserve">© 2026 Consolidated Default Services, LLC. All rights reserved.</w:t>
      </w:r>
    </w:p>
    <w:p>
      <w:pPr>
        <w:spacing w:after="120" w:before="60"/>
      </w:pPr>
      <w:r>
        <w:rPr>
          <w:rFonts w:ascii="Calibri" w:cs="Calibri" w:eastAsia="Calibri" w:hAnsi="Calibri"/>
          <w:color w:val="000000"/>
          <w:sz w:val="22"/>
          <w:szCs w:val="22"/>
        </w:rPr>
        <w:t xml:space="preserve">Privacy Policy  |  Terms of Service</w:t>
      </w:r>
    </w:p>
    <w:p>
      <w:pPr>
        <w:pBdr>
          <w:left w:val="single" w:color="D97706" w:sz="18" w:space="8"/>
        </w:pBdr>
        <w:shd w:fill="FFF8DC" w:val="clear"/>
        <w:spacing w:after="120" w:before="80"/>
        <w:ind w:left="180"/>
      </w:pPr>
      <w:r>
        <w:rPr>
          <w:rFonts w:ascii="Calibri" w:cs="Calibri" w:eastAsia="Calibri" w:hAnsi="Calibri"/>
          <w:b/>
          <w:bCs/>
          <w:color w:val="D97706"/>
          <w:sz w:val="20"/>
          <w:szCs w:val="20"/>
        </w:rPr>
        <w:t xml:space="preserve">WRITER NOTE: </w:t>
      </w:r>
      <w:r>
        <w:rPr>
          <w:rFonts w:ascii="Calibri" w:cs="Calibri" w:eastAsia="Calibri" w:hAnsi="Calibri"/>
          <w:i/>
          <w:iCs/>
          <w:color w:val="555555"/>
          <w:sz w:val="20"/>
          <w:szCs w:val="20"/>
        </w:rPr>
        <w:t xml:space="preserve">Privacy Policy and Terms of Service pages will need to be created or linked. Confirm with client if these exist.</w:t>
      </w:r>
    </w:p>
    <w:p>
      <w:r>
        <w:br w:type="page"/>
      </w:r>
    </w:p>
    <w:p>
      <w:pPr>
        <w:pStyle w:val="Heading1"/>
        <w:spacing w:after="180" w:before="360"/>
      </w:pPr>
      <w:r>
        <w:rPr>
          <w:rFonts w:ascii="Calibri" w:cs="Calibri" w:eastAsia="Calibri" w:hAnsi="Calibri"/>
          <w:b/>
          <w:bCs/>
          <w:color w:val="0B2545"/>
          <w:sz w:val="36"/>
          <w:szCs w:val="36"/>
        </w:rPr>
        <w:t xml:space="preserve">SEO: Page Titles &amp; Meta Descriptions</w:t>
      </w:r>
    </w:p>
    <w:p>
      <w:pPr>
        <w:spacing w:after="60" w:before="60"/>
      </w:pPr>
      <w:r>
        <w:rPr>
          <w:rFonts w:ascii="Calibri" w:cs="Calibri" w:eastAsia="Calibri" w:hAnsi="Calibri"/>
          <w:color w:val="555555"/>
          <w:sz w:val="22"/>
          <w:szCs w:val="22"/>
        </w:rPr>
        <w:t xml:space="preserve">Draft SEO titles and meta descriptions for writer refinement. Target: title under 60 chars, description under 155 chars.</w:t>
      </w:r>
    </w:p>
    <w:p>
      <w:r>
        <w:t xml:space="preserve"/>
      </w:r>
    </w:p>
    <w:p>
      <w:pPr>
        <w:pStyle w:val="Heading2"/>
        <w:spacing w:after="120" w:before="300"/>
      </w:pPr>
      <w:r>
        <w:rPr>
          <w:rFonts w:ascii="Calibri" w:cs="Calibri" w:eastAsia="Calibri" w:hAnsi="Calibri"/>
          <w:b/>
          <w:bCs/>
          <w:color w:val="0B2545"/>
          <w:sz w:val="28"/>
          <w:szCs w:val="28"/>
        </w:rPr>
        <w:t xml:space="preserve">Homepage</w:t>
      </w:r>
    </w:p>
    <w:p>
      <w:pPr>
        <w:spacing w:after="80" w:before="80"/>
      </w:pPr>
      <w:r>
        <w:rPr>
          <w:rFonts w:ascii="Calibri" w:cs="Calibri" w:eastAsia="Calibri" w:hAnsi="Calibri"/>
          <w:b/>
          <w:bCs/>
          <w:color w:val="0B2545"/>
          <w:sz w:val="22"/>
          <w:szCs w:val="22"/>
        </w:rPr>
        <w:t xml:space="preserve">Title Tag: </w:t>
      </w:r>
      <w:r>
        <w:rPr>
          <w:rFonts w:ascii="Calibri" w:cs="Calibri" w:eastAsia="Calibri" w:hAnsi="Calibri"/>
          <w:color w:val="000000"/>
          <w:sz w:val="22"/>
          <w:szCs w:val="22"/>
        </w:rPr>
        <w:t xml:space="preserve">Consolidated Default Services | Cradle-to-Grave Default Oversight</w:t>
      </w:r>
    </w:p>
    <w:p>
      <w:pPr>
        <w:spacing w:after="40" w:before="120"/>
      </w:pPr>
      <w:r>
        <w:rPr>
          <w:rFonts w:ascii="Calibri" w:cs="Calibri" w:eastAsia="Calibri" w:hAnsi="Calibri"/>
          <w:b/>
          <w:bCs/>
          <w:color w:val="13808C"/>
          <w:spacing w:val="20"/>
          <w:sz w:val="18"/>
          <w:szCs w:val="18"/>
        </w:rPr>
        <w:t xml:space="preserve">META DESCRIPTION</w:t>
      </w:r>
    </w:p>
    <w:p>
      <w:pPr>
        <w:spacing w:after="120" w:before="60"/>
      </w:pPr>
      <w:r>
        <w:rPr>
          <w:rFonts w:ascii="Calibri" w:cs="Calibri" w:eastAsia="Calibri" w:hAnsi="Calibri"/>
          <w:color w:val="000000"/>
          <w:sz w:val="22"/>
          <w:szCs w:val="22"/>
        </w:rPr>
        <w:t xml:space="preserve">Comprehensive mortgage default oversight services including foreclosure, bankruptcy, litigation, title, and claims management. Trusted by servicers nationwide since 2010.</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About Us</w:t>
      </w:r>
    </w:p>
    <w:p>
      <w:pPr>
        <w:spacing w:after="80" w:before="80"/>
      </w:pPr>
      <w:r>
        <w:rPr>
          <w:rFonts w:ascii="Calibri" w:cs="Calibri" w:eastAsia="Calibri" w:hAnsi="Calibri"/>
          <w:b/>
          <w:bCs/>
          <w:color w:val="0B2545"/>
          <w:sz w:val="22"/>
          <w:szCs w:val="22"/>
        </w:rPr>
        <w:t xml:space="preserve">Title Tag: </w:t>
      </w:r>
      <w:r>
        <w:rPr>
          <w:rFonts w:ascii="Calibri" w:cs="Calibri" w:eastAsia="Calibri" w:hAnsi="Calibri"/>
          <w:color w:val="000000"/>
          <w:sz w:val="22"/>
          <w:szCs w:val="22"/>
        </w:rPr>
        <w:t xml:space="preserve">About CDS | Mortgage Default Services Oversight Partner</w:t>
      </w:r>
    </w:p>
    <w:p>
      <w:pPr>
        <w:spacing w:after="40" w:before="120"/>
      </w:pPr>
      <w:r>
        <w:rPr>
          <w:rFonts w:ascii="Calibri" w:cs="Calibri" w:eastAsia="Calibri" w:hAnsi="Calibri"/>
          <w:b/>
          <w:bCs/>
          <w:color w:val="13808C"/>
          <w:spacing w:val="20"/>
          <w:sz w:val="18"/>
          <w:szCs w:val="18"/>
        </w:rPr>
        <w:t xml:space="preserve">META DESCRIPTION</w:t>
      </w:r>
    </w:p>
    <w:p>
      <w:pPr>
        <w:spacing w:after="120" w:before="60"/>
      </w:pPr>
      <w:r>
        <w:rPr>
          <w:rFonts w:ascii="Calibri" w:cs="Calibri" w:eastAsia="Calibri" w:hAnsi="Calibri"/>
          <w:color w:val="000000"/>
          <w:sz w:val="22"/>
          <w:szCs w:val="22"/>
        </w:rPr>
        <w:t xml:space="preserve">Since 2010, Consolidated Default Services has provided mortgage servicers with comprehensive oversight of foreclosure, bankruptcy, and default portfolio operations.</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Services</w:t>
      </w:r>
    </w:p>
    <w:p>
      <w:pPr>
        <w:spacing w:after="80" w:before="80"/>
      </w:pPr>
      <w:r>
        <w:rPr>
          <w:rFonts w:ascii="Calibri" w:cs="Calibri" w:eastAsia="Calibri" w:hAnsi="Calibri"/>
          <w:b/>
          <w:bCs/>
          <w:color w:val="0B2545"/>
          <w:sz w:val="22"/>
          <w:szCs w:val="22"/>
        </w:rPr>
        <w:t xml:space="preserve">Title Tag: </w:t>
      </w:r>
      <w:r>
        <w:rPr>
          <w:rFonts w:ascii="Calibri" w:cs="Calibri" w:eastAsia="Calibri" w:hAnsi="Calibri"/>
          <w:color w:val="000000"/>
          <w:sz w:val="22"/>
          <w:szCs w:val="22"/>
        </w:rPr>
        <w:t xml:space="preserve">Default Oversight Services | Foreclosure, Bankruptcy, Claims &amp; More</w:t>
      </w:r>
    </w:p>
    <w:p>
      <w:pPr>
        <w:spacing w:after="40" w:before="120"/>
      </w:pPr>
      <w:r>
        <w:rPr>
          <w:rFonts w:ascii="Calibri" w:cs="Calibri" w:eastAsia="Calibri" w:hAnsi="Calibri"/>
          <w:b/>
          <w:bCs/>
          <w:color w:val="13808C"/>
          <w:spacing w:val="20"/>
          <w:sz w:val="18"/>
          <w:szCs w:val="18"/>
        </w:rPr>
        <w:t xml:space="preserve">META DESCRIPTION</w:t>
      </w:r>
    </w:p>
    <w:p>
      <w:pPr>
        <w:spacing w:after="120" w:before="60"/>
      </w:pPr>
      <w:r>
        <w:rPr>
          <w:rFonts w:ascii="Calibri" w:cs="Calibri" w:eastAsia="Calibri" w:hAnsi="Calibri"/>
          <w:color w:val="000000"/>
          <w:sz w:val="22"/>
          <w:szCs w:val="22"/>
        </w:rPr>
        <w:t xml:space="preserve">Eight integrated default oversight services: foreclosure, bankruptcy, litigation, eviction, title curative, claims, loss mitigation, and FTE staffing management.</w:t>
      </w:r>
    </w:p>
    <w:p>
      <w:pPr>
        <w:pBdr>
          <w:bottom w:val="single" w:color="DDDDDD" w:sz="6" w:space="1"/>
        </w:pBdr>
        <w:spacing w:after="120" w:before="120"/>
      </w:pPr>
      <w:r>
        <w:t xml:space="preserve"/>
      </w:r>
    </w:p>
    <w:p>
      <w:pPr>
        <w:pStyle w:val="Heading2"/>
        <w:spacing w:after="120" w:before="300"/>
      </w:pPr>
      <w:r>
        <w:rPr>
          <w:rFonts w:ascii="Calibri" w:cs="Calibri" w:eastAsia="Calibri" w:hAnsi="Calibri"/>
          <w:b/>
          <w:bCs/>
          <w:color w:val="0B2545"/>
          <w:sz w:val="28"/>
          <w:szCs w:val="28"/>
        </w:rPr>
        <w:t xml:space="preserve">Contact</w:t>
      </w:r>
    </w:p>
    <w:p>
      <w:pPr>
        <w:spacing w:after="80" w:before="80"/>
      </w:pPr>
      <w:r>
        <w:rPr>
          <w:rFonts w:ascii="Calibri" w:cs="Calibri" w:eastAsia="Calibri" w:hAnsi="Calibri"/>
          <w:b/>
          <w:bCs/>
          <w:color w:val="0B2545"/>
          <w:sz w:val="22"/>
          <w:szCs w:val="22"/>
        </w:rPr>
        <w:t xml:space="preserve">Title Tag: </w:t>
      </w:r>
      <w:r>
        <w:rPr>
          <w:rFonts w:ascii="Calibri" w:cs="Calibri" w:eastAsia="Calibri" w:hAnsi="Calibri"/>
          <w:color w:val="000000"/>
          <w:sz w:val="22"/>
          <w:szCs w:val="22"/>
        </w:rPr>
        <w:t xml:space="preserve">Contact CDS | Schedule a Default Oversight Consultation</w:t>
      </w:r>
    </w:p>
    <w:p>
      <w:pPr>
        <w:spacing w:after="40" w:before="120"/>
      </w:pPr>
      <w:r>
        <w:rPr>
          <w:rFonts w:ascii="Calibri" w:cs="Calibri" w:eastAsia="Calibri" w:hAnsi="Calibri"/>
          <w:b/>
          <w:bCs/>
          <w:color w:val="13808C"/>
          <w:spacing w:val="20"/>
          <w:sz w:val="18"/>
          <w:szCs w:val="18"/>
        </w:rPr>
        <w:t xml:space="preserve">META DESCRIPTION</w:t>
      </w:r>
    </w:p>
    <w:p>
      <w:pPr>
        <w:spacing w:after="120" w:before="60"/>
      </w:pPr>
      <w:r>
        <w:rPr>
          <w:rFonts w:ascii="Calibri" w:cs="Calibri" w:eastAsia="Calibri" w:hAnsi="Calibri"/>
          <w:color w:val="000000"/>
          <w:sz w:val="22"/>
          <w:szCs w:val="22"/>
        </w:rPr>
        <w:t xml:space="preserve">Get in touch with Consolidated Default Services. Schedule a consultation to discuss your mortgage default portfolio oversight needs.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2545"/>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0B2545"/>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B254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CDS Copy Deck V6</dc:title>
  <dc:creator>Propagate</dc:creator>
  <dc:description>Working copy deck for Consolidated Default Services Phase 1 website</dc:description>
  <cp:lastModifiedBy>Un-named</cp:lastModifiedBy>
  <cp:revision>1</cp:revision>
  <dcterms:created xsi:type="dcterms:W3CDTF">2026-04-20T18:24:31.121Z</dcterms:created>
  <dcterms:modified xsi:type="dcterms:W3CDTF">2026-04-20T18:24:31.122Z</dcterms:modified>
</cp:coreProperties>
</file>

<file path=docProps/custom.xml><?xml version="1.0" encoding="utf-8"?>
<Properties xmlns="http://schemas.openxmlformats.org/officeDocument/2006/custom-properties" xmlns:vt="http://schemas.openxmlformats.org/officeDocument/2006/docPropsVTypes"/>
</file>