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高校公开资料采集 · 使用教程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sz w:val="21"/>
        </w:rPr>
        <w:t>从官方免登录公开源自动发现并采集培养方案 / 专业介绍 / 课程大纲 / 年度报告，逐份落盘并登记可溯源的来源链接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一、这是什么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给定“学校名 + 官方域名”，自动从官方公开网页发现并采集四类材料：培养方案、专业介绍、课程大纲、年度报告（就业质量 / 本科教学质量）。每采一份，都会记下它的下载直链和挂链接的那个网页，最后汇总成一份可点击、可核对的台账。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适用于任意一所中国高校（*.edu.cn），不限地域。核心价值：结果可溯源、可复现——你要做分析时，能一键跳回学校官网核对原文。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二、能采什么、不能采什么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能采（免登录公开源）：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学校官网、教务处、招生网、信息公开网上公开挂出的 PDF / 打包件（RAR、ZIP）。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只有网页正文、没有附件的材料（如部分专业介绍、通识课大纲）——只登记链接，不下载。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采不到（别抱期望）：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登录后才能看的教务系统内材料（本工具不登录、不用账号）。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没有任何一所学校把全校课程大纲公开挂在网上；整校批量大纲多在教务系统里，采不到。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被网站反爬（WAF / JS 挑战）挡住的页面——这是真实边界，工具会如实记下，不硬闯。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三、快速上手（三步）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第 1 步 · 给两个信息：采哪所学校、它的官方域名。域名由 Claude 先用联网搜索确认为官方 *.edu.cn（绝不瞎猜）。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第 2 步 · 自动发现（只侦察、不下载）：Claude 会摸清该校材料挂在哪些栏目页、附件直链是什么，并对每条候选实测可达性与文件类型，产出一份“候选确认表”给你过目。如果目标材料挂在被反爬挡住的子站、自动爬不到，Claude 会改用“先联网搜索定位到挂着材料的那一页，再交给脚本枚举下载”的精准方式——两种方式产出的台账完全一样。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第 3 步 · 一键采集 + 出台账：确认无误后，自动下载、校验完整性、按内容去重、分目录归档，并生成 Excel 台账与来源链接台账。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全程只需你给“哪所学校、哪类材料”，其余交给 Claude。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四、标准工作流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1. 明确院校与材料类型（培养方案 / 专业介绍 / 课程大纲 / 年度报告）。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2. 解析域名：联网确认该校官方 *.edu.cn 域名（不猜）。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3. 自动发现：探明栏目页与附件直链，每条实测可达性与文件类型（只读，不下载）。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4. 看候选确认表：每条候选都带 HTTP 状态 / 内容类型 / 字节数，是“真链接”的证据。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5. 一键采集：下载 → 校验文件头 → 与已有资料按内容去重 → 分目录落盘。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6. 打包件（RAR/ZIP）：自动解压，按内层文件夹重组，逐份登记。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7. 命名：培养方案/专业介绍按“年份_专业”；课程大纲按“课程号_课程名”。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8. 出台账：Excel（5 张表）+ 2 个 CSV，逐条含来源直链与承载页。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9. 收尾：临时文件走回收站；把新发现的学校来源记入来源清单，下次不用重找。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五、产物长什么样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每个文件都在目录里有一行记录，字段固定：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学校 | 材料类型 | 专业/说明 | 年份 | 文件名 | 大小 | 来源直链 | 承载页 | 采集日期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另有一张“链接台账”，专门登记页面级链接（哪怕没有附件也会登记），让你随时能跳回官方页面。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Excel 台账共 5 张表：总览 / 按院校汇总 / 明细 / 链接台账 / 未成功入库；另出 2 个 CSV（采集清单、链接台账）。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目录结构：新增数据 / &lt;学校&gt; / &lt;材料类型&gt; / &lt;文件&gt;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六、配置说明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交付目录：由你指定，脚本按“学校 / 材料类型”自动建子目录。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RAR 解压：自动探测本机已有的 7-Zip / Bandizip，无需你安装任何软件。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外部工具（解压器 / curl / PowerShell）全部自动探测，也可用环境变量覆盖。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原始数据：你的原始资料目录只读，本工具绝不改动、删除、改名。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删除：所有临时文件都进回收站，不做永久删除；无回收站时改为隔离，文件不丢。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七、常见问题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Q：为什么某校某类材料一份都没采到？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A：多半是该校把材料放在登录后才可见的教务系统里，或近年已停止公开。工具只采免登录公开源，采不到会如实记入“未成功入库”，不会编造。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Q：有的材料只给了链接、没下文件？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A：有些材料（如专业介绍、通识课大纲）只有网页正文、没有附件。按约定只登记链接，不下载网页文件，台账里照样能点击跳转。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Q：重复的文件会怎样？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A：按文件内容自动去重，和已有资料重复的会被剔除并记录为“重复”，不会重复入库。同一批再跑一遍也不会重复下载（已存在的会自动跳过）。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Q：能采任意学校吗？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A：适用于任何 *.edu.cn 高校，不限地域。但“有多少公开”因校而异——先跑一轮自动发现，看候选确认表就知道实际能采到多少。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Q：想一次采一整个地区的学校，行吗？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A：行。直接说“把某省的 985 高校（或某市的高校）的培养方案都采了”，它会先从教育部高校名单里按地区 / 层次自动生成学校名单，再逐校采集，各校分开存（见第八节）。注意名单只含普通高校，不含成人高校与军队院校。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Q：为什么会采到“看起来不像材料”的网页？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A：极少数情况下，新闻页或招生页正文里出现了“培养方案”“年度报告”等词，可能被误判。工具已内置栏目黑名单与类型复核来尽量剔除；若仍发现不对的条目，告诉 Claude 用“指定承载页”方式重采即可，不会影响已确认的文件。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Q：有些链接提示被拦 / 打不开？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A：那是网站有反爬（WAF / 登录墙 / JS 挑战），属于真实边界，不是工具坏了。工具会如实记下“被拦”，不会伪造数据，也不会硬闯。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Q：链接会不会失效？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A：高校栏目常改版。台账里每条链接都是采集当天实测可达的；用之前建议再核一次。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Q：能在其它 Agent（Codex、WorkBuddy、千问办公）里用吗？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A：能。本 skill 带一个零依赖的 MCP 服务，装一次即可让这些客户端用同一套采集能力（见第八节）。不需要你额外安装 Python 包。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八、按地区批量采集（省 / 985·211）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不用一所一所报校名。你可以直接说“把湖南的 985 高校的培养方案都采了”，它会先从教育部《全国普通高等学校名单》里，按你要的地区 / 层次，自动生成一份学校名单。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三步：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1. 生成名单：按 省份 / 城市 / 层次（本科·专科）/ 预设（985·211）筛出学校，得到一份名单文件（纯本地完成，不联网、不猜域名）。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2. 补域名：名单里每所学校都需要它的官方域名，两种来源——① 你自己提供：把“学校→域名”写成一个小文件给我（最准）；② 让我代查：对没有域名的学校，我用联网搜索逐校找到官方 *.edu.cn 域名，并记下证据页（绝不瞎猜）。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3. 逐校采集：名单齐了，就和单校一样逐校发现 → 下载 → 出台账，每所学校各自一个子文件夹。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名单口径（重要）：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这份名单 = 教育部《全国普通高等学校名单》，只含普通高校（本科 + 专科）。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不含成人高校（教育部另有一份《全国成人高等学校名单》）——默认不采，需要时可以补入。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不含军队院校（如国防科技大学）——按 985/211 筛选时，这些校名会明确列在“未匹配”里，不会被悄悄丢掉。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关于“能不能采到”：地区批量是“按你给的名单逐校做”，每所学校能不能采到，取决于它有没有公开源——有的学校挂得全，有的几乎没有，所以产出会有多有少，这是正常的。范围越大越慢：几所学校是分钟级，整省几十上百所会明显更久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0"/>
        </w:rPr>
        <w:t>九、在别的 Agent 里用（Claude Code / Codex / WorkBuddy / 千问办公）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这套采集能力不止 Claude Code 能用。它带一个零依赖的 MCP 服务，把同一套本事交给别的 Agent，你不需要额外安装任何东西。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接入三步（以 Claude Code 为例）：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1. 在 skill 目录下运行：python scripts/mcp_server.py --print-config，它会显示两行路径（解释器和脚本）。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2. 接入：python scripts/mcp_server.py --install claude（Codex 用 --install codex，WorkBuddy / 千问办公 用第一条打印出的信息在它们的“连接器 / MCP”里新建）。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3. 在客户端里就能看到 harvest_school（一键采集）、harvest_pages（指定承载页采集）等工具；说“采集 XX 大学的培养方案”即可。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长任务会自动转后台：工具先返回一个任务号，稍等片刻再取结果，不会把客户端卡到超时。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想让它更省心：把“某校挂着材料的那一页”网址直接告诉它，它就走精准直采，比全站找更稳。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注意：命令里的 Python 路径要与实际一致；若客户端找不到 Python，就用 --print-config 打印的绝对路径。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8"/>
      </w:rPr>
      <w:t xml:space="preserve">第 </w:t>
    </w:r>
    <w:r>
      <w:rPr>
        <w:rFonts w:ascii="微软雅黑" w:hAnsi="微软雅黑" w:eastAsia="微软雅黑"/>
        <w:b w:val="0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sz w:val="18"/>
      </w:rPr>
      <w:t xml:space="preserve"> 页 / 共 </w:t>
    </w:r>
    <w:r>
      <w:rPr>
        <w:rFonts w:ascii="微软雅黑" w:hAnsi="微软雅黑" w:eastAsia="微软雅黑"/>
        <w:b w:val="0"/>
        <w:sz w:val="18"/>
      </w:rPr>
      <w:fldChar w:fldCharType="begin"/>
      <w:instrText xml:space="preserve">NUMPAGES</w:instrText>
      <w:fldChar w:fldCharType="end"/>
    </w:r>
    <w:r>
      <w:rPr>
        <w:rFonts w:ascii="微软雅黑" w:hAnsi="微软雅黑" w:eastAsia="微软雅黑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