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Module 1: Generate y, a N-length vector of CPG and non-CPG data.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Module 2: Defines the function to evaluate the log posterior of theta.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Module 3: Defines the function to propose theta* based on the jump distribution.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Module 4: Initializes mchain, sets first theta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Module 5: Loop through mchain, proposing and accepting or rejecting new thetas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Module 6: Calculate acceptance ratio and means and plot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 terms of the parameters of the model, theta[0] is the proportion of CpG islands, theta[1] is the CpGs in CpG islands, and theta[2] is the proportion of CpGs in non-CpG islands.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start of the MCMC chain, theta is initialized to [0.2, 0.6, 0.1]. The default length of the MCMC chain is 3000. The correct values for simulating y are [0.179, 0.581, 0.103].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default parameters, you can estimate the parameters accurately.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parameters [0.5, 0.9, 0.5], you can estimate the parameters approximately accurately.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100 rows are excluded because they don’t accurately depict the activity of the model, they are not well-behaved and should be excluded.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standard deviation parameters leads to a longer burn-in period, and higher standard deviation parameters leads to a shorter burn-in period. The posterior distributions are much less smooth with very high standard deviations and much more smooth with very small standard deviations.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