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Verdana" w:cs="Verdana" w:eastAsia="Verdana" w:hAnsi="Verdana"/>
          <w:b/>
          <w:bCs/>
          <w:color w:val="1F5C99"/>
          <w:sz w:val="52"/>
          <w:szCs w:val="52"/>
        </w:rPr>
        <w:t xml:space="preserve">GTM Planning Engine</w:t>
      </w:r>
    </w:p>
    <w:p>
      <w:pPr>
        <w:spacing w:after="80" w:before="0"/>
      </w:pPr>
      <w:r>
        <w:rPr>
          <w:rFonts w:ascii="Verdana" w:cs="Verdana" w:eastAsia="Verdana" w:hAnsi="Verdana"/>
          <w:color w:val="2E86C1"/>
          <w:sz w:val="32"/>
          <w:szCs w:val="32"/>
        </w:rPr>
        <w:t xml:space="preserve">Technical Workflow Reference</w:t>
      </w:r>
    </w:p>
    <w:p>
      <w:pPr>
        <w:spacing w:after="480" w:before="0"/>
      </w:pPr>
      <w:r>
        <w:rPr>
          <w:rFonts w:ascii="Verdana" w:cs="Verdana" w:eastAsia="Verdana" w:hAnsi="Verdana"/>
          <w:i/>
          <w:iCs/>
          <w:color w:val="555555"/>
          <w:sz w:val="20"/>
          <w:szCs w:val="20"/>
        </w:rPr>
        <w:t xml:space="preserve">Version 0.1  |  March 2026</w:t>
      </w:r>
    </w:p>
    <w:p>
      <w:pPr>
        <w:pBdr>
          <w:bottom w:val="single" w:color="1F5C99" w:sz="6" w:space="4"/>
        </w:pBdr>
        <w:spacing w:after="120" w:before="0"/>
      </w:pPr>
      <w:r>
        <w:t xml:space="preserve"/>
      </w:r>
    </w:p>
    <w:p>
      <w:pPr>
        <w:spacing w:after="320" w:before="0"/>
      </w:pPr>
      <w:r>
        <w:t xml:space="preserve"/>
      </w:r>
    </w:p>
    <w:p>
      <w:pPr>
        <w:pStyle w:val="Heading1"/>
        <w:spacing w:after="120" w:before="200"/>
      </w:pPr>
      <w:r>
        <w:rPr>
          <w:rFonts w:ascii="Verdana" w:cs="Verdana" w:eastAsia="Verdana" w:hAnsi="Verdana"/>
          <w:b/>
          <w:bCs/>
          <w:color w:val="1F5C99"/>
          <w:sz w:val="30"/>
          <w:szCs w:val="30"/>
        </w:rPr>
        <w:t xml:space="preserve">1. Purpose &amp; Scope</w:t>
      </w:r>
    </w:p>
    <w:p>
      <w:pPr>
        <w:spacing w:after="160" w:before="0"/>
      </w:pPr>
      <w:r>
        <w:rPr>
          <w:rFonts w:ascii="Verdana" w:cs="Verdana" w:eastAsia="Verdana" w:hAnsi="Verdana"/>
          <w:b w:val="false"/>
          <w:bCs w:val="false"/>
          <w:i w:val="false"/>
          <w:iCs w:val="false"/>
          <w:color w:val="000000"/>
          <w:sz w:val="20"/>
          <w:szCs w:val="20"/>
        </w:rPr>
        <w:t xml:space="preserve">This document is the authoritative technical reference for the GTM Planning Engine — a config-driven Python package that models annual sales capacity, distributes revenue targets across segments, optimises SAO allocation, and supports what-if scenario analysis. It covers:</w:t>
      </w:r>
    </w:p>
    <w:p>
      <w:pPr>
        <w:pStyle w:val="ListParagraph"/>
        <w:numPr>
          <w:ilvl w:val="0"/>
          <w:numId w:val="2"/>
        </w:numPr>
        <w:spacing w:after="80" w:before="0"/>
      </w:pPr>
      <w:r>
        <w:rPr>
          <w:rFonts w:ascii="Verdana" w:cs="Verdana" w:eastAsia="Verdana" w:hAnsi="Verdana"/>
          <w:sz w:val="20"/>
          <w:szCs w:val="20"/>
        </w:rPr>
        <w:t xml:space="preserve">The purpose of every file and class in the engine.</w:t>
      </w:r>
    </w:p>
    <w:p>
      <w:pPr>
        <w:pStyle w:val="ListParagraph"/>
        <w:numPr>
          <w:ilvl w:val="0"/>
          <w:numId w:val="2"/>
        </w:numPr>
        <w:spacing w:after="80" w:before="0"/>
      </w:pPr>
      <w:r>
        <w:rPr>
          <w:rFonts w:ascii="Verdana" w:cs="Verdana" w:eastAsia="Verdana" w:hAnsi="Verdana"/>
          <w:sz w:val="20"/>
          <w:szCs w:val="20"/>
        </w:rPr>
        <w:t xml:space="preserve">A method-level execution trace from config load through to version persistence.</w:t>
      </w:r>
    </w:p>
    <w:p>
      <w:pPr>
        <w:pStyle w:val="ListParagraph"/>
        <w:numPr>
          <w:ilvl w:val="0"/>
          <w:numId w:val="2"/>
        </w:numPr>
        <w:spacing w:after="80" w:before="0"/>
      </w:pPr>
      <w:r>
        <w:rPr>
          <w:rFonts w:ascii="Verdana" w:cs="Verdana" w:eastAsia="Verdana" w:hAnsi="Verdana"/>
          <w:sz w:val="20"/>
          <w:szCs w:val="20"/>
        </w:rPr>
        <w:t xml:space="preserve">The consistency refactoring applied in March 2026 to eliminate redundant business logic.</w:t>
      </w:r>
    </w:p>
    <w:p>
      <w:pPr>
        <w:spacing w:after="160" w:before="0"/>
      </w:pPr>
      <w:r>
        <w:t xml:space="preserve"/>
      </w:r>
    </w:p>
    <w:p>
      <w:pPr>
        <w:pStyle w:val="Heading1"/>
        <w:spacing w:after="120" w:before="200"/>
      </w:pPr>
      <w:r>
        <w:rPr>
          <w:rFonts w:ascii="Verdana" w:cs="Verdana" w:eastAsia="Verdana" w:hAnsi="Verdana"/>
          <w:b/>
          <w:bCs/>
          <w:color w:val="1F5C99"/>
          <w:sz w:val="30"/>
          <w:szCs w:val="30"/>
        </w:rPr>
        <w:t xml:space="preserve">2. System Architecture</w:t>
      </w:r>
    </w:p>
    <w:p>
      <w:pPr>
        <w:spacing w:after="160" w:before="0"/>
      </w:pPr>
      <w:r>
        <w:rPr>
          <w:rFonts w:ascii="Verdana" w:cs="Verdana" w:eastAsia="Verdana" w:hAnsi="Verdana"/>
          <w:b w:val="false"/>
          <w:bCs w:val="false"/>
          <w:i w:val="false"/>
          <w:iCs w:val="false"/>
          <w:color w:val="000000"/>
          <w:sz w:val="20"/>
          <w:szCs w:val="20"/>
        </w:rPr>
        <w:t xml:space="preserve">The engine is orchestrated by a Jupyter notebook (notebooks/gtm_planning.ipynb). All behaviour is controlled by a single config.yaml file; no business logic is hardcoded outside it. Modules are layered: foundation modules initialise and persist; the planning pipeline runs in sequence; post-optimisation modules validate and recover; analysis modules compare and scenario-test.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600"/>
        <w:gridCol w:w="560"/>
      </w:tblGrid>
      <w:tr>
        <w:trPr>
          <w:tblHeader/>
        </w:trPr>
        <w:tc>
          <w:tcPr>
            <w:tcW w:type="dxa" w:w="23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File</w:t>
            </w:r>
          </w:p>
        </w:tc>
        <w:tc>
          <w:tcPr>
            <w:tcW w:type="dxa" w:w="19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Class(es)</w:t>
            </w:r>
          </w:p>
        </w:tc>
        <w:tc>
          <w:tcPr>
            <w:tcW w:type="dxa" w:w="46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c>
          <w:tcPr>
            <w:tcW w:type="dxa" w:w="5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Layer</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config_manager.py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ConfigManager</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Loads + validates config.yaml; provides dot-notation access to all engine settings. Single source of truth for what is active in any given run.</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Foundation</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utils.py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compute_config_hash
format_currency</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Shared utilities used by multiple modules. Centralising here prevents silent logic drift between callers.</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Foundation</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data_loader.py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DataLoader</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Ingests raw CSV/Excel; cleans, confidence-scores, applies fallbacks, detects supersized deals, and computes per-segment ASP/CW baselines.</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Foundation</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version_store.py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VersionStore</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Persists every plan run as a versioned snapshot (config.yaml + results.csv + summary.json). Enables audit trail and re-planning.</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Foundation</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target_generator.py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TargetGenerator</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Distributes the annual revenue target across months using seasonality weights. Supports full-year, rolling-forward, and manual-lock modes.</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Planning Pipeline</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ae_capacity.py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AECapacityModel</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Models AE workforce capacity by month: hiring tranches, 90-day ramp, mentoring overhead, shrinkage, and attrition.</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Planning Pipeline</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economics_engine.py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EconomicsEngine
CalibrationEngine</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Applies decay curves (ASP and CW rate vs. volume) to compute marginal ROI per segment. CalibrationEngine fits curves from deal-level data.</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Planning Pipeline</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optimizer.py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AllocationOptimizer</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Allocates SAOs across product×channel segments per month. Greedy mode: marginal-ROI ranked. Solver mode: scipy SLSQP with greedy warm-start.</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Planning Pipeline</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adjustments.py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AdjustmentEngine</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Mid-cycle re-planning: locks completed periods with actuals, applies HC/target/segment changes, and computes remaining target for re-optimisation.</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Post-Optimisation</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validation.py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ValidationEngine</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Mathematical consistency gate: revenue identity, share constraints, capacity, target alignment, and confidence coverage. 7 pass/fail checks.</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Post-Optimisation</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recovery.py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RecoveryEngine</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Quarterly shortfall analysis: redistributes missed targets across remaining quarters weighted by capacity, flags stretch violations.</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Post-Optimisation</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comparator.py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VersionComparator</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Multi-dimensional version comparison: volatility, HHI concentration, capacity variance, stretch exposure, and confidence risk across plan versions.</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Analysis</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what_if.py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WhatIfEngine</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Runs up to 5 named risk scenarios against the base plan. Each scenario applies perturbations to a deep-copied config and re-runs the full pipeline.</w:t>
            </w:r>
          </w:p>
        </w:tc>
        <w:tc>
          <w:tcPr>
            <w:tcW w:type="dxa" w:w="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Analysis</w:t>
            </w:r>
          </w:p>
        </w:tc>
      </w:tr>
    </w:tbl>
    <w:p>
      <w:pPr>
        <w:spacing w:after="240" w:before="0"/>
      </w:pPr>
      <w:r>
        <w:t xml:space="preserve"/>
      </w:r>
    </w:p>
    <w:p>
      <w:pPr>
        <w:pStyle w:val="Heading2"/>
        <w:spacing w:after="120" w:before="280"/>
      </w:pPr>
      <w:r>
        <w:rPr>
          <w:rFonts w:ascii="Verdana" w:cs="Verdana" w:eastAsia="Verdana" w:hAnsi="Verdana"/>
          <w:b/>
          <w:bCs/>
          <w:color w:val="2E86C1"/>
          <w:sz w:val="26"/>
          <w:szCs w:val="26"/>
        </w:rPr>
        <w:t xml:space="preserve">2.1  Data Flow</w:t>
      </w:r>
    </w:p>
    <w:p>
      <w:pPr>
        <w:spacing w:after="160" w:before="0"/>
      </w:pPr>
      <w:r>
        <w:rPr>
          <w:rFonts w:ascii="Verdana" w:cs="Verdana" w:eastAsia="Verdana" w:hAnsi="Verdana"/>
          <w:b w:val="false"/>
          <w:bCs w:val="false"/>
          <w:i w:val="false"/>
          <w:iCs w:val="false"/>
          <w:color w:val="000000"/>
          <w:sz w:val="20"/>
          <w:szCs w:val="20"/>
        </w:rPr>
        <w:t xml:space="preserve">The canonical execution order for a full-year planning run:</w:t>
      </w:r>
    </w:p>
    <w:p>
      <w:pPr>
        <w:spacing w:after="60" w:before="0"/>
      </w:pPr>
      <w:r>
        <w:rPr>
          <w:rFonts w:ascii="Courier New" w:cs="Courier New" w:eastAsia="Courier New" w:hAnsi="Courier New"/>
          <w:color w:val="555555"/>
          <w:sz w:val="18"/>
          <w:szCs w:val="18"/>
        </w:rPr>
        <w:t xml:space="preserve">config.yaml</w:t>
      </w:r>
    </w:p>
    <w:p>
      <w:pPr>
        <w:spacing w:after="60" w:before="0"/>
      </w:pPr>
      <w:r>
        <w:rPr>
          <w:rFonts w:ascii="Courier New" w:cs="Courier New" w:eastAsia="Courier New" w:hAnsi="Courier New"/>
          <w:color w:val="555555"/>
          <w:sz w:val="18"/>
          <w:szCs w:val="18"/>
        </w:rPr>
        <w:t xml:space="preserve">  → ConfigManager (load + validate)</w:t>
      </w:r>
    </w:p>
    <w:p>
      <w:pPr>
        <w:spacing w:after="60" w:before="0"/>
      </w:pPr>
      <w:r>
        <w:rPr>
          <w:rFonts w:ascii="Courier New" w:cs="Courier New" w:eastAsia="Courier New" w:hAnsi="Courier New"/>
          <w:color w:val="555555"/>
          <w:sz w:val="18"/>
          <w:szCs w:val="18"/>
        </w:rPr>
        <w:t xml:space="preserve">  → DataLoader (ingest, clean, baseline)</w:t>
      </w:r>
    </w:p>
    <w:p>
      <w:pPr>
        <w:spacing w:after="60" w:before="0"/>
      </w:pPr>
      <w:r>
        <w:rPr>
          <w:rFonts w:ascii="Courier New" w:cs="Courier New" w:eastAsia="Courier New" w:hAnsi="Courier New"/>
          <w:color w:val="555555"/>
          <w:sz w:val="18"/>
          <w:szCs w:val="18"/>
        </w:rPr>
        <w:t xml:space="preserve">  → TargetGenerator (annual → monthly targets)</w:t>
      </w:r>
    </w:p>
    <w:p>
      <w:pPr>
        <w:spacing w:after="60" w:before="0"/>
      </w:pPr>
      <w:r>
        <w:rPr>
          <w:rFonts w:ascii="Courier New" w:cs="Courier New" w:eastAsia="Courier New" w:hAnsi="Courier New"/>
          <w:color w:val="555555"/>
          <w:sz w:val="18"/>
          <w:szCs w:val="18"/>
        </w:rPr>
        <w:t xml:space="preserve">  → AECapacityModel (12-month capacity schedule)</w:t>
      </w:r>
    </w:p>
    <w:p>
      <w:pPr>
        <w:spacing w:after="60" w:before="0"/>
      </w:pPr>
      <w:r>
        <w:rPr>
          <w:rFonts w:ascii="Courier New" w:cs="Courier New" w:eastAsia="Courier New" w:hAnsi="Courier New"/>
          <w:color w:val="555555"/>
          <w:sz w:val="18"/>
          <w:szCs w:val="18"/>
        </w:rPr>
        <w:t xml:space="preserve">  → EconomicsEngine.load_baselines (seed decay curves)</w:t>
      </w:r>
    </w:p>
    <w:p>
      <w:pPr>
        <w:spacing w:after="60" w:before="0"/>
      </w:pPr>
      <w:r>
        <w:rPr>
          <w:rFonts w:ascii="Courier New" w:cs="Courier New" w:eastAsia="Courier New" w:hAnsi="Courier New"/>
          <w:color w:val="555555"/>
          <w:sz w:val="18"/>
          <w:szCs w:val="18"/>
        </w:rPr>
        <w:t xml:space="preserve">  → AllocationOptimizer (SAO allocation per period)</w:t>
      </w:r>
    </w:p>
    <w:p>
      <w:pPr>
        <w:spacing w:after="60" w:before="0"/>
      </w:pPr>
      <w:r>
        <w:rPr>
          <w:rFonts w:ascii="Courier New" w:cs="Courier New" w:eastAsia="Courier New" w:hAnsi="Courier New"/>
          <w:color w:val="555555"/>
          <w:sz w:val="18"/>
          <w:szCs w:val="18"/>
        </w:rPr>
        <w:t xml:space="preserve">  → AdjustmentEngine (optional — mid-cycle re-plan)</w:t>
      </w:r>
    </w:p>
    <w:p>
      <w:pPr>
        <w:spacing w:after="60" w:before="0"/>
      </w:pPr>
      <w:r>
        <w:rPr>
          <w:rFonts w:ascii="Courier New" w:cs="Courier New" w:eastAsia="Courier New" w:hAnsi="Courier New"/>
          <w:color w:val="555555"/>
          <w:sz w:val="18"/>
          <w:szCs w:val="18"/>
        </w:rPr>
        <w:t xml:space="preserve">  → ValidationEngine (7-check gate)</w:t>
      </w:r>
    </w:p>
    <w:p>
      <w:pPr>
        <w:spacing w:after="60" w:before="0"/>
      </w:pPr>
      <w:r>
        <w:rPr>
          <w:rFonts w:ascii="Courier New" w:cs="Courier New" w:eastAsia="Courier New" w:hAnsi="Courier New"/>
          <w:color w:val="555555"/>
          <w:sz w:val="18"/>
          <w:szCs w:val="18"/>
        </w:rPr>
        <w:t xml:space="preserve">  → RecoveryEngine (shortfall redistribution)</w:t>
      </w:r>
    </w:p>
    <w:p>
      <w:pPr>
        <w:spacing w:after="60" w:before="0"/>
      </w:pPr>
      <w:r>
        <w:rPr>
          <w:rFonts w:ascii="Courier New" w:cs="Courier New" w:eastAsia="Courier New" w:hAnsi="Courier New"/>
          <w:color w:val="555555"/>
          <w:sz w:val="18"/>
          <w:szCs w:val="18"/>
        </w:rPr>
        <w:t xml:space="preserve">  → VersionComparator (optional — multi-version analysis)</w:t>
      </w:r>
    </w:p>
    <w:p>
      <w:pPr>
        <w:spacing w:after="60" w:before="0"/>
      </w:pPr>
      <w:r>
        <w:rPr>
          <w:rFonts w:ascii="Courier New" w:cs="Courier New" w:eastAsia="Courier New" w:hAnsi="Courier New"/>
          <w:color w:val="555555"/>
          <w:sz w:val="18"/>
          <w:szCs w:val="18"/>
        </w:rPr>
        <w:t xml:space="preserve">  → VersionStore.save (persist snapshot)</w:t>
      </w:r>
    </w:p>
    <w:p>
      <w:pPr>
        <w:spacing w:after="60" w:before="0"/>
      </w:pPr>
      <w:r>
        <w:rPr>
          <w:rFonts w:ascii="Courier New" w:cs="Courier New" w:eastAsia="Courier New" w:hAnsi="Courier New"/>
          <w:color w:val="555555"/>
          <w:sz w:val="18"/>
          <w:szCs w:val="18"/>
        </w:rPr>
        <w:t xml:space="preserve">  → WhatIfEngine (optional — scenario modelling)</w:t>
      </w:r>
    </w:p>
    <w:p>
      <w:pPr>
        <w:spacing w:after="240" w:before="0"/>
      </w:pPr>
      <w:r>
        <w:t xml:space="preserve"/>
      </w:r>
    </w:p>
    <w:p>
      <w:r>
        <w:br w:type="page"/>
      </w:r>
    </w:p>
    <w:p>
      <w:pPr>
        <w:pStyle w:val="Heading1"/>
        <w:spacing w:after="120" w:before="200"/>
      </w:pPr>
      <w:r>
        <w:rPr>
          <w:rFonts w:ascii="Verdana" w:cs="Verdana" w:eastAsia="Verdana" w:hAnsi="Verdana"/>
          <w:b/>
          <w:bCs/>
          <w:color w:val="1F5C99"/>
          <w:sz w:val="30"/>
          <w:szCs w:val="30"/>
        </w:rPr>
        <w:t xml:space="preserve">3. Module Reference</w:t>
      </w:r>
    </w:p>
    <w:p>
      <w:pPr>
        <w:spacing w:after="160" w:before="0"/>
      </w:pPr>
      <w:r>
        <w:rPr>
          <w:rFonts w:ascii="Verdana" w:cs="Verdana" w:eastAsia="Verdana" w:hAnsi="Verdana"/>
          <w:b w:val="false"/>
          <w:bCs w:val="false"/>
          <w:i w:val="false"/>
          <w:iCs w:val="false"/>
          <w:color w:val="000000"/>
          <w:sz w:val="20"/>
          <w:szCs w:val="20"/>
        </w:rPr>
        <w:t xml:space="preserve">Each module entry describes why the file exists and provides a method-level reference with line numbers. Line numbers reference the post-refactoring codebase (March 2026). All modules use lower_snake_case functions, PascalCase classes, and dot-notation config access.</w:t>
      </w:r>
    </w:p>
    <w:p>
      <w:pPr>
        <w:spacing w:after="160" w:before="0"/>
      </w:pPr>
      <w:r>
        <w:t xml:space="preserve"/>
      </w:r>
    </w:p>
    <w:p>
      <w:pPr>
        <w:pStyle w:val="Heading2"/>
        <w:spacing w:after="120" w:before="280"/>
      </w:pPr>
      <w:r>
        <w:rPr>
          <w:rFonts w:ascii="Verdana" w:cs="Verdana" w:eastAsia="Verdana" w:hAnsi="Verdana"/>
          <w:b/>
          <w:bCs/>
          <w:color w:val="2E86C1"/>
          <w:sz w:val="26"/>
          <w:szCs w:val="26"/>
        </w:rPr>
        <w:t xml:space="preserve">3.1  Foundation Layer</w:t>
      </w:r>
    </w:p>
    <w:p>
      <w:pPr>
        <w:spacing w:after="160" w:before="0"/>
      </w:pPr>
      <w:r>
        <w:rPr>
          <w:rFonts w:ascii="Verdana" w:cs="Verdana" w:eastAsia="Verdana" w:hAnsi="Verdana"/>
          <w:b w:val="false"/>
          <w:bCs w:val="false"/>
          <w:i w:val="false"/>
          <w:iCs w:val="false"/>
          <w:color w:val="000000"/>
          <w:sz w:val="20"/>
          <w:szCs w:val="20"/>
        </w:rPr>
        <w:t xml:space="preserve">These modules initialise the engine. They must be instantiated before any planning pipeline module runs.</w:t>
      </w:r>
    </w:p>
    <w:p>
      <w:pPr>
        <w:spacing w:after="80" w:before="0"/>
      </w:pPr>
      <w:r>
        <w:t xml:space="preserve"/>
      </w:r>
    </w:p>
    <w:p>
      <w:pPr>
        <w:pStyle w:val="Heading3"/>
        <w:spacing w:after="80" w:before="200"/>
      </w:pPr>
      <w:r>
        <w:rPr>
          <w:rFonts w:ascii="Verdana" w:cs="Verdana" w:eastAsia="Verdana" w:hAnsi="Verdana"/>
          <w:b/>
          <w:bCs/>
          <w:color w:val="1F5C99"/>
          <w:sz w:val="22"/>
          <w:szCs w:val="22"/>
        </w:rPr>
        <w:t xml:space="preserve">config_manager.py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__init__(config_path)</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46</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Load + parse YAML; call validate(); cache active dimensions.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get(key, default)</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83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Dot-notation accessor. 'targets.annual_target' navigates nested dicts.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get_active_dimensions()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114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Return cached list of dimension names with enabled: true.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get_segment_keys()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127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Alias for get_active_dimensions(); used by downstream groupby operations.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override(overrides)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140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Deep-copy config + apply overrides; return new ConfigManager. Used by WhatIfEngine.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validate()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195</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Check required sections, seasonality weight sum, floor &lt; ceiling, valid months, positive target.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to_dict()</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258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Return deep-copy of raw config dict. Used by VersionStore.save().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hash()</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274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Delegate to utils.compute_config_hash(). Produces same hash as VersionStore for dedup.</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_compute_active_dimensions()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295</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Scan dimensions config; cache enabled dim names. Called once at init.</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compute_config_hash(config_dict)</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SHA256 of canonical JSON. Shared by ConfigManager.hash() and VersionStore._compute_config_hash() to guarantee agreement on dedup identity.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format_currency(value)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Convert raw dollars to millions (1 d.p.). Shared by VersionComparator and WhatIfEngine for consistent report display.</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data_loader.py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load(file_path)</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83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CSV or Excel (auto-detected by extension). Return raw DataFrame.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prepare(df)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127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6-step pipeline: filter → standardize → normalize dims → confidence → fallbacks → supersized.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_filter_columns(df)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183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Keep only active dimension columns + standard metric columns.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_standardize_columns(df)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262</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Rename metric column aliases (e.g. 'CW rate' → 'close_win_rate'). Metric columns only; dim lowercasing is delegated to _normalize_dimension_names.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_normalize_dimension_names(df)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228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Single authoritative location for lowercasing dimension column names to match ConfigManager output.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_score_confidence(df)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308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Assign high/medium/low confidence per segment based on deal count vs. config thresholds.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_apply_fallbacks(df)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355</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Replace low-confidence metric values with global average × fallback_multiplier.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compute_segment_baselines(df)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404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Aggregate ASP and CW rate per segment using median/mean/mode. Output feeds EconomicsEngine.load_baselines().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_flag_supersized(df)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561</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Flag rows where actual revenue &gt; N× expected (SAOs × ASP × CW). N from config.</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version_store.py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save(config, results, summary,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88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Write versioned directory v001/…: config.yaml, results.csv, summary.json. Auto-increment version ID.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load(version_id)</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165</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all three files for a version; return {config, results, summary}.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list_versions()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216</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Scan versions/ directory; return DataFrame of summaries ordered by version_id desc.</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_get_next_version_id()</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277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Scan existing v* dirs; return max + 1 (or 1 if none exist).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_compute_config_hash(config_dict)</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Delegate to utils.compute_config_hash(). Guarantees hash identity with ConfigManager.hash().</w:t>
            </w:r>
          </w:p>
        </w:tc>
      </w:tr>
    </w:tbl>
    <w:p>
      <w:pPr>
        <w:spacing w:after="200" w:before="0"/>
      </w:pPr>
      <w:r>
        <w:t xml:space="preserve"/>
      </w:r>
    </w:p>
    <w:p>
      <w:r>
        <w:br w:type="page"/>
      </w:r>
    </w:p>
    <w:p>
      <w:pPr>
        <w:pStyle w:val="Heading2"/>
        <w:spacing w:after="120" w:before="280"/>
      </w:pPr>
      <w:r>
        <w:rPr>
          <w:rFonts w:ascii="Verdana" w:cs="Verdana" w:eastAsia="Verdana" w:hAnsi="Verdana"/>
          <w:b/>
          <w:bCs/>
          <w:color w:val="2E86C1"/>
          <w:sz w:val="26"/>
          <w:szCs w:val="26"/>
        </w:rPr>
        <w:t xml:space="preserve">3.2  Planning Pipeline</w:t>
      </w:r>
    </w:p>
    <w:p>
      <w:pPr>
        <w:spacing w:after="160" w:before="0"/>
      </w:pPr>
      <w:r>
        <w:rPr>
          <w:rFonts w:ascii="Verdana" w:cs="Verdana" w:eastAsia="Verdana" w:hAnsi="Verdana"/>
          <w:b w:val="false"/>
          <w:bCs w:val="false"/>
          <w:i w:val="false"/>
          <w:iCs w:val="false"/>
          <w:color w:val="000000"/>
          <w:sz w:val="20"/>
          <w:szCs w:val="20"/>
        </w:rPr>
        <w:t xml:space="preserve">These modules run in sequence each planning pass. Their outputs are DataFrames passed to the next module — none holds internal mutable state between runs, making them safe to re-instantiate per what-if scenario.</w:t>
      </w:r>
    </w:p>
    <w:p>
      <w:pPr>
        <w:spacing w:after="80" w:before="0"/>
      </w:pPr>
      <w:r>
        <w:t xml:space="preserve"/>
      </w:r>
    </w:p>
    <w:p>
      <w:pPr>
        <w:pStyle w:val="Heading3"/>
        <w:spacing w:after="80" w:before="200"/>
      </w:pPr>
      <w:r>
        <w:rPr>
          <w:rFonts w:ascii="Verdana" w:cs="Verdana" w:eastAsia="Verdana" w:hAnsi="Verdana"/>
          <w:b/>
          <w:bCs/>
          <w:color w:val="1F5C99"/>
          <w:sz w:val="22"/>
          <w:szCs w:val="22"/>
        </w:rPr>
        <w:t xml:space="preserve">target_generator.py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generate(actuals)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167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Main entry. Dispatches to full-year, rolling-forward, or manual-lock path.</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_compute_annual_target()</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104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Fixed target from config, or prior_year × (1 + growth_rate).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_get_seasonality_weights()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123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monthly weights from config; validate they sum to 1.0.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_build_monthly_targets()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221</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Multiply annual target by each month's weight.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_apply_rolling_forward(actuals)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272</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Lock completed months with actuals; redistribute remaining target across unlocked months.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_apply_manual_locks()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329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Freeze specific months from config.targets.locked_months; redistribute across the rest.</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ae_capacity.py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calculate()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97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12-month loop. Calls _process_tranches, _apply_attrition, _calculate_mentoring_tax, _calculate_shrinkage. Returns capacity DataFrame.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_process_tranches(month,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196</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For each hiring tranche, compute days_in and ramp_factor (linear: days_in / ramp_duration_days).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_calculate_mentoring_tax(…, tenured_hc)</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252</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Sum mentoring overhead in AE-equivalents, divide by tenured_hc to get fraction. CRITICAL: dividing by tenured_hc was the root cause of the $51.7M underproduction bug before fix.</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_calculate_shrinkage(month,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310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PTO + admin + enablement (scales with new-hire ratio, capped at enablement_max_pct).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_apply_attrition(tenured_hc,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356</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Remove monthly_rate fraction from tenured pool each month.</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economics_engine.py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get_effective_asp(segment, volume)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79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Apply ASP decay curve at given volume. Calls _resolve_base_value then _apply_decay.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get_effective_win_rate(segment, volume)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105</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Apply CW rate decay curve. Result clamped to [0, 1].</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get_effective_roi(segment, volume)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132</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ASP(volume) × CW(volume). Used by Optimizer for segment ranking.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_apply_decay(base, volume, cfg)</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149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Dispatch to linear / exponential / step / none formula. Apply floor_multiplier.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get_segment_config(segment, param)</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209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Look up per-segment override, fallback to global default decay config.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_resolve_base_value(segment, metric)</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263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Fallback chain: segment cache → __global__ → manual_baselines → ValueError.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load_baselines(baselines)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309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Bulk-load from DataLoader.compute_segment_baselines(). Must be called before optimization.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set_base_value(segment, metric, v)</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331</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Set individual segment baseline (used for manual overrides or testing).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CalibrationEngine.fit(data,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368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scipy.optimize.curve_fit decay parameters from deal-level data. Used when use_calibration: true.</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optimizer.py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optimize(targets, data, econ, cap)</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170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Main entry. Loop over periods; dispatch to greedy or solver; aggregate results.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_optimize_period_greedy(…)</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309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Rank segments by marginal ROI; greedily allocate SAOs from highest to lowest until capacity or target reached.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_optimize_period_solver(…)</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444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scipy SLSQP. Warm-started from greedy solution. Constraints: Σ shares = 1, demand ≤ capacity. Fallback to greedy if solver diverges.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_get_segment_roi(…)</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618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Get (effective_asp, effective_cw, roi) via EconomicsEngine. Cap ASP at base for supersized segments.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_compute_weighted_roi(shares,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686</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Iterative convergence (5 rounds): volume → ROI → SAOs → volume. Resolves circular ROI dependency.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_get_active_dimensions(data)</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744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Delegates to config.get_active_dimensions(); filters to columns present in data. Single authority for dimension resolution.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_create_segment_key(data, dims)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767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Join active dimension values with '.' (e.g. 'EOR.Marketing').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_build_results_df(…)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788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Assemble output DataFrame. Capacity constraint enforced at L820: if total_saos &gt; capacity_limit, cap and set capacity_flag = 1.</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get_optimization_summary(results)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899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Aggregate annual metrics: bookings, pipeline, SAOs, deals, months constrained.</w:t>
            </w:r>
          </w:p>
        </w:tc>
      </w:tr>
    </w:tbl>
    <w:p>
      <w:pPr>
        <w:spacing w:after="200" w:before="0"/>
      </w:pPr>
      <w:r>
        <w:t xml:space="preserve"/>
      </w:r>
    </w:p>
    <w:p>
      <w:r>
        <w:br w:type="page"/>
      </w:r>
    </w:p>
    <w:p>
      <w:pPr>
        <w:pStyle w:val="Heading2"/>
        <w:spacing w:after="120" w:before="280"/>
      </w:pPr>
      <w:r>
        <w:rPr>
          <w:rFonts w:ascii="Verdana" w:cs="Verdana" w:eastAsia="Verdana" w:hAnsi="Verdana"/>
          <w:b/>
          <w:bCs/>
          <w:color w:val="2E86C1"/>
          <w:sz w:val="26"/>
          <w:szCs w:val="26"/>
        </w:rPr>
        <w:t xml:space="preserve">3.3  Post-Optimisation Modules</w:t>
      </w:r>
    </w:p>
    <w:p>
      <w:pPr>
        <w:spacing w:after="160" w:before="0"/>
      </w:pPr>
      <w:r>
        <w:rPr>
          <w:rFonts w:ascii="Verdana" w:cs="Verdana" w:eastAsia="Verdana" w:hAnsi="Verdana"/>
          <w:b w:val="false"/>
          <w:bCs w:val="false"/>
          <w:i w:val="false"/>
          <w:iCs w:val="false"/>
          <w:color w:val="000000"/>
          <w:sz w:val="20"/>
          <w:szCs w:val="20"/>
        </w:rPr>
        <w:t xml:space="preserve">Run after the optimizer to gate quality, recover from misses, and capture adjustments.</w:t>
      </w:r>
    </w:p>
    <w:p>
      <w:pPr>
        <w:spacing w:after="80" w:before="0"/>
      </w:pPr>
      <w:r>
        <w:t xml:space="preserve"/>
      </w:r>
    </w:p>
    <w:p>
      <w:pPr>
        <w:pStyle w:val="Heading3"/>
        <w:spacing w:after="80" w:before="200"/>
      </w:pPr>
      <w:r>
        <w:rPr>
          <w:rFonts w:ascii="Verdana" w:cs="Verdana" w:eastAsia="Verdana" w:hAnsi="Verdana"/>
          <w:b/>
          <w:bCs/>
          <w:color w:val="1F5C99"/>
          <w:sz w:val="22"/>
          <w:szCs w:val="22"/>
        </w:rPr>
        <w:t xml:space="preserve">adjustments.py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apply_adjustment(plan, actuals,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67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Main entry. Apply changes in order: merge actuals → HC changes → target changes → segment changes → compute remaining target.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_merge_actuals(plan, actuals)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163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Replace planned values with actuals for completed periods. Track locked_periods and locked_revenue.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_apply_hc_changes(config, changes)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219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Modify ae_model.hiring_plan tranches for mid-year attrition or new hire events.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_apply_target_changes(config,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270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Update targets.annual_target; per-period overrides handled by TargetGenerator in rolling_forward mode.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_apply_segment_changes(config,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300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Store ASP/CW overrides under economics.segment_overrides for EconomicsEngine to consume.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_calculate_remaining_target(…)</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338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Remaining = annual_target − locked_revenue.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generate_summary(context)</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375</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Human-readable narrative of all adjustments made.</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validation.py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validate(results, targets, cap)</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68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Run all 7 checks; return {passed, checks, summary}.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_check_revenue_identity(results)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123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Verify projected_bookings ≈ required_saos × effective_asp × effective_cw_rate within revenue_tolerance.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_check_share_constraints(results)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180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Verify share_floor ≤ share ≤ share_ceiling for every row.</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_check_share_sum(results)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228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Verify shares sum to 1.0 per period within tolerance.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_check_capacity(results, cap)</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274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Verify total SAOs per period ≤ effective_capacity_saos. Accepts 'period' or 'month' column name.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_check_target_alignment(results, targets)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340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Verify total projected bookings ≈ sum of targets within tolerance. Accepts 'target_bookings' or 'target_revenue'.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_check_no_negatives(results)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407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Verify no negative values in SAOs, pipeline, bookings, share.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_check_confidence_coverage(results)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454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Flag if &gt; system.low_confidence_threshold % of bookings come from low-confidence segments.</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recovery.py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analyze(results, targets, cap)</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60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Main entry. Calculate gaps → redistribute shortfall → flag stretch → mentoring relief → find recovery quarter.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_calculate_quarterly_gaps(…)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186</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Merge targets + results; aggregate to quarterly; compute gap and gap_pct.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_find_first_miss_month(gaps)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250</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Return quarter number of first gap &gt; tolerance.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_redistribute_shortfall(…)</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265</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Distribute shortfall across remaining quarters weighted by capacity. Equal-weight fallback if capacity not provided.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_check_stretch(orig, adj, qtrs)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318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Flag quarters where adjusted/original &gt; ae_model.stretch_threshold. NOTE: baseline is the ORIGINAL planned target (not average). Contrast with VersionComparator which compares to intra-plan average.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_analyze_mentoring_relief(cap,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348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Illustrative: estimate capacity freed if mentoring overhead reduced by 50%.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find_recovery_quarter(gaps, plan)</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389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Find earliest quarter where cumulative projected ≥ cumulative target.</w:t>
            </w:r>
          </w:p>
        </w:tc>
      </w:tr>
    </w:tbl>
    <w:p>
      <w:pPr>
        <w:spacing w:after="200" w:before="0"/>
      </w:pPr>
      <w:r>
        <w:t xml:space="preserve"/>
      </w:r>
    </w:p>
    <w:p>
      <w:pPr>
        <w:pStyle w:val="Heading2"/>
        <w:spacing w:after="120" w:before="280"/>
      </w:pPr>
      <w:r>
        <w:rPr>
          <w:rFonts w:ascii="Verdana" w:cs="Verdana" w:eastAsia="Verdana" w:hAnsi="Verdana"/>
          <w:b/>
          <w:bCs/>
          <w:color w:val="2E86C1"/>
          <w:sz w:val="26"/>
          <w:szCs w:val="26"/>
        </w:rPr>
        <w:t xml:space="preserve">3.4  Analysis &amp; Scenario Modules</w:t>
      </w:r>
    </w:p>
    <w:p>
      <w:pPr>
        <w:spacing w:after="160" w:before="0"/>
      </w:pPr>
      <w:r>
        <w:rPr>
          <w:rFonts w:ascii="Verdana" w:cs="Verdana" w:eastAsia="Verdana" w:hAnsi="Verdana"/>
          <w:b w:val="false"/>
          <w:bCs w:val="false"/>
          <w:i w:val="false"/>
          <w:iCs w:val="false"/>
          <w:color w:val="000000"/>
          <w:sz w:val="20"/>
          <w:szCs w:val="20"/>
        </w:rPr>
        <w:t xml:space="preserve">These modules are optional in the base pipeline but essential for leadership decision-making. They do not mutate any upstream output.</w:t>
      </w:r>
    </w:p>
    <w:p>
      <w:pPr>
        <w:spacing w:after="80" w:before="0"/>
      </w:pPr>
      <w:r>
        <w:t xml:space="preserve"/>
      </w:r>
    </w:p>
    <w:p>
      <w:pPr>
        <w:pStyle w:val="Heading3"/>
        <w:spacing w:after="80" w:before="200"/>
      </w:pPr>
      <w:r>
        <w:rPr>
          <w:rFonts w:ascii="Verdana" w:cs="Verdana" w:eastAsia="Verdana" w:hAnsi="Verdana"/>
          <w:b/>
          <w:bCs/>
          <w:color w:val="1F5C99"/>
          <w:sz w:val="22"/>
          <w:szCs w:val="22"/>
        </w:rPr>
        <w:t xml:space="preserve">comparator.py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compare(versions)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83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Main entry for 2+ plan versions. Returns metric_diffs, allocation_shift, volatility, HHI, capacity variance, stretch, confidence risk.</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_calculate_metric_diffs(versions)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199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Compare total bookings, pipeline, SAOs, AE HC, productivity; compute % delta vs. version 1.</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_calculate_allocation_shift(vers)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265</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Show how segment shares changed between versions. Supports segment_key, segment, or product+channel grouping.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_calculate_volatility(results)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329</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Monthly bookings: std dev, coefficient of variation, max/min ratio. Lower = smoother for sales teams.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_calculate_hhi(results)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382</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Herfindahl-Hirschman Index = Σ(share²). Higher = more concentrated = riskier.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_calculate_capacity_utilisation_variance(…)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431</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Variance in monthly utilisation rates. Lower = more even capacity usage.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_calculate_stretch_exposure(results)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508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Quarters where bookings &gt; stretch_threshold × avg quarter. NOTE: baseline is intra-plan average (contrast with RecoveryEngine which uses original plan target).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_calculate_confidence_risk(results)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578</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 of bookings from low-confidence segments. Bucketed into Low/Medium/High using config thresholds.</w:t>
            </w:r>
          </w:p>
        </w:tc>
      </w:tr>
    </w:tbl>
    <w:p>
      <w:pPr>
        <w:spacing w:after="200" w:before="0"/>
      </w:pPr>
      <w:r>
        <w:t xml:space="preserve"/>
      </w:r>
    </w:p>
    <w:p>
      <w:pPr>
        <w:pStyle w:val="Heading3"/>
        <w:spacing w:after="80" w:before="200"/>
      </w:pPr>
      <w:r>
        <w:rPr>
          <w:rFonts w:ascii="Verdana" w:cs="Verdana" w:eastAsia="Verdana" w:hAnsi="Verdana"/>
          <w:b/>
          <w:bCs/>
          <w:color w:val="1F5C99"/>
          <w:sz w:val="22"/>
          <w:szCs w:val="22"/>
        </w:rPr>
        <w:t xml:space="preserve">what_if.py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Method / Function</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6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run_scenarios(base, summary, fn)</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111</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Loop over enabled scenarios; deep-copy + perturb config; call pipeline_fn; compute deltas.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_apply_perturbations(config, p)</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194</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Apply 9 perturbation types: ae_headcount_change, backfill_delay_months, asp_multiplier, win_rate_multiplier, channel_share_ceiling, lead_volume_multiplier, cancel_tranches, add_region, region_performance_multiplier.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_compare_results(base, scen, …)</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351</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Compute absolute and % deltas for bookings, SAOs, HC, volatility. Flag: bookings down, capacity &gt; 95%, volatility up, HC reduced, SAO demand +25%.</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print_comparison(df)</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473</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Pretty-print scenario comparison table to stdout.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get_scenario_details(name)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557</w:t>
            </w:r>
          </w:p>
        </w:tc>
        <w:tc>
          <w:tcPr>
            <w:tcW w:type="dxa" w:w="6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Retrieve full config + results + summary for a named scenario after run_scenarios().</w:t>
            </w:r>
          </w:p>
        </w:tc>
      </w:tr>
    </w:tbl>
    <w:p>
      <w:pPr>
        <w:spacing w:after="200" w:before="0"/>
      </w:pPr>
      <w:r>
        <w:t xml:space="preserve"/>
      </w:r>
    </w:p>
    <w:p>
      <w:r>
        <w:br w:type="page"/>
      </w:r>
    </w:p>
    <w:p>
      <w:pPr>
        <w:pStyle w:val="Heading1"/>
        <w:spacing w:after="120" w:before="200"/>
      </w:pPr>
      <w:r>
        <w:rPr>
          <w:rFonts w:ascii="Verdana" w:cs="Verdana" w:eastAsia="Verdana" w:hAnsi="Verdana"/>
          <w:b/>
          <w:bCs/>
          <w:color w:val="1F5C99"/>
          <w:sz w:val="30"/>
          <w:szCs w:val="30"/>
        </w:rPr>
        <w:t xml:space="preserve">4. Full Execution Trace</w:t>
      </w:r>
    </w:p>
    <w:p>
      <w:pPr>
        <w:spacing w:after="160" w:before="0"/>
      </w:pPr>
      <w:r>
        <w:rPr>
          <w:rFonts w:ascii="Verdana" w:cs="Verdana" w:eastAsia="Verdana" w:hAnsi="Verdana"/>
          <w:b w:val="false"/>
          <w:bCs w:val="false"/>
          <w:i w:val="false"/>
          <w:iCs w:val="false"/>
          <w:color w:val="000000"/>
          <w:sz w:val="20"/>
          <w:szCs w:val="20"/>
        </w:rPr>
        <w:t xml:space="preserve">The following traces the complete call chain for a standard full-year planning run as executed by the Jupyter notebook. Optional branches are noted inline. Indentation indicates that a call is nested within the immediately preceding parent call.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5060"/>
      </w:tblGrid>
      <w:tr>
        <w:trPr>
          <w:tblHeader/>
        </w:trPr>
        <w:tc>
          <w:tcPr>
            <w:tcW w:type="dxa" w:w="36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Call</w:t>
            </w:r>
          </w:p>
        </w:tc>
        <w:tc>
          <w:tcPr>
            <w:tcW w:type="dxa" w:w="7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Line</w:t>
            </w:r>
          </w:p>
        </w:tc>
        <w:tc>
          <w:tcPr>
            <w:tcW w:type="dxa" w:w="50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Notes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[config.yaml]</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by ConfigManager at startup</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[config_manager.py] __init__</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L46</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Load YAML → validate() → _compute_active_dimensions() → cache dims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[data_loader.py] __init__</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L54</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active_dimensions from ConfigManager; store confidence thresholds</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[data_loader.py] load</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L83</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CSV / Excel → raw DataFrame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[data_loader.py] prepare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L127</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_filter_columns → _standardize_columns → _normalize_dimension_names → _score_confidence → _apply_fallbacks → _flag_supersized</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[data_loader.py] compute_segment_baselines</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L404</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Group by active dims; aggregate ASP + CW rate (median/mean/mode) → baselines dict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[target_generator.py] __init__</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targets config</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[target_generator.py] generate</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L167</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_compute_annual_target → _build_monthly_targets → (optional) _apply_rolling_forward or _apply_manual_locks → targets DataFrame (period, target_revenue)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[ae_capacity.py] __init__</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L73</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ae_model config; validate starting_hc, productivity, ramp_days</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[ae_capacity.py] calculate</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L97</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12-month loop: _process_tranches → _apply_attrition → _calculate_mentoring_tax → _calculate_shrinkage → capacity DataFrame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[economics_engine.py] __init__</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L58</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Initialise decay param caches; _validate_config checks default_decay present</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[economics_engine.py] load_baselines</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L309</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Bulk-load segment ASP + win_rate from DataLoader output into internal caches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[optimizer.py] __init__</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L97</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Read allocation config (mode, floor, ceiling, solver params)</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[optimizer.py] optimize</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L170</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Loop over 12 periods: _get_active_dimensions → _create_segment_key → _optimize_period_greedy (or solver) → _build_results_df → concat → return full-year results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  [optimizer.py] _get_segment_roi</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L618</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Per segment: economics_engine.get_effective_asp + get_effective_win_rate → ROI. Cap ASP if is_supersized.</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  [optimizer.py] _build_results_df</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L788</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Assemble row per segment: SAOs, pipeline, bookings, deals. Enforce capacity at L820.</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[optimizer.py] get_optimization_summary</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L899</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Aggregate: total bookings, SAOs, pipeline, months capacity-constrained, avg ROI</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[adjustments.py] apply_adjustment</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L67</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(Optional) Mid-cycle: merge actuals → apply HC/target/segment changes → return adjusted_config + remaining_target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[validation.py] validate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L68</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7 checks: revenue identity, share constraints, share sum, no negatives, capacity, target alignment, confidence coverage → pass/fail report</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[recovery.py] analyze</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L60</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Quarterly gap analysis → redistribute shortfall → flag stretch → mentoring relief estimate → recovery quarter</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[comparator.py] compare</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L83</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(Optional) 2+ versions: metric diffs, allocation shift, volatility, HHI, capacity variance, stretch exposure, confidence risk</w:t>
            </w:r>
          </w:p>
        </w:tc>
      </w:tr>
      <w:tr>
        <w:tc>
          <w:tcPr>
            <w:tcW w:type="dxa" w:w="36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[version_store.py] save</w:t>
            </w:r>
          </w:p>
        </w:tc>
        <w:tc>
          <w:tcPr>
            <w:tcW w:type="dxa" w:w="7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L88</w:t>
            </w:r>
          </w:p>
        </w:tc>
        <w:tc>
          <w:tcPr>
            <w:tcW w:type="dxa" w:w="50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Write versions/vNNN/: config.yaml + results.csv + summary.json; dedup via config hash</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[what_if.py] run_scenarios</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555555"/>
                <w:sz w:val="18"/>
                <w:szCs w:val="18"/>
              </w:rPr>
              <w:t xml:space="preserve">L111</w:t>
            </w:r>
          </w:p>
        </w:tc>
        <w:tc>
          <w:tcPr>
            <w:tcW w:type="dxa" w:w="5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(Optional) Loop enabled scenarios: deep-copy config → _apply_perturbations → call pipeline_fn → _compare_results → comparison DataFrame</w:t>
            </w:r>
          </w:p>
        </w:tc>
      </w:tr>
    </w:tbl>
    <w:p>
      <w:pPr>
        <w:spacing w:after="240" w:before="0"/>
      </w:pPr>
      <w:r>
        <w:t xml:space="preserve"/>
      </w:r>
    </w:p>
    <w:p>
      <w:pPr>
        <w:pStyle w:val="Heading2"/>
        <w:spacing w:after="120" w:before="280"/>
      </w:pPr>
      <w:r>
        <w:rPr>
          <w:rFonts w:ascii="Verdana" w:cs="Verdana" w:eastAsia="Verdana" w:hAnsi="Verdana"/>
          <w:b/>
          <w:bCs/>
          <w:color w:val="2E86C1"/>
          <w:sz w:val="26"/>
          <w:szCs w:val="26"/>
        </w:rPr>
        <w:t xml:space="preserve">4.1  Revenue Identity</w:t>
      </w:r>
    </w:p>
    <w:p>
      <w:pPr>
        <w:spacing w:after="160" w:before="0"/>
      </w:pPr>
      <w:r>
        <w:rPr>
          <w:rFonts w:ascii="Verdana" w:cs="Verdana" w:eastAsia="Verdana" w:hAnsi="Verdana"/>
          <w:b w:val="false"/>
          <w:bCs w:val="false"/>
          <w:i w:val="false"/>
          <w:iCs w:val="false"/>
          <w:color w:val="000000"/>
          <w:sz w:val="20"/>
          <w:szCs w:val="20"/>
        </w:rPr>
        <w:t xml:space="preserve">The engine enforces a hard revenue identity throughout: Projected Bookings = SAOs × effective_ASP × effective_CW_rate. ValidationEngine._check_revenue_identity() verifies this holds for every row in every period within the configured revenue_tolerance (default 1%). Any violation indicates a calculation-layer bug, not a capacity issue.</w:t>
      </w:r>
    </w:p>
    <w:p>
      <w:pPr>
        <w:spacing w:after="160" w:before="0"/>
      </w:pPr>
      <w:r>
        <w:t xml:space="preserve"/>
      </w:r>
    </w:p>
    <w:p>
      <w:pPr>
        <w:pStyle w:val="Heading2"/>
        <w:spacing w:after="120" w:before="280"/>
      </w:pPr>
      <w:r>
        <w:rPr>
          <w:rFonts w:ascii="Verdana" w:cs="Verdana" w:eastAsia="Verdana" w:hAnsi="Verdana"/>
          <w:b/>
          <w:bCs/>
          <w:color w:val="2E86C1"/>
          <w:sz w:val="26"/>
          <w:szCs w:val="26"/>
        </w:rPr>
        <w:t xml:space="preserve">4.2  Capacity Enforcement</w:t>
      </w:r>
    </w:p>
    <w:p>
      <w:pPr>
        <w:spacing w:after="160" w:before="0"/>
      </w:pPr>
      <w:r>
        <w:rPr>
          <w:rFonts w:ascii="Verdana" w:cs="Verdana" w:eastAsia="Verdana" w:hAnsi="Verdana"/>
          <w:b w:val="false"/>
          <w:bCs w:val="false"/>
          <w:i w:val="false"/>
          <w:iCs w:val="false"/>
          <w:color w:val="000000"/>
          <w:sz w:val="20"/>
          <w:szCs w:val="20"/>
        </w:rPr>
        <w:t xml:space="preserve">Capacity is enforced at optimizer.py L820. When total required SAOs for a period exceed effective_capacity_saos from AECapacityModel, total_saos is capped at the capacity limit, capacity_flag is set to 1 for all rows in that period, and projected_bookings are recomputed against the capped volume. This means the plan will not hit its monthly target in constrained periods — this is a factual output, not a model error. ValidationEngine._check_capacity() also flags this independently.</w:t>
      </w:r>
    </w:p>
    <w:p>
      <w:pPr>
        <w:spacing w:after="160" w:before="0"/>
      </w:pPr>
      <w:r>
        <w:t xml:space="preserve"/>
      </w:r>
    </w:p>
    <w:p>
      <w:r>
        <w:br w:type="page"/>
      </w:r>
    </w:p>
    <w:p>
      <w:pPr>
        <w:pStyle w:val="Heading1"/>
        <w:spacing w:after="120" w:before="200"/>
      </w:pPr>
      <w:r>
        <w:rPr>
          <w:rFonts w:ascii="Verdana" w:cs="Verdana" w:eastAsia="Verdana" w:hAnsi="Verdana"/>
          <w:b/>
          <w:bCs/>
          <w:color w:val="1F5C99"/>
          <w:sz w:val="30"/>
          <w:szCs w:val="30"/>
        </w:rPr>
        <w:t xml:space="preserve">5. Consistency Refactoring Log</w:t>
      </w:r>
    </w:p>
    <w:p>
      <w:pPr>
        <w:spacing w:after="160" w:before="0"/>
      </w:pPr>
      <w:r>
        <w:rPr>
          <w:rFonts w:ascii="Verdana" w:cs="Verdana" w:eastAsia="Verdana" w:hAnsi="Verdana"/>
          <w:b w:val="false"/>
          <w:bCs w:val="false"/>
          <w:i w:val="false"/>
          <w:iCs w:val="false"/>
          <w:color w:val="000000"/>
          <w:sz w:val="20"/>
          <w:szCs w:val="20"/>
        </w:rPr>
        <w:t xml:space="preserve">In March 2026 a full system audit identified nine duplication and inconsistency findings (D1–D9). The following changes were applied to ensure the engine is config-driven and consistent — the same business definition of any metric is computed by one implementation only, read by all callers.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1900"/>
        <w:gridCol w:w="2200"/>
        <w:gridCol w:w="3460"/>
      </w:tblGrid>
      <w:tr>
        <w:trPr>
          <w:tblHeader/>
        </w:trPr>
        <w:tc>
          <w:tcPr>
            <w:tcW w:type="dxa" w:w="3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ID</w:t>
            </w:r>
          </w:p>
        </w:tc>
        <w:tc>
          <w:tcPr>
            <w:tcW w:type="dxa" w:w="15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Finding</w:t>
            </w:r>
          </w:p>
        </w:tc>
        <w:tc>
          <w:tcPr>
            <w:tcW w:type="dxa" w:w="19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Location(s)</w:t>
            </w:r>
          </w:p>
        </w:tc>
        <w:tc>
          <w:tcPr>
            <w:tcW w:type="dxa" w:w="2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Risk</w:t>
            </w:r>
          </w:p>
        </w:tc>
        <w:tc>
          <w:tcPr>
            <w:tcW w:type="dxa" w:w="34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Resolution</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D1</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format_currency() duplicated</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comparator.py L716
what_if.py L457</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Identical static method. Different scale/rounding would silently break cross-module tables.</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Extracted to utils.format_currency(). Both modules import and delegate. Single implementation.</w:t>
            </w:r>
          </w:p>
        </w:tc>
      </w:tr>
      <w:tr>
        <w:tc>
          <w:tcPr>
            <w:tcW w:type="dxa" w:w="3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D2</w:t>
            </w:r>
          </w:p>
        </w:tc>
        <w:tc>
          <w:tcPr>
            <w:tcW w:type="dxa" w:w="15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SHA256 config hashing duplicated</w:t>
            </w:r>
          </w:p>
        </w:tc>
        <w:tc>
          <w:tcPr>
            <w:tcW w:type="dxa" w:w="19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config_manager.py L274
version_store.py L353</w:t>
            </w:r>
          </w:p>
        </w:tc>
        <w:tc>
          <w:tcPr>
            <w:tcW w:type="dxa" w:w="2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Split implementations could diverge, silently breaking dedup detection between modules.</w:t>
            </w:r>
          </w:p>
        </w:tc>
        <w:tc>
          <w:tcPr>
            <w:tcW w:type="dxa" w:w="34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Extracted to utils.compute_config_hash(). ConfigManager.hash() and VersionStore._compute_config_hash() both delegate. Underscore-prefixed keys (what-if perturbations) are retained in hash to preserve scenario-level dedup.</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D3</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Active dimension detection duplicated</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config_manager.py L295
optimizer.py L744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Optimizer re-scanned raw config dict on every period, duplicating ConfigManager's cached logic. Risk of divergence if config structure changes.</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optimizer._get_active_dimensions() now calls self.config.get_active_dimensions() and filters to columns present in data. ConfigManager remains the single authority.</w:t>
            </w:r>
          </w:p>
        </w:tc>
      </w:tr>
      <w:tr>
        <w:tc>
          <w:tcPr>
            <w:tcW w:type="dxa" w:w="3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D5</w:t>
            </w:r>
          </w:p>
        </w:tc>
        <w:tc>
          <w:tcPr>
            <w:tcW w:type="dxa" w:w="15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Stretch threshold access inconsistent</w:t>
            </w:r>
          </w:p>
        </w:tc>
        <w:tc>
          <w:tcPr>
            <w:tcW w:type="dxa" w:w="19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recovery.py L57 (dot-notation)
comparator.py __init__ (nested dict)</w:t>
            </w:r>
          </w:p>
        </w:tc>
        <w:tc>
          <w:tcPr>
            <w:tcW w:type="dxa" w:w="2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Two modules used different access patterns for the same config key, risking inconsistency if the key path changed.</w:t>
            </w:r>
          </w:p>
        </w:tc>
        <w:tc>
          <w:tcPr>
            <w:tcW w:type="dxa" w:w="34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comparator.__init__ updated to use config.get('ae_model.stretch_threshold', 1.2) — same dot-notation as RecoveryEngine. Business logic (what constitutes a stretch) kept separate: Recovery compares adjusted vs. original plan target; Comparator compares vs. intra-plan quarterly average. These are intentionally different analytical questions.</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D6</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__init__.py only exported 3 of 13 modules</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gtm_engine/__init__.py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Nine modules required direct file-path imports, hiding the engine's surface area from readers and making refactoring harder.</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All 13 public classes added to __init__.py with grouped imports (Foundation → Pipeline → Post-Optimisation → Analysis). __all__ lists every class.</w:t>
            </w:r>
          </w:p>
        </w:tc>
      </w:tr>
      <w:tr>
        <w:tc>
          <w:tcPr>
            <w:tcW w:type="dxa" w:w="3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D7</w:t>
            </w:r>
          </w:p>
        </w:tc>
        <w:tc>
          <w:tcPr>
            <w:tcW w:type="dxa" w:w="15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_compute_summary() dead code</w:t>
            </w:r>
          </w:p>
        </w:tc>
        <w:tc>
          <w:tcPr>
            <w:tcW w:type="dxa" w:w="19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version_store.py L306</w:t>
            </w:r>
          </w:p>
        </w:tc>
        <w:tc>
          <w:tcPr>
            <w:tcW w:type="dxa" w:w="2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Method computed summary metrics but was never called; notebook passes pre-computed summaries to save(). Dead code creates maintenance confusion.</w:t>
            </w:r>
          </w:p>
        </w:tc>
        <w:tc>
          <w:tcPr>
            <w:tcW w:type="dxa" w:w="34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Method removed. save() continues to accept an externally computed summary dict.</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D8</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Dimension lowercasing done in two methods</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data_loader.py _standardize_columns L296-300
_normalize_dimension_names L228</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_standardize_columns applied dimension lowercasing as a side-effect, then _normalize_dimension_names did it again as its primary job.</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_standardize_columns now handles metric aliases only. Docstrings updated on both methods to make ownership explicit. _normalize_dimension_names is the single authoritative location for dimension lowercasing.</w:t>
            </w:r>
          </w:p>
        </w:tc>
      </w:tr>
      <w:tr>
        <w:tc>
          <w:tcPr>
            <w:tcW w:type="dxa" w:w="3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D9</w:t>
            </w:r>
          </w:p>
        </w:tc>
        <w:tc>
          <w:tcPr>
            <w:tcW w:type="dxa" w:w="15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Confidence thresholds hardcoded in comparator</w:t>
            </w:r>
          </w:p>
        </w:tc>
        <w:tc>
          <w:tcPr>
            <w:tcW w:type="dxa" w:w="19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comparator.py L617 (5%, 20% literals)
validation.py L482 (config-driven)</w:t>
            </w:r>
          </w:p>
        </w:tc>
        <w:tc>
          <w:tcPr>
            <w:tcW w:type="dxa" w:w="2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Validation used config to determine its pass/fail gate; comparator used hardcoded literals. A threshold change in one would silently diverge from the other.</w:t>
            </w:r>
          </w:p>
        </w:tc>
        <w:tc>
          <w:tcPr>
            <w:tcW w:type="dxa" w:w="34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Added system.low_confidence_threshold, system.confidence_risk_low_max_pct, and system.confidence_risk_medium_max_pct to config.yaml with comments explaining the alignment. Comparator reads thresholds from config in __init__. Alignment: low_confidence_threshold (20%) == confidence_risk_medium_max_pct, so a plan that passes validation always sits in the Low-or-Medium comparator bucket.</w:t>
            </w:r>
          </w:p>
        </w:tc>
      </w:tr>
    </w:tbl>
    <w:p>
      <w:pPr>
        <w:spacing w:after="240" w:before="0"/>
      </w:pPr>
      <w:r>
        <w:t xml:space="preserve"/>
      </w:r>
    </w:p>
    <w:p>
      <w:r>
        <w:br w:type="page"/>
      </w:r>
    </w:p>
    <w:p>
      <w:pPr>
        <w:pStyle w:val="Heading1"/>
        <w:spacing w:after="120" w:before="200"/>
      </w:pPr>
      <w:r>
        <w:rPr>
          <w:rFonts w:ascii="Verdana" w:cs="Verdana" w:eastAsia="Verdana" w:hAnsi="Verdana"/>
          <w:b/>
          <w:bCs/>
          <w:color w:val="1F5C99"/>
          <w:sz w:val="30"/>
          <w:szCs w:val="30"/>
        </w:rPr>
        <w:t xml:space="preserve">6. Config Key Reference</w:t>
      </w:r>
    </w:p>
    <w:p>
      <w:pPr>
        <w:spacing w:after="160" w:before="0"/>
      </w:pPr>
      <w:r>
        <w:rPr>
          <w:rFonts w:ascii="Verdana" w:cs="Verdana" w:eastAsia="Verdana" w:hAnsi="Verdana"/>
          <w:b w:val="false"/>
          <w:bCs w:val="false"/>
          <w:i w:val="false"/>
          <w:iCs w:val="false"/>
          <w:color w:val="000000"/>
          <w:sz w:val="20"/>
          <w:szCs w:val="20"/>
        </w:rPr>
        <w:t xml:space="preserve">Every behaviour of the engine is controlled by config.yaml. The table below maps the most consequential config keys to the module(s) that consume them. The engine validates the config on load; missing required keys raise ValueError.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Config Key</w:t>
            </w:r>
          </w:p>
        </w:tc>
        <w:tc>
          <w:tcPr>
            <w:tcW w:type="dxa" w:w="240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Module(s)</w:t>
            </w:r>
          </w:p>
        </w:tc>
        <w:tc>
          <w:tcPr>
            <w:tcW w:type="dxa" w:w="3760"/>
            <w:tcBorders>
              <w:top w:val="single" w:color="BDC3C7" w:sz="1"/>
              <w:left w:val="single" w:color="BDC3C7" w:sz="1"/>
              <w:bottom w:val="single" w:color="BDC3C7" w:sz="1"/>
              <w:right w:val="single" w:color="BDC3C7" w:sz="1"/>
            </w:tcBorders>
            <w:shd w:fill="D6E8F5" w:val="clear"/>
            <w:tcMar>
              <w:top w:type="dxa" w:w="80"/>
              <w:left w:type="dxa" w:w="120"/>
              <w:bottom w:type="dxa" w:w="80"/>
              <w:right w:type="dxa" w:w="120"/>
            </w:tcMar>
            <w:vAlign w:val="top"/>
          </w:tcPr>
          <w:p>
            <w:pPr>
              <w:spacing w:after="0" w:before="0"/>
            </w:pPr>
            <w:r>
              <w:rPr>
                <w:rFonts w:ascii="Verdana" w:cs="Verdana" w:eastAsia="Verdana" w:hAnsi="Verdana"/>
                <w:b/>
                <w:bCs/>
                <w:color w:val="1F5C99"/>
                <w:sz w:val="18"/>
                <w:szCs w:val="18"/>
              </w:rPr>
              <w:t xml:space="preserve">Notes / Current Value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targets.annual_target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TargetGenerator, AdjustmentEngine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$188M FY26 target</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targets.seasonality_weights.month_N</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TargetGenerator</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Monthly weight; must sum to 1.0</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targets.planning_mode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TargetGenerator</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full_year | rolling_forward | manual_lock</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allocation.constraints.share_floor/ceiling</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AllocationOptimizer, ValidationEngine</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Min/max segment share (5% / 40%)</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allocation.optimizer_mode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AllocationOptimizer</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greedy | solver</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economics.default_decay.asp.*</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EconomicsEngine</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Exponential ASP decay: threshold=340, rate=0.0005</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economics.default_decay.win_rate.*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EconomicsEngine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Linear CW decay: threshold=260, rate=0.0001</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economics.baseline.aggregation</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DataLoader, EconomicsEngine</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median | mean | mode for baseline computation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economics.confidence.high_threshold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DataLoader</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&gt;= 30 deals = high confidence</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economics.confidence.medium_threshold</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DataLoader</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&gt;= 15 deals = medium confidence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ae_model.starting_hc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AECapacityModel</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85 tenured AEs at FY start</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ae_model.productivity_per_ae</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AECapacityModel</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35 SAOs / fully-ramped AE / month</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ae_model.hiring_plan[*]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AECapacityModel, AdjustmentEngine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4 tranches: Jan(15), Apr(10), Jul(15), Oct(11)</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ae_model.ramp.duration_days</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AECapacityModel</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90 days (linear ramp)</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ae_model.mentoring.overhead_pct_per_new_hire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AECapacityModel</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10% of tenured AE time per mentee</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ae_model.stretch_threshold</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RecoveryEngine, VersionComparator</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1.20 — shared threshold; both modules read this key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ae_model.attrition.annual_rate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AECapacityModel</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15% annual; applied monthly</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system.tolerance</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ValidationEngine, TargetGenerator</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0.001 — numeric tolerance for share/weight checks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system.revenue_tolerance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ValidationEngine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0.01 — 1% tolerance for revenue identity check</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system.low_confidence_threshold</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ValidationEngine</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20% — pass/fail gate for confidence coverage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system.confidence_risk_low_max_pct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VersionComparator</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5% — upper bound of Low risk bucket</w:t>
            </w:r>
          </w:p>
        </w:tc>
      </w:tr>
      <w:tr>
        <w:tc>
          <w:tcPr>
            <w:tcW w:type="dxa" w:w="32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system.confidence_risk_medium_max_pct</w:t>
            </w:r>
          </w:p>
        </w:tc>
        <w:tc>
          <w:tcPr>
            <w:tcW w:type="dxa" w:w="240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VersionComparator</w:t>
            </w:r>
          </w:p>
        </w:tc>
        <w:tc>
          <w:tcPr>
            <w:tcW w:type="dxa" w:w="3760"/>
            <w:tcBorders>
              <w:top w:val="single" w:color="BDC3C7" w:sz="1"/>
              <w:left w:val="single" w:color="BDC3C7" w:sz="1"/>
              <w:bottom w:val="single" w:color="BDC3C7" w:sz="1"/>
              <w:right w:val="single" w:color="BDC3C7" w:sz="1"/>
            </w:tcBorders>
            <w:shd w:fill="F8FAFB"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20% — upper bound of Medium risk; aligns with low_confidence_threshold</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000000"/>
                <w:sz w:val="17"/>
                <w:szCs w:val="17"/>
              </w:rPr>
              <w:t xml:space="preserve">what_if_scenarios[*].enabled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WhatIfEngine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pPr>
            <w:r>
              <w:rPr>
                <w:rFonts w:ascii="Verdana" w:cs="Verdana" w:eastAsia="Verdana" w:hAnsi="Verdana"/>
                <w:b w:val="false"/>
                <w:bCs w:val="false"/>
                <w:color w:val="000000"/>
                <w:sz w:val="18"/>
                <w:szCs w:val="18"/>
              </w:rPr>
              <w:t xml:space="preserve">Per-scenario toggle; all disabled by default</w:t>
            </w:r>
          </w:p>
        </w:tc>
      </w:tr>
    </w:tbl>
    <w:p>
      <w:pPr>
        <w:spacing w:after="320" w:before="0"/>
      </w:pPr>
      <w:r>
        <w:t xml:space="preserve"/>
      </w:r>
    </w:p>
    <w:p>
      <w:pPr>
        <w:pBdr>
          <w:bottom w:val="single" w:color="BDC3C7" w:sz="6" w:space="4"/>
        </w:pBdr>
        <w:spacing w:after="120" w:before="0"/>
      </w:pPr>
      <w:r>
        <w:t xml:space="preserve"/>
      </w:r>
    </w:p>
    <w:p>
      <w:pPr>
        <w:spacing w:after="0" w:before="80"/>
      </w:pPr>
      <w:r>
        <w:rPr>
          <w:rFonts w:ascii="Verdana" w:cs="Verdana" w:eastAsia="Verdana" w:hAnsi="Verdana"/>
          <w:i/>
          <w:iCs/>
          <w:color w:val="555555"/>
          <w:sz w:val="16"/>
          <w:szCs w:val="16"/>
        </w:rPr>
        <w:t xml:space="preserve">GTM Planning Engine  |  Technical Workflow Reference  |  March 2026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tabs>
        <w:tab w:val="right" w:pos="9026"/>
      </w:tabs>
      <w:spacing w:after="0" w:before="120"/>
    </w:pPr>
    <w:r>
      <w:rPr>
        <w:rFonts w:ascii="Verdana" w:cs="Verdana" w:eastAsia="Verdana" w:hAnsi="Verdana"/>
        <w:i/>
        <w:iCs/>
        <w:color w:val="555555"/>
        <w:sz w:val="16"/>
        <w:szCs w:val="16"/>
      </w:rPr>
      <w:t xml:space="preserve">Internal Use Only</w:t>
    </w:r>
    <w:r>
      <w:rPr>
        <w:rFonts w:ascii="Verdana" w:cs="Verdana" w:eastAsia="Verdana" w:hAnsi="Verdana"/>
        <w:color w:val="555555"/>
        <w:sz w:val="16"/>
        <w:szCs w:val="16"/>
      </w:rPr>
      <w:t xml:space="preserve">	Page </w:t>
    </w:r>
    <w:r>
      <w:rPr>
        <w:rFonts w:ascii="Verdana" w:cs="Verdana" w:eastAsia="Verdana" w:hAnsi="Verdan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120" w:before="0"/>
    </w:pPr>
    <w:r>
      <w:rPr>
        <w:rFonts w:ascii="Verdana" w:cs="Verdana" w:eastAsia="Verdana" w:hAnsi="Verdana"/>
        <w:color w:val="555555"/>
        <w:sz w:val="18"/>
        <w:szCs w:val="18"/>
      </w:rPr>
      <w:t xml:space="preserve">GTM Planning Engine  —  Technical Workflow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Verdana" w:cs="Verdana" w:eastAsia="Verdana" w:hAnsi="Verdana"/>
      <w:b/>
      <w:bCs/>
      <w:color w:val="1F5C99"/>
      <w:sz w:val="30"/>
      <w:szCs w:val="30"/>
    </w:rPr>
  </w:style>
  <w:style w:type="paragraph" w:styleId="Heading2">
    <w:name w:val="Heading 2"/>
    <w:basedOn w:val="Normal"/>
    <w:next w:val="Normal"/>
    <w:qFormat/>
    <w:pPr>
      <w:spacing w:after="120" w:before="200"/>
      <w:outlineLvl w:val="1"/>
    </w:pPr>
    <w:rPr>
      <w:rFonts w:ascii="Verdana" w:cs="Verdana" w:eastAsia="Verdana" w:hAnsi="Verdana"/>
      <w:b/>
      <w:bCs/>
      <w:color w:val="2E86C1"/>
      <w:sz w:val="26"/>
      <w:szCs w:val="26"/>
    </w:rPr>
  </w:style>
  <w:style w:type="paragraph" w:styleId="Heading3">
    <w:name w:val="Heading 3"/>
    <w:basedOn w:val="Normal"/>
    <w:next w:val="Normal"/>
    <w:qFormat/>
    <w:pPr>
      <w:spacing w:after="80" w:before="180"/>
      <w:outlineLvl w:val="2"/>
    </w:pPr>
    <w:rPr>
      <w:rFonts w:ascii="Verdana" w:cs="Verdana" w:eastAsia="Verdana" w:hAnsi="Verdana"/>
      <w:b/>
      <w:bCs/>
      <w:color w:val="1F5C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2026-03-29T17:24:42.969Z</dcterms:created>
  <dcterms:modified xsi:type="dcterms:W3CDTF">2026-03-29T17:24:42.969Z</dcterms:modified>
</cp:coreProperties>
</file>

<file path=docProps/custom.xml><?xml version="1.0" encoding="utf-8"?>
<Properties xmlns="http://schemas.openxmlformats.org/officeDocument/2006/custom-properties" xmlns:vt="http://schemas.openxmlformats.org/officeDocument/2006/docPropsVTypes"/>
</file>