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Times New Roman" w:hAnsi="Times New Roman" w:cs="Times New Roman" w:eastAsia="Times New Roman"/>
          <w:b/>
          <w:i w:val="0"/>
          <w:color w:val="1B2A4A"/>
          <w:sz w:val="32"/>
        </w:rPr>
        <w:t>BEFORE YOU SEND THE DESIGNS</w:t>
      </w:r>
    </w:p>
    <w:p>
      <w:pPr>
        <w:spacing w:before="0" w:after="160" w:line="259" w:lineRule="auto"/>
        <w:jc w:val="center"/>
      </w:pPr>
      <w:r>
        <w:rPr>
          <w:rFonts w:ascii="Times New Roman" w:hAnsi="Times New Roman" w:cs="Times New Roman" w:eastAsia="Times New Roman"/>
          <w:b w:val="0"/>
          <w:i/>
          <w:color w:val="1B2A4A"/>
          <w:sz w:val="22"/>
        </w:rPr>
        <w:t>Internal checklist  ·  Do not send this file to the vendor</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This page is for Avenue only. The vendor receives the non-disclosure agreement first, and receives the transmittal and the quotation cover only after that agreement is signed.</w:t>
            </w:r>
          </w:p>
        </w:tc>
      </w:tr>
    </w:tbl>
    <w:p>
      <w:pPr>
        <w:spacing w:after="80"/>
      </w:pPr>
    </w:p>
    <w:p>
      <w:pPr>
        <w:spacing w:before="220" w:after="60" w:line="259" w:lineRule="auto"/>
        <w:jc w:val="left"/>
      </w:pPr>
      <w:r>
        <w:rPr>
          <w:rFonts w:ascii="Times New Roman" w:hAnsi="Times New Roman" w:cs="Times New Roman" w:eastAsia="Times New Roman"/>
          <w:b/>
          <w:i w:val="0"/>
          <w:color w:val="1B2A4A"/>
          <w:sz w:val="24"/>
        </w:rPr>
        <w:t>1.     Fill these blanks before anyone signs</w:t>
      </w:r>
    </w:p>
    <w:p>
      <w:pPr>
        <w:spacing w:before="20" w:after="60" w:line="259" w:lineRule="auto"/>
        <w:ind w:left="425" w:hanging="425"/>
        <w:jc w:val="both"/>
      </w:pP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Registered office address, exactly as on the Certificate of Incorporation.</w:t>
      </w:r>
    </w:p>
    <w:p>
      <w:pPr>
        <w:spacing w:before="20" w:after="60" w:line="259" w:lineRule="auto"/>
        <w:ind w:left="425" w:hanging="425"/>
        <w:jc w:val="both"/>
      </w:pP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CIN, and the company name if the registrar's spelling differs from Avenue Ticketing India Private Limited.</w:t>
      </w:r>
    </w:p>
    <w:p>
      <w:pPr>
        <w:spacing w:before="20" w:after="60" w:line="259" w:lineRule="auto"/>
        <w:ind w:left="425" w:hanging="425"/>
        <w:jc w:val="both"/>
      </w:pP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Your name, designation, notice email, and phone on the signing page.</w:t>
      </w:r>
    </w:p>
    <w:p>
      <w:pPr>
        <w:spacing w:before="20" w:after="60" w:line="259" w:lineRule="auto"/>
        <w:ind w:left="425" w:hanging="425"/>
        <w:jc w:val="both"/>
      </w:pP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The city whose courts should hear a dispute. Delhi and Mumbai have commercial courts used to intellectual-property matters. Use the city your advocate recommends.</w:t>
      </w:r>
    </w:p>
    <w:p>
      <w:pPr>
        <w:spacing w:before="20" w:after="60" w:line="259" w:lineRule="auto"/>
        <w:ind w:left="425" w:hanging="425"/>
        <w:jc w:val="both"/>
      </w:pP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Leave the vendor block blank until you know the legal name, address, and GSTIN of that shop. The name on the agreement should be the name that would appear on a later invoice.</w:t>
      </w:r>
    </w:p>
    <w:p>
      <w:pPr>
        <w:spacing w:before="220" w:after="60" w:line="259" w:lineRule="auto"/>
        <w:jc w:val="left"/>
      </w:pPr>
      <w:r>
        <w:rPr>
          <w:rFonts w:ascii="Times New Roman" w:hAnsi="Times New Roman" w:cs="Times New Roman" w:eastAsia="Times New Roman"/>
          <w:b/>
          <w:i w:val="0"/>
          <w:color w:val="1B2A4A"/>
          <w:sz w:val="24"/>
        </w:rPr>
        <w:t>2.     Have it checked, then stamp it</w:t>
      </w:r>
    </w:p>
    <w:p>
      <w:pPr>
        <w:spacing w:before="0" w:after="120" w:line="259" w:lineRule="auto"/>
        <w:jc w:val="both"/>
      </w:pPr>
      <w:r>
        <w:rPr>
          <w:rFonts w:ascii="Times New Roman" w:hAnsi="Times New Roman" w:cs="Times New Roman" w:eastAsia="Times New Roman"/>
          <w:b w:val="0"/>
          <w:i w:val="0"/>
          <w:sz w:val="22"/>
        </w:rPr>
        <w:t>Ask an advocate to read the draft against the facts of this enquiry. This pack was prepared as a template. It is not a signed opinion.</w:t>
      </w:r>
    </w:p>
    <w:p>
      <w:pPr>
        <w:spacing w:before="0" w:after="120" w:line="259" w:lineRule="auto"/>
        <w:jc w:val="both"/>
      </w:pPr>
      <w:r>
        <w:rPr>
          <w:rFonts w:ascii="Times New Roman" w:hAnsi="Times New Roman" w:cs="Times New Roman" w:eastAsia="Times New Roman"/>
          <w:b w:val="0"/>
          <w:i w:val="0"/>
          <w:sz w:val="22"/>
        </w:rPr>
        <w:t>Execute the agreement on non-judicial stamp paper or e-stamp of the state where it is signed. Section 35 of the Indian Stamp Act, 1899 can keep an unstamped instrument out of evidence until the duty and any penalty are paid. The amount depends on the state. The agreement says Avenue bears that duty, so the shop has one less reason to delay.</w:t>
      </w:r>
    </w:p>
    <w:p>
      <w:pPr>
        <w:spacing w:before="220" w:after="60" w:line="259" w:lineRule="auto"/>
        <w:jc w:val="left"/>
      </w:pPr>
      <w:r>
        <w:rPr>
          <w:rFonts w:ascii="Times New Roman" w:hAnsi="Times New Roman" w:cs="Times New Roman" w:eastAsia="Times New Roman"/>
          <w:b/>
          <w:i w:val="0"/>
          <w:color w:val="1B2A4A"/>
          <w:sz w:val="24"/>
        </w:rPr>
        <w:t>3.     Order of sending</w:t>
      </w:r>
    </w:p>
    <w:p>
      <w:pPr>
        <w:spacing w:before="20" w:after="60" w:line="259" w:lineRule="auto"/>
        <w:ind w:left="425" w:hanging="425"/>
        <w:jc w:val="both"/>
      </w:pP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Send only the non-disclosure agreement. Do not attach drawings, STEP files, photographs, or samples to that email.</w:t>
      </w:r>
    </w:p>
    <w:p>
      <w:pPr>
        <w:spacing w:before="20" w:after="60" w:line="259" w:lineRule="auto"/>
        <w:ind w:left="425" w:hanging="425"/>
        <w:jc w:val="both"/>
      </w:pP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Wait until both parties have signed, and keep a full signed copy.</w:t>
      </w:r>
    </w:p>
    <w:p>
      <w:pPr>
        <w:spacing w:before="20" w:after="60" w:line="259" w:lineRule="auto"/>
        <w:ind w:left="425" w:hanging="425"/>
        <w:jc w:val="both"/>
      </w:pP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Then send the design transmittal, the quotation cover sheet, and the files together.</w:t>
      </w:r>
    </w:p>
    <w:p>
      <w:pPr>
        <w:spacing w:before="20" w:after="60" w:line="259" w:lineRule="auto"/>
        <w:ind w:left="425" w:hanging="425"/>
        <w:jc w:val="both"/>
      </w:pP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Use a named-person link that expires, or an encrypted email. Do not use a public link or a group chat.</w:t>
      </w:r>
    </w:p>
    <w:p>
      <w:pPr>
        <w:spacing w:before="20" w:after="60" w:line="259" w:lineRule="auto"/>
        <w:ind w:left="425" w:hanging="425"/>
        <w:jc w:val="both"/>
      </w:pP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Ask the shop to sign the receipt on the transmittal and return a scan. Keep that scan with the file list. It is your record of what was disclosed, and of who was allowed to open it.</w:t>
      </w:r>
    </w:p>
    <w:p>
      <w:pPr>
        <w:spacing w:before="20" w:after="60" w:line="259" w:lineRule="auto"/>
        <w:ind w:left="425" w:hanging="425"/>
        <w:jc w:val="both"/>
      </w:pP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If the shop will not sign, do not send the design.</w:t>
      </w:r>
    </w:p>
    <w:p>
      <w:pPr>
        <w:spacing w:before="220" w:after="60" w:line="259" w:lineRule="auto"/>
        <w:jc w:val="left"/>
      </w:pPr>
      <w:r>
        <w:rPr>
          <w:rFonts w:ascii="Times New Roman" w:hAnsi="Times New Roman" w:cs="Times New Roman" w:eastAsia="Times New Roman"/>
          <w:b/>
          <w:i w:val="0"/>
          <w:color w:val="1B2A4A"/>
          <w:sz w:val="24"/>
        </w:rPr>
        <w:t>4.     What this pack does, and what it cannot do</w:t>
      </w:r>
    </w:p>
    <w:p>
      <w:pPr>
        <w:spacing w:before="0" w:after="120" w:line="259" w:lineRule="auto"/>
        <w:jc w:val="both"/>
      </w:pPr>
      <w:r>
        <w:rPr>
          <w:rFonts w:ascii="Times New Roman" w:hAnsi="Times New Roman" w:cs="Times New Roman" w:eastAsia="Times New Roman"/>
          <w:b w:val="0"/>
          <w:i w:val="0"/>
          <w:sz w:val="22"/>
        </w:rPr>
        <w:t>The agreement binds the shop that signs it, and the people and approved subcontractors it covers. It does not bind a third party who never signed. It does not take the place of a patent. It does not stop someone from making a part they learned about from a source other than your disclosure.</w:t>
      </w:r>
    </w:p>
    <w:p>
      <w:pPr>
        <w:spacing w:before="0" w:after="120" w:line="259" w:lineRule="auto"/>
        <w:jc w:val="both"/>
      </w:pPr>
      <w:r>
        <w:rPr>
          <w:rFonts w:ascii="Times New Roman" w:hAnsi="Times New Roman" w:cs="Times New Roman" w:eastAsia="Times New Roman"/>
          <w:b w:val="0"/>
          <w:i w:val="0"/>
          <w:sz w:val="22"/>
        </w:rPr>
        <w:t>The agreement does not ban the shop from milling other customers' work. A ban of that kind can fail under section 27 of the Indian Contract Act, 1872, which voids agreements in restraint of trade. The agreement instead bars use of your drawings, models, and part geometry outside the quotation, and outside a purchase order you later issue to that shop.</w:t>
      </w:r>
    </w:p>
    <w:p>
      <w:pPr>
        <w:spacing w:before="0" w:after="120" w:line="259" w:lineRule="auto"/>
        <w:jc w:val="both"/>
      </w:pPr>
      <w:r>
        <w:rPr>
          <w:rFonts w:ascii="Times New Roman" w:hAnsi="Times New Roman" w:cs="Times New Roman" w:eastAsia="Times New Roman"/>
          <w:b w:val="0"/>
          <w:i w:val="0"/>
          <w:sz w:val="22"/>
        </w:rPr>
        <w:t>There is no fixed damages figure. Under section 74 of the Indian Contract Act, 1872, a court can cut a sum that is a penalty rather than a genuine pre-estimate of loss. If you want a figure, ask your advocate to set it. Do not accept a cap equal only to the machining price. The design is worth more than the cutting charge.</w:t>
      </w:r>
    </w:p>
    <w:p>
      <w:pPr>
        <w:spacing w:before="0" w:after="120" w:line="259" w:lineRule="auto"/>
        <w:jc w:val="both"/>
      </w:pPr>
      <w:r>
        <w:rPr>
          <w:rFonts w:ascii="Times New Roman" w:hAnsi="Times New Roman" w:cs="Times New Roman" w:eastAsia="Times New Roman"/>
          <w:b w:val="0"/>
          <w:i w:val="0"/>
          <w:sz w:val="22"/>
        </w:rPr>
        <w:t>If the shop later asks for a mutual agreement, you can discuss that with your advocate. A mutual form also covers the shop's own process notes. It is easier for some shops to sign. It is weaker for you if it is drafted so that their paperwork is protected and your drawings are not clearly covered. Do not sign their paper without reading who the disclosing party is.</w:t>
      </w:r>
    </w:p>
    <w:p>
      <w:pPr>
        <w:spacing w:before="220" w:after="60" w:line="259" w:lineRule="auto"/>
        <w:jc w:val="left"/>
      </w:pPr>
      <w:r>
        <w:rPr>
          <w:rFonts w:ascii="Times New Roman" w:hAnsi="Times New Roman" w:cs="Times New Roman" w:eastAsia="Times New Roman"/>
          <w:b/>
          <w:i w:val="0"/>
          <w:color w:val="1B2A4A"/>
          <w:sz w:val="24"/>
        </w:rPr>
        <w:t>5.     After the quote</w:t>
      </w:r>
    </w:p>
    <w:p>
      <w:pPr>
        <w:spacing w:before="0" w:after="120" w:line="259" w:lineRule="auto"/>
        <w:jc w:val="both"/>
      </w:pPr>
      <w:r>
        <w:rPr>
          <w:rFonts w:ascii="Times New Roman" w:hAnsi="Times New Roman" w:cs="Times New Roman" w:eastAsia="Times New Roman"/>
          <w:b w:val="0"/>
          <w:i w:val="0"/>
          <w:sz w:val="22"/>
        </w:rPr>
        <w:t>If you do not place an order, the agreement requires deletion within the period in clause 9. Ask for the signed destruction certificate and file it.</w:t>
      </w:r>
    </w:p>
    <w:p>
      <w:pPr>
        <w:spacing w:before="0" w:after="120" w:line="259" w:lineRule="auto"/>
        <w:jc w:val="both"/>
      </w:pPr>
      <w:r>
        <w:rPr>
          <w:rFonts w:ascii="Times New Roman" w:hAnsi="Times New Roman" w:cs="Times New Roman" w:eastAsia="Times New Roman"/>
          <w:b w:val="0"/>
          <w:i w:val="0"/>
          <w:sz w:val="22"/>
        </w:rPr>
        <w:t>If you do place an order, issue a purchase order in the same vendor legal name. You do not need a second non-disclosure agreement for that order: clause 1 of the agreement already limits manufacture to parts made for you under a written purchase order. A later purchase order should not contain a sentence that gives the shop a licence in your design. Clause 14.5 says this agreement wins if a purchase order conflicts on confidentiality or intellectual property.</w:t>
      </w:r>
    </w:p>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1" w:color="1B2A4A"/>
      </w:pBdr>
    </w:pPr>
    <w:r>
      <w:rPr>
        <w:rFonts w:ascii="Times New Roman" w:hAnsi="Times New Roman" w:cs="Times New Roman" w:eastAsia="Times New Roman"/>
        <w:b w:val="0"/>
        <w:i w:val="0"/>
        <w:color w:val="444444"/>
        <w:sz w:val="18"/>
      </w:rPr>
      <w:t xml:space="preserve">Internal checklist — do not send this file to the vendor          </w:t>
    </w:r>
    <w:r>
      <w:rPr>
        <w:rFonts w:ascii="Times New Roman" w:hAnsi="Times New Roman" w:cs="Times New Roman" w:eastAsia="Times New Roman"/>
        <w:b w:val="0"/>
        <w:i w:val="0"/>
        <w:color w:val="444444"/>
        <w:sz w:val="18"/>
      </w:rPr>
      <w:t xml:space="preserve">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B2A4A"/>
      </w:pBdr>
    </w:pPr>
    <w:r>
      <w:rPr>
        <w:rFonts w:ascii="Times New Roman" w:hAnsi="Times New Roman" w:cs="Times New Roman" w:eastAsia="Times New Roman"/>
        <w:b w:val="0"/>
        <w:i/>
        <w:color w:val="1B2A4A"/>
        <w:sz w:val="18"/>
      </w:rPr>
      <w:t>Avenue Ticketing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you send CNC designs</dc:title>
  <dc:subject>Internal steps before a CNC quotation</dc:subject>
  <dc:creator>Avenue Ticketing India Private Limited</dc:creator>
  <cp:keywords/>
  <dc:description>generated by python-docx</dc:description>
  <cp:lastModifiedBy/>
  <cp:revision>1</cp:revision>
  <dcterms:created xsi:type="dcterms:W3CDTF">2013-12-23T23:15:00Z</dcterms:created>
  <dcterms:modified xsi:type="dcterms:W3CDTF">2013-12-23T23:15:00Z</dcterms:modified>
  <cp:category>Draft legal template</cp:category>
</cp:coreProperties>
</file>