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ما هي الصياغة الصحيحة للدفع : تقادم الدعوى الجنائية أم سقوط الدعوى الجنائية …؟</w:t>
      </w:r>
    </w:p>
    <w:p>
      <w:r>
        <w:t>ما هي الصياغة الصحيحة للدفع : تقادم الدعوى الجنائية أم سقوط الدعوى الجنائية …؟</w:t>
      </w:r>
    </w:p>
    <w:p>
      <w:r>
        <w:t>عبر المشرع المصري عن أسباب الانقضاء تارة بانقضاء الدعوى الجنائية ـ وتارة بسقوط الدعوى الجنائية ، فمثلاً تنص المادة 14 من قانون الإجراءات الجنائية علي أنه " تنقضي الدعوى الجنائية " وتنص المادة 15 علي أنه " تنقضي الدعوى الجنائية في مواد الجنايات بمضي عشر سنوات …… " علي حين ينص في المادة 259 إجراءات جنائية علي أنه " إذا سقطت الدعوى الجنائية بعد رفعها لسبب من الأسباب الخاصة بها فلا تأثير لذلك علي الدعوى المدنية المرفوعة معها " كما تنص المادة  إجراءات جنائية " الأمر الصادر من قاضي التحقيق بعدم وجود وجه لإقامة الدعوى يمنع من العودة الي التحقيق إلا إذا ظهرت دلائل جديدة قبل انتهاء المدة المقررة لسقوط الدعوى الجنائية   .</w:t>
      </w:r>
    </w:p>
    <w:p>
      <w:r>
        <w:t>______________________</w:t>
      </w:r>
    </w:p>
    <w:p>
      <w:r>
        <w:t>د . مأمون سلامة - المرجع السابق - ص 271 وما بعدها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