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4EE22" w14:textId="7CF54D8C" w:rsidR="00F26FE3" w:rsidRPr="00F26FE3" w:rsidRDefault="00F26FE3" w:rsidP="00F26FE3">
      <w:pPr>
        <w:pStyle w:val="NormalWeb"/>
        <w:shd w:val="clear" w:color="auto" w:fill="FFFFFF"/>
        <w:spacing w:before="120" w:beforeAutospacing="0" w:after="120" w:afterAutospacing="0"/>
        <w:rPr>
          <w:b/>
          <w:bCs/>
          <w:color w:val="202122"/>
          <w:sz w:val="21"/>
          <w:szCs w:val="21"/>
        </w:rPr>
      </w:pPr>
      <w:r w:rsidRPr="00F26FE3">
        <w:rPr>
          <w:b/>
          <w:bCs/>
          <w:color w:val="202122"/>
          <w:sz w:val="21"/>
          <w:szCs w:val="21"/>
        </w:rPr>
        <w:t>Intro</w:t>
      </w:r>
    </w:p>
    <w:p w14:paraId="0335CD26" w14:textId="24526838" w:rsidR="00F26FE3" w:rsidRPr="00F26FE3" w:rsidRDefault="00F26FE3" w:rsidP="00F26FE3">
      <w:pPr>
        <w:pStyle w:val="NormalWeb"/>
        <w:shd w:val="clear" w:color="auto" w:fill="FFFFFF"/>
        <w:spacing w:before="120" w:beforeAutospacing="0" w:after="120" w:afterAutospacing="0"/>
        <w:rPr>
          <w:color w:val="202122"/>
          <w:sz w:val="21"/>
          <w:szCs w:val="21"/>
        </w:rPr>
      </w:pPr>
      <w:proofErr w:type="spellStart"/>
      <w:r w:rsidRPr="00F26FE3">
        <w:rPr>
          <w:b/>
          <w:bCs/>
          <w:color w:val="202122"/>
          <w:sz w:val="21"/>
          <w:szCs w:val="21"/>
        </w:rPr>
        <w:t>Lawachara</w:t>
      </w:r>
      <w:proofErr w:type="spellEnd"/>
      <w:r w:rsidRPr="00F26FE3">
        <w:rPr>
          <w:b/>
          <w:bCs/>
          <w:color w:val="202122"/>
          <w:sz w:val="21"/>
          <w:szCs w:val="21"/>
        </w:rPr>
        <w:t xml:space="preserve"> National Park</w:t>
      </w:r>
      <w:r w:rsidRPr="00F26FE3">
        <w:rPr>
          <w:color w:val="202122"/>
          <w:sz w:val="21"/>
          <w:szCs w:val="21"/>
        </w:rPr>
        <w:t> (Bengali: </w:t>
      </w:r>
      <w:r w:rsidRPr="00F26FE3">
        <w:rPr>
          <w:rFonts w:ascii="Nirmala UI" w:hAnsi="Nirmala UI" w:cs="Nirmala UI" w:hint="cs"/>
          <w:color w:val="202122"/>
          <w:sz w:val="21"/>
          <w:szCs w:val="21"/>
          <w:cs/>
          <w:lang w:bidi="bn-IN"/>
        </w:rPr>
        <w:t>লাউয়াছড়া</w:t>
      </w:r>
      <w:r w:rsidRPr="00F26FE3">
        <w:rPr>
          <w:color w:val="202122"/>
          <w:sz w:val="21"/>
          <w:szCs w:val="21"/>
        </w:rPr>
        <w:t>) is a major national park and nature reserve in Bangladesh. The park is located at </w:t>
      </w:r>
      <w:proofErr w:type="spellStart"/>
      <w:r w:rsidRPr="00F26FE3">
        <w:rPr>
          <w:color w:val="202122"/>
          <w:sz w:val="21"/>
          <w:szCs w:val="21"/>
        </w:rPr>
        <w:t>Kamalganj</w:t>
      </w:r>
      <w:proofErr w:type="spellEnd"/>
      <w:r w:rsidRPr="00F26FE3">
        <w:rPr>
          <w:color w:val="202122"/>
          <w:sz w:val="21"/>
          <w:szCs w:val="21"/>
        </w:rPr>
        <w:t xml:space="preserve"> </w:t>
      </w:r>
      <w:proofErr w:type="spellStart"/>
      <w:r w:rsidRPr="00F26FE3">
        <w:rPr>
          <w:color w:val="202122"/>
          <w:sz w:val="21"/>
          <w:szCs w:val="21"/>
        </w:rPr>
        <w:t>Upazila</w:t>
      </w:r>
      <w:proofErr w:type="spellEnd"/>
      <w:r w:rsidRPr="00F26FE3">
        <w:rPr>
          <w:color w:val="202122"/>
          <w:sz w:val="21"/>
          <w:szCs w:val="21"/>
        </w:rPr>
        <w:t>, </w:t>
      </w:r>
      <w:proofErr w:type="spellStart"/>
      <w:r w:rsidRPr="00F26FE3">
        <w:rPr>
          <w:color w:val="202122"/>
          <w:sz w:val="21"/>
          <w:szCs w:val="21"/>
        </w:rPr>
        <w:t>Moulvibazar</w:t>
      </w:r>
      <w:proofErr w:type="spellEnd"/>
      <w:r w:rsidRPr="00F26FE3">
        <w:rPr>
          <w:color w:val="202122"/>
          <w:sz w:val="21"/>
          <w:szCs w:val="21"/>
        </w:rPr>
        <w:t xml:space="preserve"> District in the northeastern region of the country. It is located within the 2,740 ha (27.4 km</w:t>
      </w:r>
      <w:r w:rsidRPr="00F26FE3">
        <w:rPr>
          <w:color w:val="202122"/>
          <w:sz w:val="17"/>
          <w:szCs w:val="17"/>
          <w:vertAlign w:val="superscript"/>
        </w:rPr>
        <w:t>2</w:t>
      </w:r>
      <w:r w:rsidRPr="00F26FE3">
        <w:rPr>
          <w:color w:val="202122"/>
          <w:sz w:val="21"/>
          <w:szCs w:val="21"/>
        </w:rPr>
        <w:t xml:space="preserve">) West </w:t>
      </w:r>
      <w:proofErr w:type="spellStart"/>
      <w:r w:rsidRPr="00F26FE3">
        <w:rPr>
          <w:color w:val="202122"/>
          <w:sz w:val="21"/>
          <w:szCs w:val="21"/>
        </w:rPr>
        <w:t>Bhanugach</w:t>
      </w:r>
      <w:proofErr w:type="spellEnd"/>
      <w:r w:rsidRPr="00F26FE3">
        <w:rPr>
          <w:color w:val="202122"/>
          <w:sz w:val="21"/>
          <w:szCs w:val="21"/>
        </w:rPr>
        <w:t xml:space="preserve"> Reserved Forest.</w:t>
      </w:r>
      <w:hyperlink r:id="rId6" w:anchor="cite_note-ce-1" w:history="1">
        <w:r w:rsidRPr="00F26FE3">
          <w:rPr>
            <w:rStyle w:val="Hyperlink"/>
            <w:color w:val="0B0080"/>
            <w:sz w:val="17"/>
            <w:szCs w:val="17"/>
            <w:vertAlign w:val="superscript"/>
          </w:rPr>
          <w:t>[1]</w:t>
        </w:r>
      </w:hyperlink>
    </w:p>
    <w:p w14:paraId="420BDE35" w14:textId="52B58616" w:rsidR="00F26FE3" w:rsidRPr="00F26FE3" w:rsidRDefault="00F26FE3" w:rsidP="00F26FE3">
      <w:pPr>
        <w:pStyle w:val="NormalWeb"/>
        <w:shd w:val="clear" w:color="auto" w:fill="FFFFFF"/>
        <w:spacing w:before="120" w:beforeAutospacing="0" w:after="120" w:afterAutospacing="0"/>
        <w:rPr>
          <w:color w:val="202122"/>
          <w:sz w:val="21"/>
          <w:szCs w:val="21"/>
        </w:rPr>
      </w:pPr>
      <w:proofErr w:type="spellStart"/>
      <w:r w:rsidRPr="00F26FE3">
        <w:rPr>
          <w:color w:val="202122"/>
          <w:sz w:val="21"/>
          <w:szCs w:val="21"/>
        </w:rPr>
        <w:t>Lawachara</w:t>
      </w:r>
      <w:proofErr w:type="spellEnd"/>
      <w:r w:rsidRPr="00F26FE3">
        <w:rPr>
          <w:color w:val="202122"/>
          <w:sz w:val="21"/>
          <w:szCs w:val="21"/>
        </w:rPr>
        <w:t xml:space="preserve"> National Park covers approximately 1,250 ha (12.5 km</w:t>
      </w:r>
      <w:r w:rsidRPr="00F26FE3">
        <w:rPr>
          <w:color w:val="202122"/>
          <w:sz w:val="17"/>
          <w:szCs w:val="17"/>
          <w:vertAlign w:val="superscript"/>
        </w:rPr>
        <w:t>2</w:t>
      </w:r>
      <w:r w:rsidRPr="00F26FE3">
        <w:rPr>
          <w:color w:val="202122"/>
          <w:sz w:val="21"/>
          <w:szCs w:val="21"/>
        </w:rPr>
        <w:t>) of semi-evergreen forests Biome and mixed deciduous forests Biome. The land was declared a national park by the Bangladesh government on 7 July 1996 under the Wildlife Act of 1974.</w:t>
      </w:r>
      <w:r w:rsidRPr="00F26FE3">
        <w:rPr>
          <w:color w:val="202122"/>
          <w:sz w:val="21"/>
          <w:szCs w:val="21"/>
        </w:rPr>
        <w:t xml:space="preserve"> </w:t>
      </w:r>
    </w:p>
    <w:p w14:paraId="3B79CBEB" w14:textId="06F598BD" w:rsidR="002C7372" w:rsidRPr="00F26FE3" w:rsidRDefault="002C7372">
      <w:pPr>
        <w:rPr>
          <w:rFonts w:ascii="Times New Roman" w:hAnsi="Times New Roman" w:cs="Times New Roman"/>
        </w:rPr>
      </w:pPr>
    </w:p>
    <w:p w14:paraId="16F14781" w14:textId="4150E639" w:rsidR="00F26FE3" w:rsidRPr="00F26FE3" w:rsidRDefault="00F26FE3">
      <w:pPr>
        <w:rPr>
          <w:rFonts w:ascii="Times New Roman" w:hAnsi="Times New Roman" w:cs="Times New Roman"/>
        </w:rPr>
      </w:pPr>
    </w:p>
    <w:p w14:paraId="45AE7086" w14:textId="0C67C1CD" w:rsidR="00F26FE3" w:rsidRPr="00F26FE3" w:rsidRDefault="00F26FE3">
      <w:pPr>
        <w:rPr>
          <w:rFonts w:ascii="Times New Roman" w:hAnsi="Times New Roman" w:cs="Times New Roman"/>
          <w:b/>
          <w:bCs/>
          <w:sz w:val="32"/>
          <w:szCs w:val="32"/>
        </w:rPr>
      </w:pPr>
      <w:r w:rsidRPr="00F26FE3">
        <w:rPr>
          <w:rFonts w:ascii="Times New Roman" w:hAnsi="Times New Roman" w:cs="Times New Roman"/>
          <w:b/>
          <w:bCs/>
          <w:sz w:val="32"/>
          <w:szCs w:val="32"/>
        </w:rPr>
        <w:t>Location</w:t>
      </w:r>
    </w:p>
    <w:p w14:paraId="38F8A70B" w14:textId="7BF32CCD" w:rsidR="00F26FE3" w:rsidRPr="00F26FE3" w:rsidRDefault="00F26FE3" w:rsidP="00F26FE3">
      <w:pPr>
        <w:pStyle w:val="NormalWeb"/>
        <w:shd w:val="clear" w:color="auto" w:fill="FFFFFF"/>
        <w:spacing w:before="120" w:beforeAutospacing="0" w:after="120" w:afterAutospacing="0"/>
        <w:rPr>
          <w:color w:val="202122"/>
          <w:sz w:val="21"/>
          <w:szCs w:val="21"/>
        </w:rPr>
      </w:pPr>
      <w:proofErr w:type="spellStart"/>
      <w:r w:rsidRPr="00F26FE3">
        <w:rPr>
          <w:color w:val="202122"/>
          <w:sz w:val="21"/>
          <w:szCs w:val="21"/>
        </w:rPr>
        <w:t>Lawachara</w:t>
      </w:r>
      <w:proofErr w:type="spellEnd"/>
      <w:r w:rsidRPr="00F26FE3">
        <w:rPr>
          <w:color w:val="202122"/>
          <w:sz w:val="21"/>
          <w:szCs w:val="21"/>
        </w:rPr>
        <w:t xml:space="preserve"> is about 160 km (99 mi) northeast of Dhaka and 60 km (37 mi) from Sylhet. It is 8 </w:t>
      </w:r>
      <w:proofErr w:type="spellStart"/>
      <w:r w:rsidRPr="00F26FE3">
        <w:rPr>
          <w:color w:val="202122"/>
          <w:sz w:val="21"/>
          <w:szCs w:val="21"/>
        </w:rPr>
        <w:t>kilometres</w:t>
      </w:r>
      <w:proofErr w:type="spellEnd"/>
      <w:r w:rsidRPr="00F26FE3">
        <w:rPr>
          <w:color w:val="202122"/>
          <w:sz w:val="21"/>
          <w:szCs w:val="21"/>
        </w:rPr>
        <w:t xml:space="preserve"> (5.0 mi) from the town of </w:t>
      </w:r>
      <w:proofErr w:type="spellStart"/>
      <w:r w:rsidRPr="00F26FE3">
        <w:rPr>
          <w:color w:val="202122"/>
          <w:sz w:val="21"/>
          <w:szCs w:val="21"/>
        </w:rPr>
        <w:t>Srimongal</w:t>
      </w:r>
      <w:proofErr w:type="spellEnd"/>
      <w:r w:rsidRPr="00F26FE3">
        <w:rPr>
          <w:color w:val="202122"/>
          <w:sz w:val="21"/>
          <w:szCs w:val="21"/>
        </w:rPr>
        <w:t>.</w:t>
      </w:r>
      <w:r w:rsidRPr="00F26FE3">
        <w:rPr>
          <w:color w:val="202122"/>
          <w:sz w:val="21"/>
          <w:szCs w:val="21"/>
        </w:rPr>
        <w:t xml:space="preserve"> </w:t>
      </w:r>
    </w:p>
    <w:p w14:paraId="362D2EA8" w14:textId="686B27D7"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 xml:space="preserve">The terrain of </w:t>
      </w:r>
      <w:proofErr w:type="spellStart"/>
      <w:r w:rsidRPr="00F26FE3">
        <w:rPr>
          <w:color w:val="202122"/>
          <w:sz w:val="21"/>
          <w:szCs w:val="21"/>
        </w:rPr>
        <w:t>Lawachara</w:t>
      </w:r>
      <w:proofErr w:type="spellEnd"/>
      <w:r w:rsidRPr="00F26FE3">
        <w:rPr>
          <w:color w:val="202122"/>
          <w:sz w:val="21"/>
          <w:szCs w:val="21"/>
        </w:rPr>
        <w:t xml:space="preserve"> is undulating with scattered 10 to 50 m (33 to 164 ft) hillocks. Locally known as </w:t>
      </w:r>
      <w:proofErr w:type="spellStart"/>
      <w:r w:rsidRPr="00F26FE3">
        <w:rPr>
          <w:i/>
          <w:iCs/>
          <w:color w:val="202122"/>
          <w:sz w:val="21"/>
          <w:szCs w:val="21"/>
        </w:rPr>
        <w:t>tila</w:t>
      </w:r>
      <w:proofErr w:type="spellEnd"/>
      <w:r w:rsidRPr="00F26FE3">
        <w:rPr>
          <w:color w:val="202122"/>
          <w:sz w:val="21"/>
          <w:szCs w:val="21"/>
        </w:rPr>
        <w:t>, the hillocks are primarily composed of Upper Tertiary soft sandstone. The park is crossed by numerous sandy-bedded streams (locally known as </w:t>
      </w:r>
      <w:r w:rsidRPr="00F26FE3">
        <w:rPr>
          <w:i/>
          <w:iCs/>
          <w:color w:val="202122"/>
          <w:sz w:val="21"/>
          <w:szCs w:val="21"/>
        </w:rPr>
        <w:t>Nallah</w:t>
      </w:r>
      <w:r w:rsidRPr="00F26FE3">
        <w:rPr>
          <w:color w:val="202122"/>
          <w:sz w:val="21"/>
          <w:szCs w:val="21"/>
        </w:rPr>
        <w:t xml:space="preserve">), one of which is the </w:t>
      </w:r>
      <w:proofErr w:type="spellStart"/>
      <w:r w:rsidRPr="00F26FE3">
        <w:rPr>
          <w:color w:val="202122"/>
          <w:sz w:val="21"/>
          <w:szCs w:val="21"/>
        </w:rPr>
        <w:t>Lawachara</w:t>
      </w:r>
      <w:proofErr w:type="spellEnd"/>
      <w:r w:rsidRPr="00F26FE3">
        <w:rPr>
          <w:color w:val="202122"/>
          <w:sz w:val="21"/>
          <w:szCs w:val="21"/>
        </w:rPr>
        <w:t> tributary, from which the park derived its name.</w:t>
      </w:r>
      <w:r w:rsidRPr="00F26FE3">
        <w:rPr>
          <w:color w:val="202122"/>
          <w:sz w:val="21"/>
          <w:szCs w:val="21"/>
        </w:rPr>
        <w:t xml:space="preserve"> </w:t>
      </w:r>
      <w:r w:rsidRPr="00F26FE3">
        <w:rPr>
          <w:color w:val="202122"/>
          <w:sz w:val="21"/>
          <w:szCs w:val="21"/>
        </w:rPr>
        <w:t xml:space="preserve">The soil of </w:t>
      </w:r>
      <w:proofErr w:type="spellStart"/>
      <w:r w:rsidRPr="00F26FE3">
        <w:rPr>
          <w:color w:val="202122"/>
          <w:sz w:val="21"/>
          <w:szCs w:val="21"/>
        </w:rPr>
        <w:t>Lawachara</w:t>
      </w:r>
      <w:proofErr w:type="spellEnd"/>
      <w:r w:rsidRPr="00F26FE3">
        <w:rPr>
          <w:color w:val="202122"/>
          <w:sz w:val="21"/>
          <w:szCs w:val="21"/>
        </w:rPr>
        <w:t xml:space="preserve"> is alluvial brown sandy clay loam to clay loam dating from the Pliocene epoch. Shallow depressions filled with water (</w:t>
      </w:r>
      <w:proofErr w:type="spellStart"/>
      <w:r w:rsidRPr="00F26FE3">
        <w:rPr>
          <w:color w:val="202122"/>
          <w:sz w:val="21"/>
          <w:szCs w:val="21"/>
        </w:rPr>
        <w:t>haor</w:t>
      </w:r>
      <w:proofErr w:type="spellEnd"/>
      <w:r w:rsidRPr="00F26FE3">
        <w:rPr>
          <w:color w:val="202122"/>
          <w:sz w:val="21"/>
          <w:szCs w:val="21"/>
        </w:rPr>
        <w:t> wetlands) are also a feature of the region as the low-lying areas are often subject to flooding.</w:t>
      </w:r>
      <w:r w:rsidRPr="00F26FE3">
        <w:rPr>
          <w:color w:val="202122"/>
          <w:sz w:val="21"/>
          <w:szCs w:val="21"/>
        </w:rPr>
        <w:t xml:space="preserve"> </w:t>
      </w:r>
    </w:p>
    <w:p w14:paraId="7E63BED1" w14:textId="60DCA9B7"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 xml:space="preserve">The climate of </w:t>
      </w:r>
      <w:proofErr w:type="spellStart"/>
      <w:r w:rsidRPr="00F26FE3">
        <w:rPr>
          <w:color w:val="202122"/>
          <w:sz w:val="21"/>
          <w:szCs w:val="21"/>
        </w:rPr>
        <w:t>Lawachara</w:t>
      </w:r>
      <w:proofErr w:type="spellEnd"/>
      <w:r w:rsidRPr="00F26FE3">
        <w:rPr>
          <w:color w:val="202122"/>
          <w:sz w:val="21"/>
          <w:szCs w:val="21"/>
        </w:rPr>
        <w:t xml:space="preserve"> is generally pleasant to warm, averaging at 26.8 °C (80.2 °F) in February to 36.1 °C (97.0 °F) in June. The humidity is high throughout the year, and </w:t>
      </w:r>
      <w:proofErr w:type="spellStart"/>
      <w:r w:rsidRPr="00F26FE3">
        <w:rPr>
          <w:color w:val="202122"/>
          <w:sz w:val="21"/>
          <w:szCs w:val="21"/>
        </w:rPr>
        <w:t>Lawachara</w:t>
      </w:r>
      <w:proofErr w:type="spellEnd"/>
      <w:r w:rsidRPr="00F26FE3">
        <w:rPr>
          <w:color w:val="202122"/>
          <w:sz w:val="21"/>
          <w:szCs w:val="21"/>
        </w:rPr>
        <w:t xml:space="preserve"> experiences frequent rains with occasional cyclonic storms.</w:t>
      </w:r>
      <w:r w:rsidRPr="00F26FE3">
        <w:rPr>
          <w:color w:val="202122"/>
          <w:sz w:val="21"/>
          <w:szCs w:val="21"/>
        </w:rPr>
        <w:t xml:space="preserve"> </w:t>
      </w:r>
    </w:p>
    <w:p w14:paraId="66BB1560" w14:textId="79E41825" w:rsidR="00F26FE3" w:rsidRPr="00F26FE3" w:rsidRDefault="00F26FE3">
      <w:pPr>
        <w:rPr>
          <w:rFonts w:ascii="Times New Roman" w:hAnsi="Times New Roman" w:cs="Times New Roman"/>
        </w:rPr>
      </w:pPr>
    </w:p>
    <w:p w14:paraId="3E7F4AB0" w14:textId="76C48EA8" w:rsidR="00F26FE3" w:rsidRPr="00F26FE3" w:rsidRDefault="00F26FE3" w:rsidP="00F26FE3">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F26FE3">
        <w:rPr>
          <w:rFonts w:ascii="Times New Roman" w:eastAsia="Times New Roman" w:hAnsi="Times New Roman" w:cs="Times New Roman"/>
          <w:b/>
          <w:bCs/>
          <w:color w:val="000000"/>
          <w:sz w:val="29"/>
          <w:szCs w:val="29"/>
        </w:rPr>
        <w:t>Biodiversity</w:t>
      </w:r>
    </w:p>
    <w:p w14:paraId="4367B175" w14:textId="76E0BE90" w:rsidR="00F26FE3" w:rsidRPr="00F26FE3" w:rsidRDefault="00F26FE3">
      <w:pPr>
        <w:rPr>
          <w:rFonts w:ascii="Times New Roman" w:hAnsi="Times New Roman" w:cs="Times New Roman"/>
          <w:color w:val="202122"/>
          <w:sz w:val="21"/>
          <w:szCs w:val="21"/>
          <w:shd w:val="clear" w:color="auto" w:fill="FFFFFF"/>
        </w:rPr>
      </w:pPr>
      <w:r w:rsidRPr="00F26FE3">
        <w:rPr>
          <w:rFonts w:ascii="Times New Roman" w:hAnsi="Times New Roman" w:cs="Times New Roman"/>
          <w:sz w:val="21"/>
          <w:szCs w:val="21"/>
          <w:shd w:val="clear" w:color="auto" w:fill="FFFFFF"/>
        </w:rPr>
        <w:t>Biological diversity</w:t>
      </w:r>
      <w:r w:rsidRPr="00F26FE3">
        <w:rPr>
          <w:rFonts w:ascii="Times New Roman" w:hAnsi="Times New Roman" w:cs="Times New Roman"/>
          <w:color w:val="202122"/>
          <w:sz w:val="21"/>
          <w:szCs w:val="21"/>
          <w:shd w:val="clear" w:color="auto" w:fill="FFFFFF"/>
        </w:rPr>
        <w:t xml:space="preserve"> in the </w:t>
      </w:r>
      <w:proofErr w:type="spellStart"/>
      <w:r w:rsidRPr="00F26FE3">
        <w:rPr>
          <w:rFonts w:ascii="Times New Roman" w:hAnsi="Times New Roman" w:cs="Times New Roman"/>
          <w:color w:val="202122"/>
          <w:sz w:val="21"/>
          <w:szCs w:val="21"/>
          <w:shd w:val="clear" w:color="auto" w:fill="FFFFFF"/>
        </w:rPr>
        <w:t>Lawachara</w:t>
      </w:r>
      <w:proofErr w:type="spellEnd"/>
      <w:r w:rsidRPr="00F26FE3">
        <w:rPr>
          <w:rFonts w:ascii="Times New Roman" w:hAnsi="Times New Roman" w:cs="Times New Roman"/>
          <w:color w:val="202122"/>
          <w:sz w:val="21"/>
          <w:szCs w:val="21"/>
          <w:shd w:val="clear" w:color="auto" w:fill="FFFFFF"/>
        </w:rPr>
        <w:t xml:space="preserve"> National Park consists of 460 species, of which 167 species are plants, 4 </w:t>
      </w:r>
      <w:r w:rsidRPr="00F26FE3">
        <w:rPr>
          <w:rFonts w:ascii="Times New Roman" w:hAnsi="Times New Roman" w:cs="Times New Roman"/>
          <w:sz w:val="21"/>
          <w:szCs w:val="21"/>
          <w:shd w:val="clear" w:color="auto" w:fill="FFFFFF"/>
        </w:rPr>
        <w:t>amphibian</w:t>
      </w:r>
      <w:r w:rsidRPr="00F26FE3">
        <w:rPr>
          <w:rFonts w:ascii="Times New Roman" w:hAnsi="Times New Roman" w:cs="Times New Roman"/>
          <w:color w:val="202122"/>
          <w:sz w:val="21"/>
          <w:szCs w:val="21"/>
          <w:shd w:val="clear" w:color="auto" w:fill="FFFFFF"/>
        </w:rPr>
        <w:t> species, 6 reptile species, 246 bird species, 20 </w:t>
      </w:r>
      <w:r w:rsidRPr="00F26FE3">
        <w:rPr>
          <w:rFonts w:ascii="Times New Roman" w:hAnsi="Times New Roman" w:cs="Times New Roman"/>
          <w:sz w:val="21"/>
          <w:szCs w:val="21"/>
          <w:shd w:val="clear" w:color="auto" w:fill="FFFFFF"/>
        </w:rPr>
        <w:t>mammal</w:t>
      </w:r>
      <w:r w:rsidRPr="00F26FE3">
        <w:rPr>
          <w:rFonts w:ascii="Times New Roman" w:hAnsi="Times New Roman" w:cs="Times New Roman"/>
          <w:color w:val="202122"/>
          <w:sz w:val="21"/>
          <w:szCs w:val="21"/>
          <w:shd w:val="clear" w:color="auto" w:fill="FFFFFF"/>
        </w:rPr>
        <w:t> species, and 17 insect species. One of this is the critically endangered </w:t>
      </w:r>
      <w:r w:rsidRPr="00F26FE3">
        <w:rPr>
          <w:rFonts w:ascii="Times New Roman" w:hAnsi="Times New Roman" w:cs="Times New Roman"/>
          <w:sz w:val="21"/>
          <w:szCs w:val="21"/>
          <w:shd w:val="clear" w:color="auto" w:fill="FFFFFF"/>
        </w:rPr>
        <w:t>western hoolock gibbons</w:t>
      </w:r>
      <w:r w:rsidRPr="00F26FE3">
        <w:rPr>
          <w:rFonts w:ascii="Times New Roman" w:hAnsi="Times New Roman" w:cs="Times New Roman"/>
          <w:color w:val="202122"/>
          <w:sz w:val="21"/>
          <w:szCs w:val="21"/>
          <w:shd w:val="clear" w:color="auto" w:fill="FFFFFF"/>
        </w:rPr>
        <w:t>, of which only 62 individuals remain in the area.</w:t>
      </w:r>
    </w:p>
    <w:p w14:paraId="7041D855" w14:textId="291537C8" w:rsidR="00F26FE3" w:rsidRPr="00F26FE3" w:rsidRDefault="00F26FE3">
      <w:pPr>
        <w:rPr>
          <w:rFonts w:ascii="Times New Roman" w:hAnsi="Times New Roman" w:cs="Times New Roman"/>
          <w:color w:val="202122"/>
          <w:sz w:val="21"/>
          <w:szCs w:val="21"/>
          <w:shd w:val="clear" w:color="auto" w:fill="FFFFFF"/>
        </w:rPr>
      </w:pPr>
    </w:p>
    <w:p w14:paraId="4BBFEBB0" w14:textId="77777777" w:rsidR="00F26FE3" w:rsidRPr="00F26FE3" w:rsidRDefault="00F26FE3" w:rsidP="00F26FE3">
      <w:pPr>
        <w:pStyle w:val="Heading3"/>
        <w:shd w:val="clear" w:color="auto" w:fill="FFFFFF"/>
        <w:spacing w:before="72" w:beforeAutospacing="0" w:after="0" w:afterAutospacing="0"/>
        <w:rPr>
          <w:color w:val="000000"/>
          <w:sz w:val="29"/>
          <w:szCs w:val="29"/>
        </w:rPr>
      </w:pPr>
      <w:r w:rsidRPr="00F26FE3">
        <w:rPr>
          <w:rStyle w:val="mw-headline"/>
          <w:color w:val="000000"/>
          <w:sz w:val="29"/>
          <w:szCs w:val="29"/>
        </w:rPr>
        <w:t>Plant and animal</w:t>
      </w:r>
    </w:p>
    <w:p w14:paraId="7B265568" w14:textId="58E60E6C"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 xml:space="preserve">The forest of </w:t>
      </w:r>
      <w:proofErr w:type="spellStart"/>
      <w:r w:rsidRPr="00F26FE3">
        <w:rPr>
          <w:color w:val="202122"/>
          <w:sz w:val="21"/>
          <w:szCs w:val="21"/>
        </w:rPr>
        <w:t>Lawachara</w:t>
      </w:r>
      <w:proofErr w:type="spellEnd"/>
      <w:r w:rsidRPr="00F26FE3">
        <w:rPr>
          <w:color w:val="202122"/>
          <w:sz w:val="21"/>
          <w:szCs w:val="21"/>
        </w:rPr>
        <w:t xml:space="preserve"> is of a mixed type, with the understory usually composed of evergreens, including </w:t>
      </w:r>
      <w:r w:rsidRPr="00F26FE3">
        <w:rPr>
          <w:i/>
          <w:iCs/>
          <w:color w:val="202122"/>
          <w:sz w:val="21"/>
          <w:szCs w:val="21"/>
        </w:rPr>
        <w:t>Quercus</w:t>
      </w:r>
      <w:r w:rsidRPr="00F26FE3">
        <w:rPr>
          <w:color w:val="202122"/>
          <w:sz w:val="21"/>
          <w:szCs w:val="21"/>
        </w:rPr>
        <w:t>, </w:t>
      </w:r>
      <w:proofErr w:type="spellStart"/>
      <w:r w:rsidRPr="00F26FE3">
        <w:rPr>
          <w:i/>
          <w:iCs/>
          <w:color w:val="202122"/>
          <w:sz w:val="21"/>
          <w:szCs w:val="21"/>
        </w:rPr>
        <w:t>Syzygium</w:t>
      </w:r>
      <w:proofErr w:type="spellEnd"/>
      <w:r w:rsidRPr="00F26FE3">
        <w:rPr>
          <w:color w:val="202122"/>
          <w:sz w:val="21"/>
          <w:szCs w:val="21"/>
        </w:rPr>
        <w:t>, </w:t>
      </w:r>
      <w:r w:rsidRPr="00F26FE3">
        <w:rPr>
          <w:i/>
          <w:iCs/>
          <w:color w:val="202122"/>
          <w:sz w:val="21"/>
          <w:szCs w:val="21"/>
        </w:rPr>
        <w:t>Gmelina</w:t>
      </w:r>
      <w:r w:rsidRPr="00F26FE3">
        <w:rPr>
          <w:color w:val="202122"/>
          <w:sz w:val="21"/>
          <w:szCs w:val="21"/>
        </w:rPr>
        <w:t>, </w:t>
      </w:r>
      <w:proofErr w:type="spellStart"/>
      <w:r w:rsidRPr="00F26FE3">
        <w:rPr>
          <w:i/>
          <w:iCs/>
          <w:color w:val="202122"/>
          <w:sz w:val="21"/>
          <w:szCs w:val="21"/>
        </w:rPr>
        <w:t>Dillenia</w:t>
      </w:r>
      <w:proofErr w:type="spellEnd"/>
      <w:r w:rsidRPr="00F26FE3">
        <w:rPr>
          <w:color w:val="202122"/>
          <w:sz w:val="21"/>
          <w:szCs w:val="21"/>
        </w:rPr>
        <w:t>, </w:t>
      </w:r>
      <w:r w:rsidRPr="00F26FE3">
        <w:rPr>
          <w:i/>
          <w:iCs/>
          <w:color w:val="202122"/>
          <w:sz w:val="21"/>
          <w:szCs w:val="21"/>
        </w:rPr>
        <w:t>Grewia</w:t>
      </w:r>
      <w:r w:rsidRPr="00F26FE3">
        <w:rPr>
          <w:color w:val="202122"/>
          <w:sz w:val="21"/>
          <w:szCs w:val="21"/>
        </w:rPr>
        <w:t>, and </w:t>
      </w:r>
      <w:r w:rsidRPr="00F26FE3">
        <w:rPr>
          <w:i/>
          <w:iCs/>
          <w:color w:val="202122"/>
          <w:sz w:val="21"/>
          <w:szCs w:val="21"/>
        </w:rPr>
        <w:t>Ficus</w:t>
      </w:r>
      <w:r w:rsidRPr="00F26FE3">
        <w:rPr>
          <w:color w:val="202122"/>
          <w:sz w:val="21"/>
          <w:szCs w:val="21"/>
        </w:rPr>
        <w:t>. The upper canopy, meanwhile, is mainly composed of tall deciduous trees including </w:t>
      </w:r>
      <w:r w:rsidRPr="00F26FE3">
        <w:rPr>
          <w:i/>
          <w:iCs/>
          <w:color w:val="202122"/>
          <w:sz w:val="21"/>
          <w:szCs w:val="21"/>
        </w:rPr>
        <w:t>Tectona</w:t>
      </w:r>
      <w:r w:rsidRPr="00F26FE3">
        <w:rPr>
          <w:color w:val="202122"/>
          <w:sz w:val="21"/>
          <w:szCs w:val="21"/>
        </w:rPr>
        <w:t>, </w:t>
      </w:r>
      <w:r w:rsidRPr="00F26FE3">
        <w:rPr>
          <w:i/>
          <w:iCs/>
          <w:color w:val="202122"/>
          <w:sz w:val="21"/>
          <w:szCs w:val="21"/>
        </w:rPr>
        <w:t xml:space="preserve">Artocarpus </w:t>
      </w:r>
      <w:proofErr w:type="spellStart"/>
      <w:r w:rsidRPr="00F26FE3">
        <w:rPr>
          <w:i/>
          <w:iCs/>
          <w:color w:val="202122"/>
          <w:sz w:val="21"/>
          <w:szCs w:val="21"/>
        </w:rPr>
        <w:t>chaplasha</w:t>
      </w:r>
      <w:proofErr w:type="spellEnd"/>
      <w:r w:rsidRPr="00F26FE3">
        <w:rPr>
          <w:color w:val="202122"/>
          <w:sz w:val="21"/>
          <w:szCs w:val="21"/>
        </w:rPr>
        <w:t>, </w:t>
      </w:r>
      <w:proofErr w:type="spellStart"/>
      <w:r w:rsidRPr="00F26FE3">
        <w:rPr>
          <w:i/>
          <w:iCs/>
          <w:color w:val="202122"/>
          <w:sz w:val="21"/>
          <w:szCs w:val="21"/>
        </w:rPr>
        <w:t>Tetrameles</w:t>
      </w:r>
      <w:proofErr w:type="spellEnd"/>
      <w:r w:rsidRPr="00F26FE3">
        <w:rPr>
          <w:color w:val="202122"/>
          <w:sz w:val="21"/>
          <w:szCs w:val="21"/>
        </w:rPr>
        <w:t>, </w:t>
      </w:r>
      <w:proofErr w:type="spellStart"/>
      <w:r w:rsidRPr="00F26FE3">
        <w:rPr>
          <w:i/>
          <w:iCs/>
          <w:color w:val="202122"/>
          <w:sz w:val="21"/>
          <w:szCs w:val="21"/>
        </w:rPr>
        <w:t>Hopea</w:t>
      </w:r>
      <w:proofErr w:type="spellEnd"/>
      <w:r w:rsidRPr="00F26FE3">
        <w:rPr>
          <w:i/>
          <w:iCs/>
          <w:color w:val="202122"/>
          <w:sz w:val="21"/>
          <w:szCs w:val="21"/>
        </w:rPr>
        <w:t xml:space="preserve"> odorata</w:t>
      </w:r>
      <w:r w:rsidRPr="00F26FE3">
        <w:rPr>
          <w:color w:val="202122"/>
          <w:sz w:val="21"/>
          <w:szCs w:val="21"/>
        </w:rPr>
        <w:t>. </w:t>
      </w:r>
      <w:r w:rsidRPr="00F26FE3">
        <w:rPr>
          <w:i/>
          <w:iCs/>
          <w:color w:val="202122"/>
          <w:sz w:val="21"/>
          <w:szCs w:val="21"/>
        </w:rPr>
        <w:t xml:space="preserve">Toona </w:t>
      </w:r>
      <w:proofErr w:type="spellStart"/>
      <w:r w:rsidRPr="00F26FE3">
        <w:rPr>
          <w:i/>
          <w:iCs/>
          <w:color w:val="202122"/>
          <w:sz w:val="21"/>
          <w:szCs w:val="21"/>
        </w:rPr>
        <w:t>ciliata</w:t>
      </w:r>
      <w:proofErr w:type="spellEnd"/>
      <w:r w:rsidRPr="00F26FE3">
        <w:rPr>
          <w:color w:val="202122"/>
          <w:sz w:val="21"/>
          <w:szCs w:val="21"/>
        </w:rPr>
        <w:t>, and </w:t>
      </w:r>
      <w:proofErr w:type="spellStart"/>
      <w:r w:rsidRPr="00F26FE3">
        <w:rPr>
          <w:i/>
          <w:iCs/>
          <w:color w:val="202122"/>
          <w:sz w:val="21"/>
          <w:szCs w:val="21"/>
        </w:rPr>
        <w:t>Pygenum</w:t>
      </w:r>
      <w:proofErr w:type="spellEnd"/>
      <w:r w:rsidRPr="00F26FE3">
        <w:rPr>
          <w:color w:val="202122"/>
          <w:sz w:val="21"/>
          <w:szCs w:val="21"/>
        </w:rPr>
        <w:t xml:space="preserve">. The original indigenous mixed tropical evergreen vegetation had been removed or replaced in the 1920s. It is now mostly secondary forest with small remnant areas of rich primary forest. In the undergrowth are bamboo groves of jai </w:t>
      </w:r>
      <w:proofErr w:type="spellStart"/>
      <w:r w:rsidRPr="00F26FE3">
        <w:rPr>
          <w:color w:val="202122"/>
          <w:sz w:val="21"/>
          <w:szCs w:val="21"/>
        </w:rPr>
        <w:t>bansh</w:t>
      </w:r>
      <w:proofErr w:type="spellEnd"/>
      <w:r w:rsidRPr="00F26FE3">
        <w:rPr>
          <w:color w:val="202122"/>
          <w:sz w:val="21"/>
          <w:szCs w:val="21"/>
        </w:rPr>
        <w:t xml:space="preserve"> (</w:t>
      </w:r>
      <w:proofErr w:type="spellStart"/>
      <w:r w:rsidRPr="00F26FE3">
        <w:rPr>
          <w:i/>
          <w:iCs/>
          <w:color w:val="202122"/>
          <w:sz w:val="21"/>
          <w:szCs w:val="21"/>
        </w:rPr>
        <w:t>Bambusa</w:t>
      </w:r>
      <w:proofErr w:type="spellEnd"/>
      <w:r w:rsidRPr="00F26FE3">
        <w:rPr>
          <w:i/>
          <w:iCs/>
          <w:color w:val="202122"/>
          <w:sz w:val="21"/>
          <w:szCs w:val="21"/>
        </w:rPr>
        <w:t xml:space="preserve"> </w:t>
      </w:r>
      <w:proofErr w:type="spellStart"/>
      <w:r w:rsidRPr="00F26FE3">
        <w:rPr>
          <w:i/>
          <w:iCs/>
          <w:color w:val="202122"/>
          <w:sz w:val="21"/>
          <w:szCs w:val="21"/>
        </w:rPr>
        <w:t>burmanica</w:t>
      </w:r>
      <w:proofErr w:type="spellEnd"/>
      <w:r w:rsidRPr="00F26FE3">
        <w:rPr>
          <w:color w:val="202122"/>
          <w:sz w:val="21"/>
          <w:szCs w:val="21"/>
        </w:rPr>
        <w:t xml:space="preserve">) and </w:t>
      </w:r>
      <w:proofErr w:type="spellStart"/>
      <w:r w:rsidRPr="00F26FE3">
        <w:rPr>
          <w:color w:val="202122"/>
          <w:sz w:val="21"/>
          <w:szCs w:val="21"/>
        </w:rPr>
        <w:t>muli</w:t>
      </w:r>
      <w:proofErr w:type="spellEnd"/>
      <w:r w:rsidRPr="00F26FE3">
        <w:rPr>
          <w:color w:val="202122"/>
          <w:sz w:val="21"/>
          <w:szCs w:val="21"/>
        </w:rPr>
        <w:t xml:space="preserve"> </w:t>
      </w:r>
      <w:proofErr w:type="spellStart"/>
      <w:r w:rsidRPr="00F26FE3">
        <w:rPr>
          <w:color w:val="202122"/>
          <w:sz w:val="21"/>
          <w:szCs w:val="21"/>
        </w:rPr>
        <w:t>bansh</w:t>
      </w:r>
      <w:proofErr w:type="spellEnd"/>
      <w:r w:rsidRPr="00F26FE3">
        <w:rPr>
          <w:color w:val="202122"/>
          <w:sz w:val="21"/>
          <w:szCs w:val="21"/>
        </w:rPr>
        <w:t xml:space="preserve"> (</w:t>
      </w:r>
      <w:proofErr w:type="spellStart"/>
      <w:r w:rsidRPr="00F26FE3">
        <w:rPr>
          <w:i/>
          <w:iCs/>
          <w:color w:val="202122"/>
          <w:sz w:val="21"/>
          <w:szCs w:val="21"/>
        </w:rPr>
        <w:t>Melocanna</w:t>
      </w:r>
      <w:proofErr w:type="spellEnd"/>
      <w:r w:rsidRPr="00F26FE3">
        <w:rPr>
          <w:i/>
          <w:iCs/>
          <w:color w:val="202122"/>
          <w:sz w:val="21"/>
          <w:szCs w:val="21"/>
        </w:rPr>
        <w:t xml:space="preserve"> </w:t>
      </w:r>
      <w:proofErr w:type="spellStart"/>
      <w:r w:rsidRPr="00F26FE3">
        <w:rPr>
          <w:i/>
          <w:iCs/>
          <w:color w:val="202122"/>
          <w:sz w:val="21"/>
          <w:szCs w:val="21"/>
        </w:rPr>
        <w:t>baccifera</w:t>
      </w:r>
      <w:proofErr w:type="spellEnd"/>
      <w:r w:rsidRPr="00F26FE3">
        <w:rPr>
          <w:color w:val="202122"/>
          <w:sz w:val="21"/>
          <w:szCs w:val="21"/>
        </w:rPr>
        <w:t>), as well as several fern species and other epiphytes.</w:t>
      </w:r>
    </w:p>
    <w:p w14:paraId="08A7757D" w14:textId="589CA4C8"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159 plant species belonging to 123 genera and 60 families were studied in 2010. It includes 78 species of trees, 14 species of shrubs, 42 species of herbs, and 25 species of climbers. </w:t>
      </w:r>
      <w:r w:rsidRPr="00F26FE3">
        <w:rPr>
          <w:i/>
          <w:iCs/>
          <w:color w:val="202122"/>
          <w:sz w:val="21"/>
          <w:szCs w:val="21"/>
        </w:rPr>
        <w:t>Ficus</w:t>
      </w:r>
      <w:r w:rsidRPr="00F26FE3">
        <w:rPr>
          <w:color w:val="202122"/>
          <w:sz w:val="21"/>
          <w:szCs w:val="21"/>
        </w:rPr>
        <w:t> (fig trees) and </w:t>
      </w:r>
      <w:proofErr w:type="spellStart"/>
      <w:r w:rsidRPr="00F26FE3">
        <w:rPr>
          <w:i/>
          <w:iCs/>
          <w:color w:val="202122"/>
          <w:sz w:val="21"/>
          <w:szCs w:val="21"/>
        </w:rPr>
        <w:t>Syzygium</w:t>
      </w:r>
      <w:proofErr w:type="spellEnd"/>
      <w:r w:rsidRPr="00F26FE3">
        <w:rPr>
          <w:color w:val="202122"/>
          <w:sz w:val="21"/>
          <w:szCs w:val="21"/>
        </w:rPr>
        <w:t> (brush cherries), each with 7 species, were the most diverse genera. Other notable genera include </w:t>
      </w:r>
      <w:r w:rsidRPr="00F26FE3">
        <w:rPr>
          <w:i/>
          <w:iCs/>
          <w:color w:val="202122"/>
          <w:sz w:val="21"/>
          <w:szCs w:val="21"/>
        </w:rPr>
        <w:t>Terminalia</w:t>
      </w:r>
      <w:r w:rsidRPr="00F26FE3">
        <w:rPr>
          <w:color w:val="202122"/>
          <w:sz w:val="21"/>
          <w:szCs w:val="21"/>
        </w:rPr>
        <w:t>, </w:t>
      </w:r>
      <w:proofErr w:type="spellStart"/>
      <w:r w:rsidRPr="00F26FE3">
        <w:rPr>
          <w:i/>
          <w:iCs/>
          <w:color w:val="202122"/>
          <w:sz w:val="21"/>
          <w:szCs w:val="21"/>
        </w:rPr>
        <w:t>Dioscorea</w:t>
      </w:r>
      <w:proofErr w:type="spellEnd"/>
      <w:r w:rsidRPr="00F26FE3">
        <w:rPr>
          <w:color w:val="202122"/>
          <w:sz w:val="21"/>
          <w:szCs w:val="21"/>
        </w:rPr>
        <w:t> (yams), </w:t>
      </w:r>
      <w:r w:rsidRPr="00F26FE3">
        <w:rPr>
          <w:i/>
          <w:iCs/>
          <w:color w:val="202122"/>
          <w:sz w:val="21"/>
          <w:szCs w:val="21"/>
        </w:rPr>
        <w:t>Artocarpus</w:t>
      </w:r>
      <w:r w:rsidRPr="00F26FE3">
        <w:rPr>
          <w:color w:val="202122"/>
          <w:sz w:val="21"/>
          <w:szCs w:val="21"/>
        </w:rPr>
        <w:t>, </w:t>
      </w:r>
      <w:r w:rsidRPr="00F26FE3">
        <w:rPr>
          <w:i/>
          <w:iCs/>
          <w:color w:val="202122"/>
          <w:sz w:val="21"/>
          <w:szCs w:val="21"/>
        </w:rPr>
        <w:t>Calamus</w:t>
      </w:r>
      <w:r w:rsidRPr="00F26FE3">
        <w:rPr>
          <w:color w:val="202122"/>
          <w:sz w:val="21"/>
          <w:szCs w:val="21"/>
        </w:rPr>
        <w:t> (rattan palm), </w:t>
      </w:r>
      <w:r w:rsidRPr="00F26FE3">
        <w:rPr>
          <w:i/>
          <w:iCs/>
          <w:color w:val="202122"/>
          <w:sz w:val="21"/>
          <w:szCs w:val="21"/>
        </w:rPr>
        <w:t>Piper</w:t>
      </w:r>
      <w:r w:rsidRPr="00F26FE3">
        <w:rPr>
          <w:color w:val="202122"/>
          <w:sz w:val="21"/>
          <w:szCs w:val="21"/>
        </w:rPr>
        <w:t> (pepper vines), </w:t>
      </w:r>
      <w:r w:rsidRPr="00F26FE3">
        <w:rPr>
          <w:i/>
          <w:iCs/>
          <w:color w:val="202122"/>
          <w:sz w:val="21"/>
          <w:szCs w:val="21"/>
        </w:rPr>
        <w:t>Alpinia</w:t>
      </w:r>
      <w:r w:rsidRPr="00F26FE3">
        <w:rPr>
          <w:color w:val="202122"/>
          <w:sz w:val="21"/>
          <w:szCs w:val="21"/>
        </w:rPr>
        <w:t>, and </w:t>
      </w:r>
      <w:r w:rsidRPr="00F26FE3">
        <w:rPr>
          <w:i/>
          <w:iCs/>
          <w:color w:val="202122"/>
          <w:sz w:val="21"/>
          <w:szCs w:val="21"/>
        </w:rPr>
        <w:t>Curcuma</w:t>
      </w:r>
      <w:r w:rsidRPr="00F26FE3">
        <w:rPr>
          <w:color w:val="202122"/>
          <w:sz w:val="21"/>
          <w:szCs w:val="21"/>
        </w:rPr>
        <w:t>. Threatened indigenous plant species include </w:t>
      </w:r>
      <w:proofErr w:type="spellStart"/>
      <w:r w:rsidRPr="00F26FE3">
        <w:rPr>
          <w:i/>
          <w:iCs/>
          <w:color w:val="202122"/>
          <w:sz w:val="21"/>
          <w:szCs w:val="21"/>
        </w:rPr>
        <w:t>Bridelia</w:t>
      </w:r>
      <w:proofErr w:type="spellEnd"/>
      <w:r w:rsidRPr="00F26FE3">
        <w:rPr>
          <w:i/>
          <w:iCs/>
          <w:color w:val="202122"/>
          <w:sz w:val="21"/>
          <w:szCs w:val="21"/>
        </w:rPr>
        <w:t xml:space="preserve"> retusa</w:t>
      </w:r>
      <w:r w:rsidRPr="00F26FE3">
        <w:rPr>
          <w:color w:val="202122"/>
          <w:sz w:val="21"/>
          <w:szCs w:val="21"/>
        </w:rPr>
        <w:t>, </w:t>
      </w:r>
      <w:r w:rsidRPr="00F26FE3">
        <w:rPr>
          <w:i/>
          <w:iCs/>
          <w:color w:val="202122"/>
          <w:sz w:val="21"/>
          <w:szCs w:val="21"/>
        </w:rPr>
        <w:t xml:space="preserve">Zanthoxylum </w:t>
      </w:r>
      <w:proofErr w:type="spellStart"/>
      <w:r w:rsidRPr="00F26FE3">
        <w:rPr>
          <w:i/>
          <w:iCs/>
          <w:color w:val="202122"/>
          <w:sz w:val="21"/>
          <w:szCs w:val="21"/>
        </w:rPr>
        <w:t>rhetsa</w:t>
      </w:r>
      <w:proofErr w:type="spellEnd"/>
      <w:r w:rsidRPr="00F26FE3">
        <w:rPr>
          <w:color w:val="202122"/>
          <w:sz w:val="21"/>
          <w:szCs w:val="21"/>
        </w:rPr>
        <w:t>, </w:t>
      </w:r>
      <w:proofErr w:type="spellStart"/>
      <w:r w:rsidRPr="00F26FE3">
        <w:rPr>
          <w:i/>
          <w:iCs/>
          <w:color w:val="202122"/>
          <w:sz w:val="21"/>
          <w:szCs w:val="21"/>
        </w:rPr>
        <w:t>Alstonia</w:t>
      </w:r>
      <w:proofErr w:type="spellEnd"/>
      <w:r w:rsidRPr="00F26FE3">
        <w:rPr>
          <w:i/>
          <w:iCs/>
          <w:color w:val="202122"/>
          <w:sz w:val="21"/>
          <w:szCs w:val="21"/>
        </w:rPr>
        <w:t xml:space="preserve"> </w:t>
      </w:r>
      <w:proofErr w:type="spellStart"/>
      <w:r w:rsidRPr="00F26FE3">
        <w:rPr>
          <w:i/>
          <w:iCs/>
          <w:color w:val="202122"/>
          <w:sz w:val="21"/>
          <w:szCs w:val="21"/>
        </w:rPr>
        <w:t>scholaris</w:t>
      </w:r>
      <w:proofErr w:type="spellEnd"/>
      <w:r w:rsidRPr="00F26FE3">
        <w:rPr>
          <w:color w:val="202122"/>
          <w:sz w:val="21"/>
          <w:szCs w:val="21"/>
        </w:rPr>
        <w:t>, </w:t>
      </w:r>
      <w:r w:rsidRPr="00F26FE3">
        <w:rPr>
          <w:i/>
          <w:iCs/>
          <w:color w:val="202122"/>
          <w:sz w:val="21"/>
          <w:szCs w:val="21"/>
        </w:rPr>
        <w:t xml:space="preserve">Phyllanthus </w:t>
      </w:r>
      <w:proofErr w:type="spellStart"/>
      <w:r w:rsidRPr="00F26FE3">
        <w:rPr>
          <w:i/>
          <w:iCs/>
          <w:color w:val="202122"/>
          <w:sz w:val="21"/>
          <w:szCs w:val="21"/>
        </w:rPr>
        <w:t>emblica</w:t>
      </w:r>
      <w:proofErr w:type="spellEnd"/>
      <w:r w:rsidRPr="00F26FE3">
        <w:rPr>
          <w:color w:val="202122"/>
          <w:sz w:val="21"/>
          <w:szCs w:val="21"/>
        </w:rPr>
        <w:t>, </w:t>
      </w:r>
      <w:r w:rsidRPr="00F26FE3">
        <w:rPr>
          <w:i/>
          <w:iCs/>
          <w:color w:val="202122"/>
          <w:sz w:val="21"/>
          <w:szCs w:val="21"/>
        </w:rPr>
        <w:t>Cassia fistula</w:t>
      </w:r>
      <w:r w:rsidRPr="00F26FE3">
        <w:rPr>
          <w:color w:val="202122"/>
          <w:sz w:val="21"/>
          <w:szCs w:val="21"/>
        </w:rPr>
        <w:t>, </w:t>
      </w:r>
      <w:proofErr w:type="spellStart"/>
      <w:r w:rsidRPr="00F26FE3">
        <w:rPr>
          <w:i/>
          <w:iCs/>
          <w:color w:val="202122"/>
          <w:sz w:val="21"/>
          <w:szCs w:val="21"/>
        </w:rPr>
        <w:t>Orexylum</w:t>
      </w:r>
      <w:proofErr w:type="spellEnd"/>
      <w:r w:rsidRPr="00F26FE3">
        <w:rPr>
          <w:i/>
          <w:iCs/>
          <w:color w:val="202122"/>
          <w:sz w:val="21"/>
          <w:szCs w:val="21"/>
        </w:rPr>
        <w:t xml:space="preserve"> indicum</w:t>
      </w:r>
      <w:r w:rsidRPr="00F26FE3">
        <w:rPr>
          <w:color w:val="202122"/>
          <w:sz w:val="21"/>
          <w:szCs w:val="21"/>
        </w:rPr>
        <w:t>, </w:t>
      </w:r>
      <w:proofErr w:type="spellStart"/>
      <w:r w:rsidRPr="00F26FE3">
        <w:rPr>
          <w:i/>
          <w:iCs/>
          <w:color w:val="202122"/>
          <w:sz w:val="21"/>
          <w:szCs w:val="21"/>
        </w:rPr>
        <w:t>Semocarpus</w:t>
      </w:r>
      <w:proofErr w:type="spellEnd"/>
      <w:r w:rsidRPr="00F26FE3">
        <w:rPr>
          <w:i/>
          <w:iCs/>
          <w:color w:val="202122"/>
          <w:sz w:val="21"/>
          <w:szCs w:val="21"/>
        </w:rPr>
        <w:t xml:space="preserve"> anacardium</w:t>
      </w:r>
      <w:r w:rsidRPr="00F26FE3">
        <w:rPr>
          <w:color w:val="202122"/>
          <w:sz w:val="21"/>
          <w:szCs w:val="21"/>
        </w:rPr>
        <w:t>, and </w:t>
      </w:r>
      <w:proofErr w:type="spellStart"/>
      <w:r w:rsidRPr="00F26FE3">
        <w:rPr>
          <w:i/>
          <w:iCs/>
          <w:color w:val="202122"/>
          <w:sz w:val="21"/>
          <w:szCs w:val="21"/>
        </w:rPr>
        <w:t>Garuga</w:t>
      </w:r>
      <w:proofErr w:type="spellEnd"/>
      <w:r w:rsidRPr="00F26FE3">
        <w:rPr>
          <w:i/>
          <w:iCs/>
          <w:color w:val="202122"/>
          <w:sz w:val="21"/>
          <w:szCs w:val="21"/>
        </w:rPr>
        <w:t xml:space="preserve"> pinnata</w:t>
      </w:r>
      <w:r w:rsidRPr="00F26FE3">
        <w:rPr>
          <w:color w:val="202122"/>
          <w:sz w:val="21"/>
          <w:szCs w:val="21"/>
        </w:rPr>
        <w:t>.</w:t>
      </w:r>
    </w:p>
    <w:p w14:paraId="6088ED5E" w14:textId="5C993AB0"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lastRenderedPageBreak/>
        <w:t>The western hoolock gibbon (</w:t>
      </w:r>
      <w:r w:rsidRPr="00F26FE3">
        <w:rPr>
          <w:i/>
          <w:iCs/>
          <w:color w:val="202122"/>
          <w:sz w:val="21"/>
          <w:szCs w:val="21"/>
        </w:rPr>
        <w:t>Hoolock hoolock</w:t>
      </w:r>
      <w:r w:rsidRPr="00F26FE3">
        <w:rPr>
          <w:color w:val="202122"/>
          <w:sz w:val="21"/>
          <w:szCs w:val="21"/>
        </w:rPr>
        <w:t>) is a higher primate found in </w:t>
      </w:r>
      <w:r w:rsidRPr="00F26FE3">
        <w:rPr>
          <w:color w:val="202122"/>
          <w:sz w:val="21"/>
          <w:szCs w:val="21"/>
        </w:rPr>
        <w:t>India</w:t>
      </w:r>
      <w:r w:rsidRPr="00F26FE3">
        <w:rPr>
          <w:color w:val="202122"/>
          <w:sz w:val="21"/>
          <w:szCs w:val="21"/>
        </w:rPr>
        <w:t xml:space="preserve">. It is one of the top 25 most endangered primates and one of the six non-human primate species found in </w:t>
      </w:r>
      <w:proofErr w:type="spellStart"/>
      <w:r w:rsidRPr="00F26FE3">
        <w:rPr>
          <w:color w:val="202122"/>
          <w:sz w:val="21"/>
          <w:szCs w:val="21"/>
        </w:rPr>
        <w:t>Lawachara</w:t>
      </w:r>
      <w:proofErr w:type="spellEnd"/>
      <w:r w:rsidRPr="00F26FE3">
        <w:rPr>
          <w:color w:val="202122"/>
          <w:sz w:val="21"/>
          <w:szCs w:val="21"/>
        </w:rPr>
        <w:t>.</w:t>
      </w:r>
      <w:hyperlink r:id="rId7" w:anchor="cite_note-2008-2010Top25-8" w:history="1">
        <w:r w:rsidRPr="00F26FE3">
          <w:rPr>
            <w:rStyle w:val="Hyperlink"/>
            <w:color w:val="0B0080"/>
            <w:sz w:val="17"/>
            <w:szCs w:val="17"/>
            <w:vertAlign w:val="superscript"/>
          </w:rPr>
          <w:t>[8]</w:t>
        </w:r>
      </w:hyperlink>
      <w:r w:rsidRPr="00F26FE3">
        <w:rPr>
          <w:color w:val="202122"/>
          <w:sz w:val="21"/>
          <w:szCs w:val="21"/>
        </w:rPr>
        <w:t xml:space="preserve"> In a census in 2007, only 62 individuals in 17 groups were found in </w:t>
      </w:r>
      <w:proofErr w:type="spellStart"/>
      <w:r w:rsidRPr="00F26FE3">
        <w:rPr>
          <w:color w:val="202122"/>
          <w:sz w:val="21"/>
          <w:szCs w:val="21"/>
        </w:rPr>
        <w:t>Lawachara</w:t>
      </w:r>
      <w:proofErr w:type="spellEnd"/>
      <w:r w:rsidRPr="00F26FE3">
        <w:rPr>
          <w:color w:val="202122"/>
          <w:sz w:val="21"/>
          <w:szCs w:val="21"/>
        </w:rPr>
        <w:t xml:space="preserve"> and in the greater West </w:t>
      </w:r>
      <w:proofErr w:type="spellStart"/>
      <w:r w:rsidRPr="00F26FE3">
        <w:rPr>
          <w:color w:val="202122"/>
          <w:sz w:val="21"/>
          <w:szCs w:val="21"/>
        </w:rPr>
        <w:t>Bhanugach</w:t>
      </w:r>
      <w:proofErr w:type="spellEnd"/>
      <w:r w:rsidRPr="00F26FE3">
        <w:rPr>
          <w:color w:val="202122"/>
          <w:sz w:val="21"/>
          <w:szCs w:val="21"/>
        </w:rPr>
        <w:t xml:space="preserve"> Reserved Forest. Yet this is the biggest surviving gibbon population in Bangladesh. The </w:t>
      </w:r>
      <w:proofErr w:type="spellStart"/>
      <w:r w:rsidRPr="00F26FE3">
        <w:rPr>
          <w:color w:val="202122"/>
          <w:sz w:val="21"/>
          <w:szCs w:val="21"/>
        </w:rPr>
        <w:t>Lawachara</w:t>
      </w:r>
      <w:proofErr w:type="spellEnd"/>
      <w:r w:rsidRPr="00F26FE3">
        <w:rPr>
          <w:color w:val="202122"/>
          <w:sz w:val="21"/>
          <w:szCs w:val="21"/>
        </w:rPr>
        <w:t xml:space="preserve"> population is considered of critical importance as it is likely to be the last viable population of western hoolock gibbons that will survive into the next century.</w:t>
      </w:r>
      <w:r w:rsidRPr="00F26FE3">
        <w:rPr>
          <w:color w:val="202122"/>
          <w:sz w:val="21"/>
          <w:szCs w:val="21"/>
        </w:rPr>
        <w:t xml:space="preserve"> </w:t>
      </w:r>
    </w:p>
    <w:p w14:paraId="7D6D6421" w14:textId="68A72FEF" w:rsidR="00F26FE3" w:rsidRPr="00F26FE3" w:rsidRDefault="00F26FE3" w:rsidP="00F26FE3">
      <w:pPr>
        <w:pStyle w:val="NormalWeb"/>
        <w:shd w:val="clear" w:color="auto" w:fill="FFFFFF"/>
        <w:spacing w:before="120" w:beforeAutospacing="0" w:after="120" w:afterAutospacing="0"/>
        <w:rPr>
          <w:color w:val="202122"/>
          <w:sz w:val="21"/>
          <w:szCs w:val="21"/>
        </w:rPr>
      </w:pPr>
    </w:p>
    <w:p w14:paraId="70E6DE08" w14:textId="088BD073" w:rsidR="00F26FE3" w:rsidRPr="00F26FE3" w:rsidRDefault="00F26FE3" w:rsidP="00F26FE3">
      <w:pPr>
        <w:pStyle w:val="NormalWeb"/>
        <w:shd w:val="clear" w:color="auto" w:fill="FFFFFF"/>
        <w:spacing w:before="120" w:beforeAutospacing="0" w:after="120" w:afterAutospacing="0"/>
        <w:rPr>
          <w:b/>
          <w:bCs/>
          <w:color w:val="202122"/>
          <w:sz w:val="28"/>
          <w:szCs w:val="28"/>
        </w:rPr>
      </w:pPr>
      <w:r w:rsidRPr="00F26FE3">
        <w:rPr>
          <w:b/>
          <w:bCs/>
          <w:color w:val="202122"/>
          <w:sz w:val="28"/>
          <w:szCs w:val="28"/>
        </w:rPr>
        <w:t>Human Settlement</w:t>
      </w:r>
    </w:p>
    <w:p w14:paraId="3ED7E3EA" w14:textId="54762F06"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 xml:space="preserve">There are about eighteen villages near </w:t>
      </w:r>
      <w:proofErr w:type="spellStart"/>
      <w:r w:rsidRPr="00F26FE3">
        <w:rPr>
          <w:color w:val="202122"/>
          <w:sz w:val="21"/>
          <w:szCs w:val="21"/>
        </w:rPr>
        <w:t>Lawachara</w:t>
      </w:r>
      <w:proofErr w:type="spellEnd"/>
      <w:r w:rsidRPr="00F26FE3">
        <w:rPr>
          <w:color w:val="202122"/>
          <w:sz w:val="21"/>
          <w:szCs w:val="21"/>
        </w:rPr>
        <w:t>. Two of them (</w:t>
      </w:r>
      <w:proofErr w:type="spellStart"/>
      <w:r w:rsidRPr="00F26FE3">
        <w:rPr>
          <w:color w:val="202122"/>
          <w:sz w:val="21"/>
          <w:szCs w:val="21"/>
        </w:rPr>
        <w:t>Magurchara</w:t>
      </w:r>
      <w:proofErr w:type="spellEnd"/>
      <w:r w:rsidRPr="00F26FE3">
        <w:rPr>
          <w:color w:val="202122"/>
          <w:sz w:val="21"/>
          <w:szCs w:val="21"/>
        </w:rPr>
        <w:t xml:space="preserve"> punji and </w:t>
      </w:r>
      <w:proofErr w:type="spellStart"/>
      <w:r w:rsidRPr="00F26FE3">
        <w:rPr>
          <w:color w:val="202122"/>
          <w:sz w:val="21"/>
          <w:szCs w:val="21"/>
        </w:rPr>
        <w:t>Lawachara</w:t>
      </w:r>
      <w:proofErr w:type="spellEnd"/>
      <w:r w:rsidRPr="00F26FE3">
        <w:rPr>
          <w:color w:val="202122"/>
          <w:sz w:val="21"/>
          <w:szCs w:val="21"/>
        </w:rPr>
        <w:t xml:space="preserve"> punji) are located within the boundaries of the park. Indigenous peoples in the area include the Christian </w:t>
      </w:r>
      <w:proofErr w:type="spellStart"/>
      <w:r w:rsidRPr="00F26FE3">
        <w:rPr>
          <w:color w:val="202122"/>
          <w:sz w:val="21"/>
          <w:szCs w:val="21"/>
        </w:rPr>
        <w:t>Khasia</w:t>
      </w:r>
      <w:proofErr w:type="spellEnd"/>
      <w:r w:rsidRPr="00F26FE3">
        <w:rPr>
          <w:color w:val="202122"/>
          <w:sz w:val="21"/>
          <w:szCs w:val="21"/>
        </w:rPr>
        <w:t xml:space="preserve"> people, the Hindu Tripuri people, the </w:t>
      </w:r>
      <w:proofErr w:type="spellStart"/>
      <w:r w:rsidRPr="00F26FE3">
        <w:rPr>
          <w:color w:val="202122"/>
          <w:sz w:val="21"/>
          <w:szCs w:val="21"/>
        </w:rPr>
        <w:t>Tipra</w:t>
      </w:r>
      <w:proofErr w:type="spellEnd"/>
      <w:r w:rsidRPr="00F26FE3">
        <w:rPr>
          <w:color w:val="202122"/>
          <w:sz w:val="21"/>
          <w:szCs w:val="21"/>
        </w:rPr>
        <w:t xml:space="preserve"> people, and the </w:t>
      </w:r>
      <w:proofErr w:type="spellStart"/>
      <w:r w:rsidRPr="00F26FE3">
        <w:rPr>
          <w:color w:val="202122"/>
          <w:sz w:val="21"/>
          <w:szCs w:val="21"/>
        </w:rPr>
        <w:t>Monipuri</w:t>
      </w:r>
      <w:proofErr w:type="spellEnd"/>
      <w:r w:rsidRPr="00F26FE3">
        <w:rPr>
          <w:color w:val="202122"/>
          <w:sz w:val="21"/>
          <w:szCs w:val="21"/>
        </w:rPr>
        <w:t xml:space="preserve"> people. The rest of the population are mostly Muslim migrants from Noakhali, Comilla, and Assam.</w:t>
      </w:r>
      <w:r w:rsidRPr="00F26FE3">
        <w:rPr>
          <w:color w:val="202122"/>
          <w:sz w:val="21"/>
          <w:szCs w:val="21"/>
        </w:rPr>
        <w:t xml:space="preserve"> </w:t>
      </w:r>
      <w:r w:rsidRPr="00F26FE3">
        <w:rPr>
          <w:color w:val="202122"/>
          <w:sz w:val="21"/>
          <w:szCs w:val="21"/>
        </w:rPr>
        <w:t xml:space="preserve">There is a mosque located off </w:t>
      </w:r>
      <w:proofErr w:type="spellStart"/>
      <w:r w:rsidRPr="00F26FE3">
        <w:rPr>
          <w:color w:val="202122"/>
          <w:sz w:val="21"/>
          <w:szCs w:val="21"/>
        </w:rPr>
        <w:t>Srimangal-Bhanugach</w:t>
      </w:r>
      <w:proofErr w:type="spellEnd"/>
      <w:r w:rsidRPr="00F26FE3">
        <w:rPr>
          <w:color w:val="202122"/>
          <w:sz w:val="21"/>
          <w:szCs w:val="21"/>
        </w:rPr>
        <w:t xml:space="preserve"> Road called </w:t>
      </w:r>
      <w:proofErr w:type="spellStart"/>
      <w:r w:rsidRPr="00F26FE3">
        <w:rPr>
          <w:color w:val="202122"/>
          <w:sz w:val="21"/>
          <w:szCs w:val="21"/>
        </w:rPr>
        <w:t>Lawachara</w:t>
      </w:r>
      <w:proofErr w:type="spellEnd"/>
      <w:r w:rsidRPr="00F26FE3">
        <w:rPr>
          <w:color w:val="202122"/>
          <w:sz w:val="21"/>
          <w:szCs w:val="21"/>
        </w:rPr>
        <w:t xml:space="preserve"> </w:t>
      </w:r>
      <w:proofErr w:type="spellStart"/>
      <w:r w:rsidRPr="00F26FE3">
        <w:rPr>
          <w:color w:val="202122"/>
          <w:sz w:val="21"/>
          <w:szCs w:val="21"/>
        </w:rPr>
        <w:t>Jame</w:t>
      </w:r>
      <w:proofErr w:type="spellEnd"/>
      <w:r w:rsidRPr="00F26FE3">
        <w:rPr>
          <w:color w:val="202122"/>
          <w:sz w:val="21"/>
          <w:szCs w:val="21"/>
        </w:rPr>
        <w:t xml:space="preserve"> Mosque.</w:t>
      </w:r>
    </w:p>
    <w:p w14:paraId="7B4F552E" w14:textId="5D6AC926" w:rsidR="00F26FE3" w:rsidRPr="00F26FE3" w:rsidRDefault="00F26FE3" w:rsidP="00F26FE3">
      <w:pPr>
        <w:pStyle w:val="NormalWeb"/>
        <w:shd w:val="clear" w:color="auto" w:fill="FFFFFF"/>
        <w:spacing w:before="120" w:beforeAutospacing="0" w:after="120" w:afterAutospacing="0"/>
        <w:rPr>
          <w:color w:val="202122"/>
          <w:sz w:val="21"/>
          <w:szCs w:val="21"/>
        </w:rPr>
      </w:pPr>
      <w:r w:rsidRPr="00F26FE3">
        <w:rPr>
          <w:color w:val="202122"/>
          <w:sz w:val="21"/>
          <w:szCs w:val="21"/>
        </w:rPr>
        <w:t>Registered forest villagers have certain rights within the reserve. This includes wood collection for fuel and building materials, hunting, betel leaf production, grazing of livestock, harvesting of other forest products, and limited agriculture in allocated land.</w:t>
      </w:r>
      <w:r w:rsidRPr="00F26FE3">
        <w:rPr>
          <w:color w:val="202122"/>
          <w:sz w:val="21"/>
          <w:szCs w:val="21"/>
        </w:rPr>
        <w:t xml:space="preserve"> </w:t>
      </w:r>
    </w:p>
    <w:p w14:paraId="425EC208" w14:textId="48467F07" w:rsidR="00F26FE3" w:rsidRPr="00F26FE3" w:rsidRDefault="00F26FE3" w:rsidP="00F26FE3">
      <w:pPr>
        <w:pStyle w:val="NormalWeb"/>
        <w:shd w:val="clear" w:color="auto" w:fill="FFFFFF"/>
        <w:spacing w:before="120" w:beforeAutospacing="0" w:after="120" w:afterAutospacing="0"/>
        <w:rPr>
          <w:b/>
          <w:bCs/>
          <w:color w:val="202122"/>
          <w:sz w:val="28"/>
          <w:szCs w:val="28"/>
        </w:rPr>
      </w:pPr>
    </w:p>
    <w:p w14:paraId="53840C61" w14:textId="77777777" w:rsidR="00F26FE3" w:rsidRPr="00F26FE3" w:rsidRDefault="00F26FE3" w:rsidP="00F26FE3">
      <w:pPr>
        <w:pStyle w:val="NormalWeb"/>
        <w:shd w:val="clear" w:color="auto" w:fill="FFFFFF"/>
        <w:spacing w:before="120" w:beforeAutospacing="0" w:after="120" w:afterAutospacing="0"/>
        <w:rPr>
          <w:b/>
          <w:bCs/>
          <w:color w:val="202122"/>
          <w:sz w:val="28"/>
          <w:szCs w:val="28"/>
        </w:rPr>
      </w:pPr>
    </w:p>
    <w:sectPr w:rsidR="00F26FE3" w:rsidRPr="00F26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0A2BA" w14:textId="77777777" w:rsidR="00DF2E0C" w:rsidRDefault="00DF2E0C" w:rsidP="00F26FE3">
      <w:pPr>
        <w:spacing w:after="0" w:line="240" w:lineRule="auto"/>
      </w:pPr>
      <w:r>
        <w:separator/>
      </w:r>
    </w:p>
  </w:endnote>
  <w:endnote w:type="continuationSeparator" w:id="0">
    <w:p w14:paraId="66CD2061" w14:textId="77777777" w:rsidR="00DF2E0C" w:rsidRDefault="00DF2E0C" w:rsidP="00F2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48393" w14:textId="77777777" w:rsidR="00DF2E0C" w:rsidRDefault="00DF2E0C" w:rsidP="00F26FE3">
      <w:pPr>
        <w:spacing w:after="0" w:line="240" w:lineRule="auto"/>
      </w:pPr>
      <w:r>
        <w:separator/>
      </w:r>
    </w:p>
  </w:footnote>
  <w:footnote w:type="continuationSeparator" w:id="0">
    <w:p w14:paraId="1003B424" w14:textId="77777777" w:rsidR="00DF2E0C" w:rsidRDefault="00DF2E0C" w:rsidP="00F26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E3"/>
    <w:rsid w:val="002C7372"/>
    <w:rsid w:val="00DF2E0C"/>
    <w:rsid w:val="00F2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9E89"/>
  <w15:chartTrackingRefBased/>
  <w15:docId w15:val="{E0F013D0-25D8-44B3-A812-43FA8D65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6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6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FE3"/>
  </w:style>
  <w:style w:type="paragraph" w:styleId="Footer">
    <w:name w:val="footer"/>
    <w:basedOn w:val="Normal"/>
    <w:link w:val="FooterChar"/>
    <w:uiPriority w:val="99"/>
    <w:unhideWhenUsed/>
    <w:rsid w:val="00F2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FE3"/>
  </w:style>
  <w:style w:type="paragraph" w:styleId="NormalWeb">
    <w:name w:val="Normal (Web)"/>
    <w:basedOn w:val="Normal"/>
    <w:uiPriority w:val="99"/>
    <w:unhideWhenUsed/>
    <w:rsid w:val="00F26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6FE3"/>
    <w:rPr>
      <w:color w:val="0000FF"/>
      <w:u w:val="single"/>
    </w:rPr>
  </w:style>
  <w:style w:type="character" w:customStyle="1" w:styleId="Heading3Char">
    <w:name w:val="Heading 3 Char"/>
    <w:basedOn w:val="DefaultParagraphFont"/>
    <w:link w:val="Heading3"/>
    <w:uiPriority w:val="9"/>
    <w:rsid w:val="00F26FE3"/>
    <w:rPr>
      <w:rFonts w:ascii="Times New Roman" w:eastAsia="Times New Roman" w:hAnsi="Times New Roman" w:cs="Times New Roman"/>
      <w:b/>
      <w:bCs/>
      <w:sz w:val="27"/>
      <w:szCs w:val="27"/>
    </w:rPr>
  </w:style>
  <w:style w:type="character" w:customStyle="1" w:styleId="mw-headline">
    <w:name w:val="mw-headline"/>
    <w:basedOn w:val="DefaultParagraphFont"/>
    <w:rsid w:val="00F26FE3"/>
  </w:style>
  <w:style w:type="character" w:customStyle="1" w:styleId="Heading2Char">
    <w:name w:val="Heading 2 Char"/>
    <w:basedOn w:val="DefaultParagraphFont"/>
    <w:link w:val="Heading2"/>
    <w:uiPriority w:val="9"/>
    <w:rsid w:val="00F26F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6841">
      <w:bodyDiv w:val="1"/>
      <w:marLeft w:val="0"/>
      <w:marRight w:val="0"/>
      <w:marTop w:val="0"/>
      <w:marBottom w:val="0"/>
      <w:divBdr>
        <w:top w:val="none" w:sz="0" w:space="0" w:color="auto"/>
        <w:left w:val="none" w:sz="0" w:space="0" w:color="auto"/>
        <w:bottom w:val="none" w:sz="0" w:space="0" w:color="auto"/>
        <w:right w:val="none" w:sz="0" w:space="0" w:color="auto"/>
      </w:divBdr>
    </w:div>
    <w:div w:id="75784967">
      <w:bodyDiv w:val="1"/>
      <w:marLeft w:val="0"/>
      <w:marRight w:val="0"/>
      <w:marTop w:val="0"/>
      <w:marBottom w:val="0"/>
      <w:divBdr>
        <w:top w:val="none" w:sz="0" w:space="0" w:color="auto"/>
        <w:left w:val="none" w:sz="0" w:space="0" w:color="auto"/>
        <w:bottom w:val="none" w:sz="0" w:space="0" w:color="auto"/>
        <w:right w:val="none" w:sz="0" w:space="0" w:color="auto"/>
      </w:divBdr>
    </w:div>
    <w:div w:id="483199982">
      <w:bodyDiv w:val="1"/>
      <w:marLeft w:val="0"/>
      <w:marRight w:val="0"/>
      <w:marTop w:val="0"/>
      <w:marBottom w:val="0"/>
      <w:divBdr>
        <w:top w:val="none" w:sz="0" w:space="0" w:color="auto"/>
        <w:left w:val="none" w:sz="0" w:space="0" w:color="auto"/>
        <w:bottom w:val="none" w:sz="0" w:space="0" w:color="auto"/>
        <w:right w:val="none" w:sz="0" w:space="0" w:color="auto"/>
      </w:divBdr>
    </w:div>
    <w:div w:id="803079304">
      <w:bodyDiv w:val="1"/>
      <w:marLeft w:val="0"/>
      <w:marRight w:val="0"/>
      <w:marTop w:val="0"/>
      <w:marBottom w:val="0"/>
      <w:divBdr>
        <w:top w:val="none" w:sz="0" w:space="0" w:color="auto"/>
        <w:left w:val="none" w:sz="0" w:space="0" w:color="auto"/>
        <w:bottom w:val="none" w:sz="0" w:space="0" w:color="auto"/>
        <w:right w:val="none" w:sz="0" w:space="0" w:color="auto"/>
      </w:divBdr>
    </w:div>
    <w:div w:id="940723842">
      <w:bodyDiv w:val="1"/>
      <w:marLeft w:val="0"/>
      <w:marRight w:val="0"/>
      <w:marTop w:val="0"/>
      <w:marBottom w:val="0"/>
      <w:divBdr>
        <w:top w:val="none" w:sz="0" w:space="0" w:color="auto"/>
        <w:left w:val="none" w:sz="0" w:space="0" w:color="auto"/>
        <w:bottom w:val="none" w:sz="0" w:space="0" w:color="auto"/>
        <w:right w:val="none" w:sz="0" w:space="0" w:color="auto"/>
      </w:divBdr>
    </w:div>
    <w:div w:id="960962281">
      <w:bodyDiv w:val="1"/>
      <w:marLeft w:val="0"/>
      <w:marRight w:val="0"/>
      <w:marTop w:val="0"/>
      <w:marBottom w:val="0"/>
      <w:divBdr>
        <w:top w:val="none" w:sz="0" w:space="0" w:color="auto"/>
        <w:left w:val="none" w:sz="0" w:space="0" w:color="auto"/>
        <w:bottom w:val="none" w:sz="0" w:space="0" w:color="auto"/>
        <w:right w:val="none" w:sz="0" w:space="0" w:color="auto"/>
      </w:divBdr>
    </w:div>
    <w:div w:id="1376462905">
      <w:bodyDiv w:val="1"/>
      <w:marLeft w:val="0"/>
      <w:marRight w:val="0"/>
      <w:marTop w:val="0"/>
      <w:marBottom w:val="0"/>
      <w:divBdr>
        <w:top w:val="none" w:sz="0" w:space="0" w:color="auto"/>
        <w:left w:val="none" w:sz="0" w:space="0" w:color="auto"/>
        <w:bottom w:val="none" w:sz="0" w:space="0" w:color="auto"/>
        <w:right w:val="none" w:sz="0" w:space="0" w:color="auto"/>
      </w:divBdr>
    </w:div>
    <w:div w:id="1527254857">
      <w:bodyDiv w:val="1"/>
      <w:marLeft w:val="0"/>
      <w:marRight w:val="0"/>
      <w:marTop w:val="0"/>
      <w:marBottom w:val="0"/>
      <w:divBdr>
        <w:top w:val="none" w:sz="0" w:space="0" w:color="auto"/>
        <w:left w:val="none" w:sz="0" w:space="0" w:color="auto"/>
        <w:bottom w:val="none" w:sz="0" w:space="0" w:color="auto"/>
        <w:right w:val="none" w:sz="0" w:space="0" w:color="auto"/>
      </w:divBdr>
    </w:div>
    <w:div w:id="17871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awachara_National_Pa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awachara_National_Pa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 Bhowmik</dc:creator>
  <cp:keywords/>
  <dc:description/>
  <cp:lastModifiedBy>Partho Bhowmik</cp:lastModifiedBy>
  <cp:revision>1</cp:revision>
  <dcterms:created xsi:type="dcterms:W3CDTF">2021-01-02T15:16:00Z</dcterms:created>
  <dcterms:modified xsi:type="dcterms:W3CDTF">2021-01-02T15:27:00Z</dcterms:modified>
</cp:coreProperties>
</file>