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/>
        <w:jc w:val="center"/>
      </w:pPr>
      <w:r>
        <w:rPr>
          <w:rFonts w:ascii="Microsoft JhengHei" w:cs="Microsoft JhengHei" w:eastAsia="Microsoft JhengHei" w:hAnsi="Microsoft JhengHei"/>
          <w:b/>
          <w:bCs/>
          <w:sz w:val="24"/>
          <w:szCs w:val="24"/>
        </w:rPr>
        <w:t xml:space="preserve">書脊條（設計 24×210 mm，菊16開／241頁／80g輕質估）</w:t>
      </w:r>
    </w:p>
    <w:p>
      <w:pPr>
        <w:spacing w:after="200"/>
        <w:jc w:val="center"/>
      </w:pPr>
      <w:r>
        <w:drawing>
          <wp:inline distT="0" distB="0" distL="0" distR="0">
            <wp:extent cx="647700" cy="80010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8001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Microsoft JhengHei" w:cs="Microsoft JhengHei" w:eastAsia="Microsoft JhengHei" w:hAnsi="Microsoft JhengHei"/>
          <w:color w:val="555555"/>
          <w:sz w:val="18"/>
          <w:szCs w:val="18"/>
        </w:rPr>
        <w:t xml:space="preserve">莊子全解．人生玩家　｜　李孟霖 編集</w:t>
      </w:r>
    </w:p>
    <w:p>
      <w:pPr>
        <w:spacing w:before="200"/>
        <w:jc w:val="center"/>
      </w:pPr>
      <w:r>
        <w:rPr>
          <w:rFonts w:ascii="Microsoft JhengHei" w:cs="Microsoft JhengHei" w:eastAsia="Microsoft JhengHei" w:hAnsi="Microsoft JhengHei"/>
          <w:color w:val="666666"/>
          <w:sz w:val="16"/>
          <w:szCs w:val="16"/>
        </w:rPr>
        <w:t xml:space="preserve">90g 輕質約 28mm；請印廠以紙樣複核。正式裁切請用 PDF 第 1 頁。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243dbbc51245e6d844333c0e90f7dd1900ef8a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莊子全解 — 書脊</dc:title>
  <dc:creator>Un-named</dc:creator>
  <dc:description>書脊條 1:1 設計寬 24mm × 高 210mm（菊16開）</dc:description>
  <cp:lastModifiedBy>Un-named</cp:lastModifiedBy>
  <cp:revision>1</cp:revision>
  <dcterms:created xsi:type="dcterms:W3CDTF">2026-07-17T06:54:29.353Z</dcterms:created>
  <dcterms:modified xsi:type="dcterms:W3CDTF">2026-07-17T06:54:29.354Z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