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color w:val="666666"/>
          <w:sz w:val="22"/>
          <w:szCs w:val="22"/>
        </w:rPr>
        <w:t xml:space="preserve">書脊橫條</w:t>
      </w:r>
    </w:p>
    <w:p>
      <w:pPr>
        <w:jc w:val="center"/>
      </w:pPr>
      <w:r>
        <w:drawing>
          <wp:inline distT="0" distB="0" distL="0" distR="0">
            <wp:extent cx="1238250" cy="5524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552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00"/>
        <w:jc w:val="center"/>
      </w:pPr>
      <w:r>
        <w:rPr>
          <w:rFonts w:ascii="Microsoft JhengHei" w:cs="Microsoft JhengHei" w:eastAsia="Microsoft JhengHei" w:hAnsi="Microsoft JhengHei"/>
          <w:color w:val="666666"/>
          <w:sz w:val="18"/>
          <w:szCs w:val="18"/>
        </w:rPr>
        <w:t xml:space="preserve">莊子全解．人生玩家　｜　李孟霖 編集</w:t>
      </w:r>
    </w:p>
    <w:p>
      <w:pPr>
        <w:spacing w:before="80"/>
        <w:jc w:val="center"/>
      </w:pPr>
      <w:r>
        <w:rPr>
          <w:rFonts w:ascii="Microsoft JhengHei" w:cs="Microsoft JhengHei" w:eastAsia="Microsoft JhengHei" w:hAnsi="Microsoft JhengHei"/>
          <w:color w:val="999999"/>
          <w:sz w:val="16"/>
          <w:szCs w:val="16"/>
        </w:rPr>
        <w:t xml:space="preserve">裁切後可貼於膠裝書脊</w:t>
      </w:r>
    </w:p>
    <w:sectPr>
      <w:pgSz w:w="11906" w:h="16838" w:orient="portrait"/>
      <w:pgMar w:top="1008" w:right="1008" w:bottom="1008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42e3ec52a3559c9bf72dfe9b913dbb13ab5265c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莊子全解 — 書脊</dc:title>
  <dc:creator>李孟霖編集</dc:creator>
  <dc:description>書脊橫條，供膠裝裁切使用</dc:description>
  <cp:lastModifiedBy>Un-named</cp:lastModifiedBy>
  <cp:revision>1</cp:revision>
  <dcterms:created xsi:type="dcterms:W3CDTF">2026-07-17T02:23:40.699Z</dcterms:created>
  <dcterms:modified xsi:type="dcterms:W3CDTF">2026-07-17T02:23:40.700Z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