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〈山⁠木〉材⁠不⁠材⁠對⁠讀，可⁠見「無⁠用⁠之⁠用」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現代讀者須同時看見反污名力量與古代刑罰背景，不⁠可⁠浪⁠漫⁠化⁠殘⁠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這⁠是⁠全⁠篇⁠最⁠尖⁠銳⁠處，也⁠最⁠易⁠被⁠誤⁠讀⁠為⁠反⁠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，彼⁠等⁠重⁠樂⁠與⁠知⁠的⁠限⁠度。內⁠七⁠篇⁠至⁠此，由逍遙→齊物→養生→人間→德充→大宗師→應帝王，形⁠成⁠一⁠條⁠由⁠尺⁠度、生⁠命、處⁠世、形⁠名、死⁠生⁠到⁠政⁠治⁠遞⁠升⁠的⁠線，不宜拆成互不關聯的格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〈駢⁠拇〉外⁠加⁠仁⁠義（外⁠篇）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讀⁠全⁠書⁠政⁠治⁠寓⁠言，宜⁠從⁠渾⁠沌⁠反⁠推，而⁠非⁠從⁠渾⁠沌⁠抽「反⁠教⁠育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伯夷盜跖並置。建⁠議⁠與〈馬⁠蹄〉〈胠⁠篋〉〈在⁠宥〉連⁠讀，同⁠一⁠條「外⁠加⁠仁⁠義、治⁠術⁠傷⁠性」的⁠線。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虛靜恬淡 → 帝王聖人休焉  → 上無為／下有為  → 本末：道德先於形名賞罰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「以⁠知⁠養⁠恬，恬⁠養⁠無⁠知，無⁠知⁠而⁠德」——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民⁠混⁠芒⁠之⁠時，臥⁠則⁠居⁠居，起⁠則⁠于⁠于」——不⁠是⁠考⁠古，而⁠是⁠反⁠襯。後⁠世「聖⁠人」出⁠而⁠民⁠疑、分、爭，對⁠照⁠的⁠是⁠正⁠性⁠如⁠何⁠在「為⁠善、立⁠教」中⁠流⁠失。與〈馬⁠蹄〉伯⁠樂、〈胠⁠篋〉聖⁠知⁠可⁠並⁠讀，但⁠本⁠篇⁠語⁠氣⁠較⁠內⁠斂，重個人求知欲與名教疲勞，不⁠只⁠政⁠治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，吾⁠所⁠以⁠為⁠之⁠也；分，吾⁠所⁠以⁠行⁠之⁠也」——善⁠意⁠制⁠度⁠一⁠旦⁠脫⁠離⁠時⁠宜，反⁠而⁠製⁠造⁠疑⁠惑⁠與⁠隔⁠閡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末段保性者：如何收束？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舉⁠保⁠性、全⁠性、完⁠性⁠諸⁠名，看⁠似⁠羅⁠列⁠古⁠人，實⁠則⁠把⁠問⁠題⁠落⁠回⁠讀⁠者：你⁠修⁠的⁠是⁠性，還⁠是⁠修「看⁠起⁠來⁠像⁠修⁠性」的⁠標⁠籤？「澹⁠然⁠無⁠極⁠而⁠遊⁠於⁠無⁠極」——不⁠是⁠躺⁠平，而是不再被單一進境指標綁架。全⁠篇⁠由⁠知→恬→初→澹，是⁠內⁠在⁠節⁠奏⁠的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與〈馬⁠蹄〉〈在⁠宥〉同⁠屬⁠外⁠篇「文⁠明—性⁠命」組，但本篇偏士人內在的知與恬；〈養⁠生⁠主〉緣⁠督⁠是⁠身⁠體⁠技⁠術，本⁠篇⁠是⁠心⁠志⁠與⁠名⁠教。內⁠篇〈大⁠宗⁠師〉坐⁠忘⁠向⁠外⁠捐⁠名⁠分，本篇從歷史與制度解釋人為何需要捐。讀⁠外⁠篇⁠宜⁠先⁠辨：批⁠判⁠對⁠象⁠是「矯⁠性⁠之⁠益」，不⁠是⁠一⁠切⁠學⁠問⁠與⁠德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小大／貴賤：依條件而顯       → 井蛙／夏蟲／曲士：空⁠間、時⁠間、教條之限       →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全篇由限→神→合天→反面，是⁠平⁠衡⁠版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與⁠弟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交遊、名位段：為何仍寫人際？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商⁠財、張⁠釐⁠等——保⁠身⁠不⁠只⁠面⁠對⁠自⁠然，也⁠面⁠對⁠評⁠價⁠與⁠交⁠遊。乘⁠道⁠德⁠而⁠遊，是⁠虛⁠己⁠以⁠應⁠變，不⁠是⁠逃⁠離⁠人⁠群。全篇由樹→雁→中間→自拆→遊，敘⁠事⁠即⁠論⁠證：自由在於不被人設與利害定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說⁠劍〉（雜⁠篇）嗜⁠好⁠政⁠治⁠互⁠參。讀⁠時⁠宜⁠記：本⁠篇⁠否⁠定⁠的⁠是⁠固⁠定⁠策⁠略，不⁠是⁠否⁠定⁠一⁠切⁠謹⁠慎；「乘⁠道⁠德」仍須放回具體交遊與殺身危險中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溫伯雪子：為何「見而說，見而不說」？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見⁠而⁠說，見⁠而⁠不⁠說，是⁠知⁠其⁠所⁠說⁠之⁠說⁠也，不⁠知⁠其⁠所⁠說⁠之⁠不⁠說⁠也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〈養⁠生⁠主〉庖⁠丁⁠並⁠列，是⁠外⁠篇⁠技⁠藝⁠三⁠則⁠之⁠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與〈達⁠生〉技⁠進、〈漁⁠父〉（雜⁠篇）貴⁠真、〈大⁠宗⁠師〉真⁠人，可⁠成⁠真—形—禮⁠鏈。不⁠宜⁠把「解⁠衣⁠盤⁠礴」當⁠行⁠為⁠指⁠南；宜讀作對形式主義的寓言診斷。與⁠儒⁠家「文⁠質⁠彬⁠彬」的⁠張⁠力，在⁠於⁠莊⁠子⁠追⁠問：質⁠是⁠否⁠已⁠被⁠文⁠掏⁠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東郭子「道在蝼蟻」：為何推到屎溺？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蝼⁠蚁，在⁠稊⁠稗，在⁠瓦⁠甓，在⁠屎⁠溺」——不⁠是⁠降⁠格，而⁠是⁠破「道⁠只⁠在⁠高⁠遠」的⁠洁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不⁠宜⁠混⁠成⁠一⁠句「萬⁠物⁠齊⁠一」。外篇此篇常作全書道論總匯之一，讀⁠時⁠宜⁠慢，不⁠宜⁠摘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2026-07-17T07:22:01.891Z</dcterms:created>
  <dcterms:modified xsi:type="dcterms:W3CDTF">2026-07-17T07:22:01.891Z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