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F47" w:rsidRDefault="00546F47" w:rsidP="00546F47">
      <w:pPr>
        <w:jc w:val="center"/>
        <w:rPr>
          <w:b/>
        </w:rPr>
      </w:pPr>
      <w:r>
        <w:rPr>
          <w:b/>
        </w:rPr>
        <w:t>MFE5130 – Financial Derivatives</w:t>
      </w:r>
    </w:p>
    <w:p w:rsidR="00546F47" w:rsidRPr="00301DBB" w:rsidRDefault="00546F47" w:rsidP="00546F47">
      <w:pPr>
        <w:jc w:val="center"/>
        <w:rPr>
          <w:b/>
        </w:rPr>
      </w:pPr>
      <w:r w:rsidRPr="00301DBB">
        <w:rPr>
          <w:rFonts w:hint="eastAsia"/>
          <w:b/>
        </w:rPr>
        <w:t>C</w:t>
      </w:r>
      <w:r>
        <w:rPr>
          <w:b/>
        </w:rPr>
        <w:t>lass Activity (27-September-2018</w:t>
      </w:r>
      <w:r w:rsidRPr="00301DBB">
        <w:rPr>
          <w:b/>
        </w:rPr>
        <w:t>)</w:t>
      </w:r>
      <w:r>
        <w:rPr>
          <w:b/>
        </w:rPr>
        <w:t xml:space="preserve"> (Solution)</w:t>
      </w:r>
    </w:p>
    <w:p w:rsidR="00546F47" w:rsidRPr="00E86591" w:rsidRDefault="00546F47" w:rsidP="00546F47">
      <w:pPr>
        <w:jc w:val="both"/>
        <w:rPr>
          <w:rFonts w:ascii="Times New Roman" w:hAnsi="Times New Roman" w:cs="Times New Roman"/>
          <w:b/>
        </w:rPr>
      </w:pPr>
      <w:r w:rsidRPr="00E86591">
        <w:rPr>
          <w:rFonts w:ascii="Times New Roman" w:hAnsi="Times New Roman" w:cs="Times New Roman"/>
          <w:b/>
        </w:rPr>
        <w:t>Important Notes:</w:t>
      </w:r>
    </w:p>
    <w:p w:rsidR="00546F47" w:rsidRPr="00E86591" w:rsidRDefault="00546F47" w:rsidP="00546F47">
      <w:pPr>
        <w:pStyle w:val="ListParagraph"/>
        <w:widowControl/>
        <w:numPr>
          <w:ilvl w:val="0"/>
          <w:numId w:val="6"/>
        </w:numPr>
        <w:spacing w:after="100"/>
        <w:ind w:leftChars="0" w:left="482" w:hanging="482"/>
        <w:jc w:val="both"/>
        <w:rPr>
          <w:rFonts w:ascii="Times New Roman" w:eastAsia="宋体" w:hAnsi="Times New Roman" w:cs="Times New Roman"/>
        </w:rPr>
      </w:pPr>
      <w:r w:rsidRPr="00E86591">
        <w:rPr>
          <w:rFonts w:ascii="Times New Roman" w:hAnsi="Times New Roman" w:cs="Times New Roman"/>
        </w:rPr>
        <w:t xml:space="preserve">This class activity is counted toward to your class participation score. </w:t>
      </w:r>
      <w:r w:rsidRPr="00E86591">
        <w:rPr>
          <w:rFonts w:ascii="Times New Roman" w:hAnsi="Times New Roman" w:cs="Times New Roman"/>
          <w:b/>
        </w:rPr>
        <w:t>Fail</w:t>
      </w:r>
      <w:r w:rsidRPr="00E86591">
        <w:rPr>
          <w:rFonts w:ascii="Times New Roman" w:hAnsi="Times New Roman" w:cs="Times New Roman"/>
        </w:rPr>
        <w:t xml:space="preserve"> to hand in this class activity worksheet in the class will receive </w:t>
      </w:r>
      <w:r w:rsidRPr="00E86591">
        <w:rPr>
          <w:rFonts w:ascii="Times New Roman" w:hAnsi="Times New Roman" w:cs="Times New Roman"/>
          <w:b/>
        </w:rPr>
        <w:t>0 score</w:t>
      </w:r>
      <w:r w:rsidRPr="00E86591">
        <w:rPr>
          <w:rFonts w:ascii="Times New Roman" w:hAnsi="Times New Roman" w:cs="Times New Roman"/>
        </w:rPr>
        <w:t xml:space="preserve"> for that class. </w:t>
      </w:r>
    </w:p>
    <w:p w:rsidR="00546F47" w:rsidRPr="00E86591" w:rsidRDefault="00546F47" w:rsidP="00546F47">
      <w:pPr>
        <w:pStyle w:val="ListParagraph"/>
        <w:widowControl/>
        <w:numPr>
          <w:ilvl w:val="0"/>
          <w:numId w:val="6"/>
        </w:numPr>
        <w:spacing w:after="100"/>
        <w:ind w:leftChars="0" w:left="482" w:hanging="482"/>
        <w:jc w:val="both"/>
        <w:rPr>
          <w:rFonts w:ascii="Times New Roman" w:hAnsi="Times New Roman" w:cs="Times New Roman"/>
        </w:rPr>
      </w:pPr>
      <w:r w:rsidRPr="00E86591">
        <w:rPr>
          <w:rFonts w:ascii="Times New Roman" w:hAnsi="Times New Roman" w:cs="Times New Roman"/>
          <w:b/>
        </w:rPr>
        <w:t xml:space="preserve">0 mark </w:t>
      </w:r>
      <w:r w:rsidRPr="00E86591">
        <w:rPr>
          <w:rFonts w:ascii="Times New Roman" w:hAnsi="Times New Roman" w:cs="Times New Roman"/>
        </w:rPr>
        <w:t>will be received if you leave the solution blank.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9"/>
        <w:gridCol w:w="4157"/>
      </w:tblGrid>
      <w:tr w:rsidR="00546F47" w:rsidTr="009A68C7">
        <w:trPr>
          <w:trHeight w:hRule="exact" w:val="403"/>
        </w:trPr>
        <w:tc>
          <w:tcPr>
            <w:tcW w:w="4900" w:type="dxa"/>
          </w:tcPr>
          <w:p w:rsidR="00546F47" w:rsidRPr="00B03D15" w:rsidRDefault="00546F47" w:rsidP="009A68C7">
            <w:pPr>
              <w:rPr>
                <w:rFonts w:ascii="Times New Roman" w:hAnsi="Times New Roman" w:cs="Times New Roman"/>
              </w:rPr>
            </w:pPr>
            <w:r w:rsidRPr="00B03D15"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4900" w:type="dxa"/>
          </w:tcPr>
          <w:p w:rsidR="00546F47" w:rsidRPr="00B03D15" w:rsidRDefault="00546F47" w:rsidP="009A68C7">
            <w:pPr>
              <w:rPr>
                <w:rFonts w:ascii="Times New Roman" w:hAnsi="Times New Roman" w:cs="Times New Roman"/>
              </w:rPr>
            </w:pPr>
            <w:r w:rsidRPr="00B03D15">
              <w:rPr>
                <w:rFonts w:ascii="Times New Roman" w:hAnsi="Times New Roman" w:cs="Times New Roman"/>
              </w:rPr>
              <w:t>Student No.:</w:t>
            </w:r>
          </w:p>
        </w:tc>
      </w:tr>
    </w:tbl>
    <w:p w:rsidR="00D462C0" w:rsidRDefault="00D462C0"/>
    <w:p w:rsidR="00D462C0" w:rsidRDefault="00D462C0">
      <w:pPr>
        <w:rPr>
          <w:b/>
        </w:rPr>
      </w:pPr>
      <w:r w:rsidRPr="00D462C0">
        <w:rPr>
          <w:rFonts w:hint="eastAsia"/>
          <w:b/>
        </w:rPr>
        <w:t xml:space="preserve">Problem </w:t>
      </w:r>
      <w:r>
        <w:rPr>
          <w:b/>
        </w:rPr>
        <w:t>1</w:t>
      </w:r>
    </w:p>
    <w:p w:rsidR="00D462C0" w:rsidRDefault="00C0030B">
      <w:r w:rsidRPr="004C7646">
        <w:rPr>
          <w:rFonts w:hint="eastAsia"/>
          <w:b/>
          <w:noProof/>
          <w:sz w:val="28"/>
          <w:szCs w:val="28"/>
          <w:lang w:eastAsia="zh-CN"/>
        </w:rPr>
        <w:drawing>
          <wp:inline distT="0" distB="0" distL="0" distR="0" wp14:anchorId="03FB5C67" wp14:editId="5D148334">
            <wp:extent cx="5274310" cy="1332665"/>
            <wp:effectExtent l="0" t="0" r="2540" b="127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285" w:rsidRDefault="00C23285" w:rsidP="00C23285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Solution</w:t>
      </w:r>
    </w:p>
    <w:p w:rsidR="00C23285" w:rsidRPr="00546B96" w:rsidRDefault="00C23285" w:rsidP="00C23285">
      <w:pPr>
        <w:pStyle w:val="ListContinue"/>
        <w:rPr>
          <w:rFonts w:asciiTheme="minorHAnsi" w:eastAsiaTheme="minorEastAsia" w:hAnsiTheme="minorHAnsi" w:cstheme="minorBidi"/>
          <w:sz w:val="22"/>
          <w:szCs w:val="22"/>
          <w:lang w:eastAsia="zh-TW"/>
        </w:rPr>
      </w:pPr>
      <w:r w:rsidRPr="00077AB4">
        <w:t>a</w:t>
      </w:r>
      <w:r>
        <w:t>)</w:t>
      </w:r>
      <w:r>
        <w:tab/>
      </w:r>
      <w:r w:rsidRPr="00546B96">
        <w:rPr>
          <w:rFonts w:asciiTheme="minorHAnsi" w:eastAsiaTheme="minorEastAsia" w:hAnsiTheme="minorHAnsi" w:cstheme="minorBidi"/>
          <w:sz w:val="22"/>
          <w:szCs w:val="22"/>
          <w:lang w:eastAsia="zh-TW"/>
        </w:rPr>
        <w:t>The spot price of gold is $300.00 per ounce. With a continuously compounded annual risk- free rate of 5 percent, and at a one-year forward price of 310.686, we can calculate the lease rate according to the formula:</w:t>
      </w:r>
    </w:p>
    <w:p w:rsidR="00C23285" w:rsidRPr="00077AB4" w:rsidRDefault="00C23285" w:rsidP="00C23285">
      <w:pPr>
        <w:pStyle w:val="UnnumberedEQ"/>
      </w:pPr>
      <w:r w:rsidRPr="001733D9">
        <w:rPr>
          <w:position w:val="-32"/>
        </w:rPr>
        <w:object w:dxaOrig="480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.75pt;height:36pt" o:ole="">
            <v:imagedata r:id="rId8" o:title=""/>
          </v:shape>
          <o:OLEObject Type="Embed" ProgID="Equation.DSMT4" ShapeID="_x0000_i1025" DrawAspect="Content" ObjectID="_1599478007" r:id="rId9"/>
        </w:object>
      </w:r>
    </w:p>
    <w:p w:rsidR="00C23285" w:rsidRPr="00546B96" w:rsidRDefault="00C23285" w:rsidP="00C23285">
      <w:pPr>
        <w:pStyle w:val="ListContinue"/>
        <w:rPr>
          <w:rFonts w:asciiTheme="minorHAnsi" w:eastAsiaTheme="minorEastAsia" w:hAnsiTheme="minorHAnsi" w:cstheme="minorBidi"/>
          <w:sz w:val="22"/>
          <w:szCs w:val="22"/>
          <w:lang w:eastAsia="zh-TW"/>
        </w:rPr>
      </w:pPr>
      <w:r w:rsidRPr="00546B96">
        <w:rPr>
          <w:rFonts w:asciiTheme="minorHAnsi" w:eastAsiaTheme="minorEastAsia" w:hAnsiTheme="minorHAnsi" w:cstheme="minorBidi"/>
          <w:sz w:val="22"/>
          <w:szCs w:val="22"/>
          <w:lang w:eastAsia="zh-TW"/>
        </w:rPr>
        <w:t>b)</w:t>
      </w:r>
      <w:r w:rsidRPr="00546B96">
        <w:rPr>
          <w:rFonts w:asciiTheme="minorHAnsi" w:eastAsiaTheme="minorEastAsia" w:hAnsiTheme="minorHAnsi" w:cstheme="minorBidi"/>
          <w:sz w:val="22"/>
          <w:szCs w:val="22"/>
          <w:lang w:eastAsia="zh-TW"/>
        </w:rPr>
        <w:tab/>
        <w:t xml:space="preserve">Suppose gold cannot be loaned. Then our cash and carry </w:t>
      </w:r>
      <w:r>
        <w:rPr>
          <w:rFonts w:asciiTheme="minorHAnsi" w:eastAsiaTheme="minorEastAsia" w:hAnsiTheme="minorHAnsi" w:cstheme="minorBidi"/>
          <w:sz w:val="22"/>
          <w:szCs w:val="22"/>
          <w:lang w:eastAsia="zh-TW"/>
        </w:rPr>
        <w:t>trade</w:t>
      </w:r>
      <w:r w:rsidRPr="00546B96">
        <w:rPr>
          <w:rFonts w:asciiTheme="minorHAnsi" w:eastAsiaTheme="minorEastAsia" w:hAnsiTheme="minorHAnsi" w:cstheme="minorBidi"/>
          <w:sz w:val="22"/>
          <w:szCs w:val="22"/>
          <w:lang w:eastAsia="zh-TW"/>
        </w:rPr>
        <w:t xml:space="preserve"> is: </w:t>
      </w:r>
    </w:p>
    <w:tbl>
      <w:tblPr>
        <w:tblW w:w="0" w:type="auto"/>
        <w:jc w:val="center"/>
        <w:tblBorders>
          <w:top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570"/>
        <w:gridCol w:w="917"/>
        <w:gridCol w:w="1475"/>
      </w:tblGrid>
      <w:tr w:rsidR="00C23285" w:rsidRPr="001C501B" w:rsidTr="00FB0C5E">
        <w:trPr>
          <w:jc w:val="center"/>
        </w:trPr>
        <w:tc>
          <w:tcPr>
            <w:tcW w:w="0" w:type="auto"/>
            <w:shd w:val="clear" w:color="auto" w:fill="606060"/>
            <w:vAlign w:val="center"/>
          </w:tcPr>
          <w:p w:rsidR="00C23285" w:rsidRPr="00881E0E" w:rsidRDefault="00C23285" w:rsidP="00FB0C5E">
            <w:pPr>
              <w:pStyle w:val="TableText"/>
              <w:keepNext/>
              <w:rPr>
                <w:color w:val="FFFFFF"/>
              </w:rPr>
            </w:pPr>
            <w:r w:rsidRPr="00881E0E">
              <w:rPr>
                <w:color w:val="FFFFFF"/>
              </w:rPr>
              <w:t>Transaction</w:t>
            </w:r>
          </w:p>
        </w:tc>
        <w:tc>
          <w:tcPr>
            <w:tcW w:w="0" w:type="auto"/>
            <w:shd w:val="clear" w:color="auto" w:fill="606060"/>
            <w:vAlign w:val="center"/>
          </w:tcPr>
          <w:p w:rsidR="00C23285" w:rsidRPr="00881E0E" w:rsidRDefault="00C23285" w:rsidP="00FB0C5E">
            <w:pPr>
              <w:pStyle w:val="TableText"/>
              <w:keepNext/>
              <w:rPr>
                <w:color w:val="FFFFFF"/>
              </w:rPr>
            </w:pPr>
            <w:r w:rsidRPr="00881E0E">
              <w:rPr>
                <w:color w:val="FFFFFF"/>
              </w:rPr>
              <w:t>Time 0</w:t>
            </w:r>
          </w:p>
        </w:tc>
        <w:tc>
          <w:tcPr>
            <w:tcW w:w="0" w:type="auto"/>
            <w:shd w:val="clear" w:color="auto" w:fill="606060"/>
            <w:vAlign w:val="center"/>
          </w:tcPr>
          <w:p w:rsidR="00C23285" w:rsidRPr="00881E0E" w:rsidRDefault="00C23285" w:rsidP="00FB0C5E">
            <w:pPr>
              <w:pStyle w:val="TableText"/>
              <w:keepNext/>
              <w:rPr>
                <w:color w:val="FFFFFF"/>
              </w:rPr>
            </w:pPr>
            <w:r w:rsidRPr="00881E0E">
              <w:rPr>
                <w:color w:val="FFFFFF"/>
              </w:rPr>
              <w:t xml:space="preserve">Time </w:t>
            </w:r>
            <w:r w:rsidRPr="00881E0E">
              <w:rPr>
                <w:i/>
                <w:color w:val="FFFFFF"/>
              </w:rPr>
              <w:t>T</w:t>
            </w:r>
            <w:r w:rsidRPr="00881E0E">
              <w:rPr>
                <w:color w:val="FFFFFF"/>
              </w:rPr>
              <w:t xml:space="preserve"> = 1</w:t>
            </w:r>
          </w:p>
        </w:tc>
      </w:tr>
      <w:tr w:rsidR="00C23285" w:rsidRPr="00881E0E" w:rsidTr="00FB0C5E">
        <w:trPr>
          <w:jc w:val="center"/>
        </w:trPr>
        <w:tc>
          <w:tcPr>
            <w:tcW w:w="0" w:type="auto"/>
            <w:vAlign w:val="center"/>
          </w:tcPr>
          <w:p w:rsidR="00C23285" w:rsidRPr="001C501B" w:rsidRDefault="00C23285" w:rsidP="00FB0C5E">
            <w:pPr>
              <w:pStyle w:val="TableText"/>
              <w:jc w:val="left"/>
            </w:pPr>
            <w:r w:rsidRPr="001C501B">
              <w:t>Short forward</w:t>
            </w:r>
          </w:p>
        </w:tc>
        <w:tc>
          <w:tcPr>
            <w:tcW w:w="0" w:type="auto"/>
            <w:vAlign w:val="center"/>
          </w:tcPr>
          <w:p w:rsidR="00C23285" w:rsidRPr="001C501B" w:rsidRDefault="00C23285" w:rsidP="00FB0C5E">
            <w:pPr>
              <w:pStyle w:val="TableText"/>
              <w:jc w:val="left"/>
            </w:pPr>
            <w:r w:rsidRPr="001C501B">
              <w:t>0</w:t>
            </w:r>
          </w:p>
        </w:tc>
        <w:tc>
          <w:tcPr>
            <w:tcW w:w="0" w:type="auto"/>
            <w:vAlign w:val="center"/>
          </w:tcPr>
          <w:p w:rsidR="00C23285" w:rsidRPr="00881E0E" w:rsidRDefault="00C23285" w:rsidP="00FB0C5E">
            <w:pPr>
              <w:pStyle w:val="TableText"/>
              <w:jc w:val="left"/>
              <w:rPr>
                <w:vertAlign w:val="subscript"/>
              </w:rPr>
            </w:pPr>
            <w:r w:rsidRPr="001C501B">
              <w:t xml:space="preserve">310.686 − </w:t>
            </w:r>
            <w:r w:rsidRPr="00881E0E">
              <w:rPr>
                <w:i/>
              </w:rPr>
              <w:t>S</w:t>
            </w:r>
            <w:r w:rsidRPr="00881E0E">
              <w:rPr>
                <w:i/>
                <w:vertAlign w:val="subscript"/>
              </w:rPr>
              <w:t>T</w:t>
            </w:r>
          </w:p>
        </w:tc>
      </w:tr>
      <w:tr w:rsidR="00C23285" w:rsidRPr="00881E0E" w:rsidTr="00FB0C5E">
        <w:trPr>
          <w:jc w:val="center"/>
        </w:trPr>
        <w:tc>
          <w:tcPr>
            <w:tcW w:w="0" w:type="auto"/>
            <w:vAlign w:val="center"/>
          </w:tcPr>
          <w:p w:rsidR="00C23285" w:rsidRPr="001C501B" w:rsidRDefault="00C23285" w:rsidP="00FB0C5E">
            <w:pPr>
              <w:pStyle w:val="TableText"/>
              <w:jc w:val="left"/>
            </w:pPr>
            <w:r w:rsidRPr="001C501B">
              <w:t>Buy gold</w:t>
            </w:r>
          </w:p>
        </w:tc>
        <w:tc>
          <w:tcPr>
            <w:tcW w:w="0" w:type="auto"/>
            <w:vAlign w:val="center"/>
          </w:tcPr>
          <w:p w:rsidR="00C23285" w:rsidRPr="001C501B" w:rsidRDefault="00C23285" w:rsidP="00FB0C5E">
            <w:pPr>
              <w:pStyle w:val="TableText"/>
              <w:jc w:val="left"/>
            </w:pPr>
            <w:r w:rsidRPr="001C501B">
              <w:t>−300</w:t>
            </w:r>
          </w:p>
        </w:tc>
        <w:tc>
          <w:tcPr>
            <w:tcW w:w="0" w:type="auto"/>
            <w:vAlign w:val="center"/>
          </w:tcPr>
          <w:p w:rsidR="00C23285" w:rsidRPr="00881E0E" w:rsidRDefault="00C23285" w:rsidP="00FB0C5E">
            <w:pPr>
              <w:pStyle w:val="TableText"/>
              <w:jc w:val="left"/>
              <w:rPr>
                <w:vertAlign w:val="subscript"/>
              </w:rPr>
            </w:pPr>
            <w:r w:rsidRPr="00881E0E">
              <w:rPr>
                <w:i/>
              </w:rPr>
              <w:t>S</w:t>
            </w:r>
            <w:r w:rsidRPr="00881E0E">
              <w:rPr>
                <w:i/>
                <w:vertAlign w:val="subscript"/>
              </w:rPr>
              <w:t>T</w:t>
            </w:r>
          </w:p>
        </w:tc>
      </w:tr>
      <w:tr w:rsidR="00C23285" w:rsidRPr="001C501B" w:rsidTr="00FB0C5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23285" w:rsidRPr="001C501B" w:rsidRDefault="00C23285" w:rsidP="00FB0C5E">
            <w:pPr>
              <w:pStyle w:val="TableText"/>
              <w:jc w:val="left"/>
            </w:pPr>
            <w:r w:rsidRPr="001C501B">
              <w:t>Total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23285" w:rsidRPr="001C501B" w:rsidRDefault="00C23285" w:rsidP="00FB0C5E">
            <w:pPr>
              <w:pStyle w:val="TableText"/>
              <w:jc w:val="left"/>
            </w:pPr>
            <w:r w:rsidRPr="001C501B">
              <w:t>−300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23285" w:rsidRPr="001C501B" w:rsidRDefault="00C23285" w:rsidP="00FB0C5E">
            <w:pPr>
              <w:pStyle w:val="TableText"/>
              <w:jc w:val="left"/>
            </w:pPr>
            <w:r w:rsidRPr="001C501B">
              <w:t>310.686</w:t>
            </w:r>
          </w:p>
        </w:tc>
      </w:tr>
    </w:tbl>
    <w:p w:rsidR="00C23285" w:rsidRDefault="00C23285" w:rsidP="00C23285">
      <w:pPr>
        <w:pStyle w:val="ListContinue"/>
      </w:pPr>
    </w:p>
    <w:p w:rsidR="00C23285" w:rsidRPr="00DB011F" w:rsidRDefault="00C23285" w:rsidP="00C23285">
      <w:pPr>
        <w:pStyle w:val="ListContinue"/>
        <w:ind w:firstLine="0"/>
        <w:rPr>
          <w:rFonts w:asciiTheme="minorHAnsi" w:eastAsiaTheme="minorEastAsia" w:hAnsiTheme="minorHAnsi" w:cstheme="minorBidi"/>
          <w:sz w:val="22"/>
          <w:szCs w:val="22"/>
          <w:lang w:eastAsia="zh-TW"/>
        </w:rPr>
      </w:pPr>
      <w:r w:rsidRPr="00DB011F">
        <w:rPr>
          <w:rFonts w:asciiTheme="minorHAnsi" w:eastAsiaTheme="minorEastAsia" w:hAnsiTheme="minorHAnsi" w:cstheme="minorBidi" w:hint="eastAsia"/>
          <w:sz w:val="22"/>
          <w:szCs w:val="22"/>
          <w:lang w:eastAsia="zh-TW"/>
        </w:rPr>
        <w:t>Let</w:t>
      </w:r>
      <w:r w:rsidRPr="00DB011F">
        <w:rPr>
          <w:rFonts w:asciiTheme="minorHAnsi" w:eastAsiaTheme="minorEastAsia" w:hAnsiTheme="minorHAnsi" w:cstheme="minorBidi" w:hint="eastAsia"/>
          <w:i/>
          <w:sz w:val="22"/>
          <w:szCs w:val="22"/>
          <w:lang w:eastAsia="zh-TW"/>
        </w:rPr>
        <w:t xml:space="preserve"> y</w:t>
      </w:r>
      <w:r w:rsidRPr="00DB011F">
        <w:rPr>
          <w:rFonts w:asciiTheme="minorHAnsi" w:eastAsiaTheme="minorEastAsia" w:hAnsiTheme="minorHAnsi" w:cstheme="minorBidi" w:hint="eastAsia"/>
          <w:sz w:val="22"/>
          <w:szCs w:val="22"/>
          <w:lang w:eastAsia="zh-TW"/>
        </w:rPr>
        <w:t xml:space="preserve"> be the </w:t>
      </w:r>
      <w:r>
        <w:rPr>
          <w:rFonts w:asciiTheme="minorHAnsi" w:eastAsiaTheme="minorEastAsia" w:hAnsiTheme="minorHAnsi" w:cstheme="minorBidi"/>
          <w:sz w:val="22"/>
          <w:szCs w:val="22"/>
          <w:lang w:eastAsia="zh-TW"/>
        </w:rPr>
        <w:t xml:space="preserve">rate of </w:t>
      </w:r>
      <w:r w:rsidRPr="00DB011F">
        <w:rPr>
          <w:rFonts w:asciiTheme="minorHAnsi" w:eastAsiaTheme="minorEastAsia" w:hAnsiTheme="minorHAnsi" w:cstheme="minorBidi" w:hint="eastAsia"/>
          <w:sz w:val="22"/>
          <w:szCs w:val="22"/>
          <w:lang w:eastAsia="zh-TW"/>
        </w:rPr>
        <w:t>return of</w:t>
      </w:r>
      <w:r w:rsidRPr="00DB011F">
        <w:rPr>
          <w:rFonts w:asciiTheme="minorHAnsi" w:eastAsiaTheme="minorEastAsia" w:hAnsiTheme="minorHAnsi" w:cstheme="minorBidi"/>
          <w:sz w:val="22"/>
          <w:szCs w:val="22"/>
          <w:lang w:eastAsia="zh-TW"/>
        </w:rPr>
        <w:t xml:space="preserve"> the cash and carry trade.</w:t>
      </w:r>
    </w:p>
    <w:p w:rsidR="00C23285" w:rsidRDefault="00C23285" w:rsidP="00C23285">
      <w:pPr>
        <w:pStyle w:val="ListContinue"/>
        <w:ind w:left="480" w:firstLine="360"/>
        <w:rPr>
          <w:rFonts w:eastAsiaTheme="minorEastAsia"/>
          <w:lang w:eastAsia="zh-TW"/>
        </w:rPr>
      </w:pPr>
      <w:r w:rsidRPr="00DB011F">
        <w:rPr>
          <w:rFonts w:eastAsiaTheme="minorEastAsia"/>
          <w:position w:val="-30"/>
          <w:lang w:eastAsia="zh-TW"/>
        </w:rPr>
        <w:object w:dxaOrig="1640" w:dyaOrig="720">
          <v:shape id="_x0000_i1026" type="#_x0000_t75" style="width:79.5pt;height:36pt" o:ole="">
            <v:imagedata r:id="rId10" o:title=""/>
          </v:shape>
          <o:OLEObject Type="Embed" ProgID="Equation.DSMT4" ShapeID="_x0000_i1026" DrawAspect="Content" ObjectID="_1599478008" r:id="rId11"/>
        </w:object>
      </w:r>
      <w:r>
        <w:rPr>
          <w:rFonts w:eastAsiaTheme="minorEastAsia"/>
          <w:lang w:eastAsia="zh-TW"/>
        </w:rPr>
        <w:t xml:space="preserve"> </w:t>
      </w:r>
    </w:p>
    <w:p w:rsidR="00C23285" w:rsidRPr="00DB011F" w:rsidRDefault="00C23285" w:rsidP="00C23285">
      <w:pPr>
        <w:pStyle w:val="ListContinue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ab/>
      </w:r>
      <w:r w:rsidRPr="00DB011F">
        <w:rPr>
          <w:rFonts w:asciiTheme="minorHAnsi" w:eastAsiaTheme="minorEastAsia" w:hAnsiTheme="minorHAnsi" w:cstheme="minorBidi"/>
          <w:sz w:val="22"/>
          <w:szCs w:val="22"/>
          <w:lang w:eastAsia="zh-TW"/>
        </w:rPr>
        <w:t>So, the return of the cash and carry trade is less than the prevailing risk-free interest rate of 5%.</w:t>
      </w:r>
      <w:r>
        <w:rPr>
          <w:rFonts w:eastAsiaTheme="minorEastAsia"/>
          <w:lang w:eastAsia="zh-TW"/>
        </w:rPr>
        <w:t xml:space="preserve"> </w:t>
      </w:r>
    </w:p>
    <w:p w:rsidR="00C23285" w:rsidRDefault="00C23285" w:rsidP="00716168">
      <w:pPr>
        <w:pStyle w:val="ListContinue"/>
        <w:rPr>
          <w:rFonts w:asciiTheme="minorHAnsi" w:eastAsiaTheme="minorEastAsia" w:hAnsiTheme="minorHAnsi" w:cstheme="minorBidi"/>
          <w:sz w:val="22"/>
          <w:szCs w:val="22"/>
          <w:lang w:eastAsia="zh-TW"/>
        </w:rPr>
      </w:pPr>
      <w:r>
        <w:lastRenderedPageBreak/>
        <w:tab/>
      </w:r>
      <w:r w:rsidRPr="00546B96">
        <w:rPr>
          <w:rFonts w:asciiTheme="minorHAnsi" w:eastAsiaTheme="minorEastAsia" w:hAnsiTheme="minorHAnsi" w:cstheme="minorBidi"/>
          <w:sz w:val="22"/>
          <w:szCs w:val="22"/>
          <w:lang w:eastAsia="zh-TW"/>
        </w:rPr>
        <w:t xml:space="preserve">The forward price bears an implicit lease rate. Therefore, if we try to engage in a cash and carry arbitrage but we do not have access to the gold loan market and thus </w:t>
      </w:r>
      <w:r>
        <w:rPr>
          <w:rFonts w:asciiTheme="minorHAnsi" w:eastAsiaTheme="minorEastAsia" w:hAnsiTheme="minorHAnsi" w:cstheme="minorBidi"/>
          <w:sz w:val="22"/>
          <w:szCs w:val="22"/>
          <w:lang w:eastAsia="zh-TW"/>
        </w:rPr>
        <w:t xml:space="preserve">do not have access </w:t>
      </w:r>
      <w:r w:rsidRPr="00546B96">
        <w:rPr>
          <w:rFonts w:asciiTheme="minorHAnsi" w:eastAsiaTheme="minorEastAsia" w:hAnsiTheme="minorHAnsi" w:cstheme="minorBidi"/>
          <w:sz w:val="22"/>
          <w:szCs w:val="22"/>
          <w:lang w:eastAsia="zh-TW"/>
        </w:rPr>
        <w:t>to the additional revenue on our long gold position, it is not possible for us to replicate the forward price. We incur a loss.</w:t>
      </w:r>
      <w:bookmarkStart w:id="0" w:name="_GoBack"/>
      <w:bookmarkEnd w:id="0"/>
      <w:r>
        <w:rPr>
          <w:rFonts w:asciiTheme="minorHAnsi" w:eastAsiaTheme="minorEastAsia" w:hAnsiTheme="minorHAnsi" w:cstheme="minorBidi"/>
          <w:sz w:val="22"/>
          <w:szCs w:val="22"/>
          <w:lang w:eastAsia="zh-TW"/>
        </w:rPr>
        <w:t xml:space="preserve"> </w:t>
      </w:r>
    </w:p>
    <w:p w:rsidR="00C23285" w:rsidRDefault="00C23285" w:rsidP="00C23285"/>
    <w:p w:rsidR="00C23285" w:rsidRPr="00546B96" w:rsidRDefault="00C23285" w:rsidP="00C23285">
      <w:pPr>
        <w:rPr>
          <w:sz w:val="22"/>
        </w:rPr>
      </w:pPr>
      <w:r w:rsidRPr="00546B96">
        <w:rPr>
          <w:sz w:val="22"/>
        </w:rPr>
        <w:t>c)</w:t>
      </w:r>
      <w:r w:rsidRPr="00546B96">
        <w:rPr>
          <w:sz w:val="22"/>
        </w:rPr>
        <w:tab/>
        <w:t>If gold can be loaned, we engage in the following cash and carry arbitrage:</w:t>
      </w:r>
    </w:p>
    <w:tbl>
      <w:tblPr>
        <w:tblW w:w="0" w:type="auto"/>
        <w:jc w:val="center"/>
        <w:tblBorders>
          <w:top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604"/>
        <w:gridCol w:w="1296"/>
        <w:gridCol w:w="1475"/>
      </w:tblGrid>
      <w:tr w:rsidR="00C23285" w:rsidRPr="001C501B" w:rsidTr="00FB0C5E">
        <w:trPr>
          <w:jc w:val="center"/>
        </w:trPr>
        <w:tc>
          <w:tcPr>
            <w:tcW w:w="0" w:type="auto"/>
            <w:shd w:val="clear" w:color="auto" w:fill="606060"/>
            <w:vAlign w:val="center"/>
          </w:tcPr>
          <w:p w:rsidR="00C23285" w:rsidRPr="00881E0E" w:rsidRDefault="00C23285" w:rsidP="00FB0C5E">
            <w:pPr>
              <w:pStyle w:val="TableText"/>
              <w:keepNext/>
              <w:rPr>
                <w:color w:val="FFFFFF"/>
              </w:rPr>
            </w:pPr>
            <w:r w:rsidRPr="00881E0E">
              <w:rPr>
                <w:color w:val="FFFFFF"/>
              </w:rPr>
              <w:t xml:space="preserve">Transaction </w:t>
            </w:r>
          </w:p>
        </w:tc>
        <w:tc>
          <w:tcPr>
            <w:tcW w:w="0" w:type="auto"/>
            <w:shd w:val="clear" w:color="auto" w:fill="606060"/>
            <w:vAlign w:val="center"/>
          </w:tcPr>
          <w:p w:rsidR="00C23285" w:rsidRPr="00881E0E" w:rsidRDefault="00C23285" w:rsidP="00FB0C5E">
            <w:pPr>
              <w:pStyle w:val="TableText"/>
              <w:keepNext/>
              <w:rPr>
                <w:color w:val="FFFFFF"/>
              </w:rPr>
            </w:pPr>
            <w:r w:rsidRPr="00881E0E">
              <w:rPr>
                <w:color w:val="FFFFFF"/>
              </w:rPr>
              <w:t xml:space="preserve">Time 0 </w:t>
            </w:r>
          </w:p>
        </w:tc>
        <w:tc>
          <w:tcPr>
            <w:tcW w:w="0" w:type="auto"/>
            <w:shd w:val="clear" w:color="auto" w:fill="606060"/>
            <w:vAlign w:val="center"/>
          </w:tcPr>
          <w:p w:rsidR="00C23285" w:rsidRPr="00881E0E" w:rsidRDefault="00C23285" w:rsidP="00FB0C5E">
            <w:pPr>
              <w:pStyle w:val="TableText"/>
              <w:keepNext/>
              <w:rPr>
                <w:color w:val="FFFFFF"/>
              </w:rPr>
            </w:pPr>
            <w:r w:rsidRPr="00881E0E">
              <w:rPr>
                <w:color w:val="FFFFFF"/>
              </w:rPr>
              <w:t xml:space="preserve">Time </w:t>
            </w:r>
            <w:r w:rsidRPr="00881E0E">
              <w:rPr>
                <w:i/>
                <w:color w:val="FFFFFF"/>
              </w:rPr>
              <w:t>T</w:t>
            </w:r>
            <w:r w:rsidRPr="00881E0E">
              <w:rPr>
                <w:color w:val="FFFFFF"/>
              </w:rPr>
              <w:t xml:space="preserve"> = 1 </w:t>
            </w:r>
          </w:p>
        </w:tc>
      </w:tr>
      <w:tr w:rsidR="00C23285" w:rsidRPr="00881E0E" w:rsidTr="00FB0C5E">
        <w:trPr>
          <w:jc w:val="center"/>
        </w:trPr>
        <w:tc>
          <w:tcPr>
            <w:tcW w:w="0" w:type="auto"/>
            <w:vAlign w:val="center"/>
          </w:tcPr>
          <w:p w:rsidR="00C23285" w:rsidRPr="001C501B" w:rsidRDefault="00C23285" w:rsidP="00FB0C5E">
            <w:pPr>
              <w:pStyle w:val="TableText"/>
              <w:jc w:val="left"/>
            </w:pPr>
            <w:r w:rsidRPr="001C501B">
              <w:t xml:space="preserve">Short forward </w:t>
            </w:r>
          </w:p>
        </w:tc>
        <w:tc>
          <w:tcPr>
            <w:tcW w:w="0" w:type="auto"/>
            <w:vAlign w:val="center"/>
          </w:tcPr>
          <w:p w:rsidR="00C23285" w:rsidRPr="001C501B" w:rsidRDefault="00C23285" w:rsidP="00FB0C5E">
            <w:pPr>
              <w:pStyle w:val="TableText"/>
              <w:jc w:val="left"/>
            </w:pPr>
            <w:r w:rsidRPr="001C501B">
              <w:t>0</w:t>
            </w:r>
          </w:p>
        </w:tc>
        <w:tc>
          <w:tcPr>
            <w:tcW w:w="0" w:type="auto"/>
            <w:vAlign w:val="center"/>
          </w:tcPr>
          <w:p w:rsidR="00C23285" w:rsidRPr="00881E0E" w:rsidRDefault="00C23285" w:rsidP="00FB0C5E">
            <w:pPr>
              <w:pStyle w:val="TableText"/>
              <w:jc w:val="left"/>
              <w:rPr>
                <w:szCs w:val="18"/>
              </w:rPr>
            </w:pPr>
            <w:r w:rsidRPr="001C501B">
              <w:t xml:space="preserve">310.686 − </w:t>
            </w:r>
            <w:r w:rsidRPr="00881E0E">
              <w:rPr>
                <w:i/>
              </w:rPr>
              <w:t>S</w:t>
            </w:r>
            <w:r w:rsidRPr="00881E0E">
              <w:rPr>
                <w:i/>
                <w:szCs w:val="18"/>
                <w:vertAlign w:val="subscript"/>
              </w:rPr>
              <w:t>T</w:t>
            </w:r>
          </w:p>
        </w:tc>
      </w:tr>
      <w:tr w:rsidR="00C23285" w:rsidRPr="00881E0E" w:rsidTr="00FB0C5E">
        <w:trPr>
          <w:jc w:val="center"/>
        </w:trPr>
        <w:tc>
          <w:tcPr>
            <w:tcW w:w="0" w:type="auto"/>
            <w:vAlign w:val="center"/>
          </w:tcPr>
          <w:p w:rsidR="00C23285" w:rsidRDefault="00C23285" w:rsidP="00FB0C5E">
            <w:pPr>
              <w:pStyle w:val="TableText"/>
              <w:jc w:val="left"/>
            </w:pPr>
            <w:r w:rsidRPr="001C501B">
              <w:t xml:space="preserve">Buy tailed gold </w:t>
            </w:r>
            <w:r>
              <w:t xml:space="preserve">position, </w:t>
            </w:r>
          </w:p>
          <w:p w:rsidR="00C23285" w:rsidRPr="001C501B" w:rsidRDefault="00C23285" w:rsidP="00FB0C5E">
            <w:pPr>
              <w:pStyle w:val="TableText"/>
              <w:jc w:val="left"/>
            </w:pPr>
            <w:r>
              <w:t>lease rate @ 1.5%</w:t>
            </w:r>
          </w:p>
        </w:tc>
        <w:tc>
          <w:tcPr>
            <w:tcW w:w="0" w:type="auto"/>
            <w:vAlign w:val="center"/>
          </w:tcPr>
          <w:p w:rsidR="00C23285" w:rsidRDefault="00C23285" w:rsidP="00FB0C5E">
            <w:pPr>
              <w:pStyle w:val="TableText"/>
              <w:jc w:val="lef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300</w:t>
            </w:r>
            <w:r w:rsidRPr="00DB011F">
              <w:rPr>
                <w:rFonts w:hint="eastAsia"/>
                <w:i/>
                <w:lang w:eastAsia="zh-TW"/>
              </w:rPr>
              <w:t>e</w:t>
            </w:r>
            <w:r w:rsidRPr="00DB011F">
              <w:rPr>
                <w:vertAlign w:val="superscript"/>
              </w:rPr>
              <w:t>−</w:t>
            </w:r>
            <w:r w:rsidRPr="00DB011F">
              <w:rPr>
                <w:rFonts w:hint="eastAsia"/>
                <w:vertAlign w:val="superscript"/>
                <w:lang w:eastAsia="zh-TW"/>
              </w:rPr>
              <w:t>1.5%</w:t>
            </w:r>
            <w:r>
              <w:rPr>
                <w:vertAlign w:val="superscript"/>
                <w:lang w:eastAsia="zh-TW"/>
              </w:rPr>
              <w:t xml:space="preserve"> </w:t>
            </w:r>
            <w:r>
              <w:rPr>
                <w:lang w:eastAsia="zh-TW"/>
              </w:rPr>
              <w:t>=</w:t>
            </w:r>
          </w:p>
          <w:p w:rsidR="00C23285" w:rsidRPr="001C501B" w:rsidRDefault="00C23285" w:rsidP="00FB0C5E">
            <w:pPr>
              <w:pStyle w:val="TableText"/>
              <w:jc w:val="left"/>
            </w:pPr>
            <w:r w:rsidRPr="001C501B">
              <w:t>−295.5336</w:t>
            </w:r>
          </w:p>
        </w:tc>
        <w:tc>
          <w:tcPr>
            <w:tcW w:w="0" w:type="auto"/>
            <w:vAlign w:val="center"/>
          </w:tcPr>
          <w:p w:rsidR="00C23285" w:rsidRPr="00881E0E" w:rsidRDefault="00C23285" w:rsidP="00FB0C5E">
            <w:pPr>
              <w:pStyle w:val="TableText"/>
              <w:jc w:val="left"/>
              <w:rPr>
                <w:i/>
                <w:szCs w:val="18"/>
              </w:rPr>
            </w:pPr>
            <w:r w:rsidRPr="00881E0E">
              <w:rPr>
                <w:i/>
              </w:rPr>
              <w:t>S</w:t>
            </w:r>
            <w:r w:rsidRPr="00881E0E">
              <w:rPr>
                <w:i/>
                <w:szCs w:val="18"/>
                <w:vertAlign w:val="subscript"/>
              </w:rPr>
              <w:t>T</w:t>
            </w:r>
          </w:p>
        </w:tc>
      </w:tr>
      <w:tr w:rsidR="00C23285" w:rsidRPr="001C501B" w:rsidTr="00FB0C5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23285" w:rsidRPr="001C501B" w:rsidRDefault="00C23285" w:rsidP="00FB0C5E">
            <w:pPr>
              <w:pStyle w:val="TableText"/>
              <w:jc w:val="left"/>
            </w:pPr>
            <w:r w:rsidRPr="001C501B">
              <w:t xml:space="preserve">Total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23285" w:rsidRPr="001C501B" w:rsidRDefault="00C23285" w:rsidP="00FB0C5E">
            <w:pPr>
              <w:pStyle w:val="TableText"/>
              <w:jc w:val="left"/>
            </w:pPr>
            <w:r w:rsidRPr="001C501B">
              <w:t>−295.5336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23285" w:rsidRPr="001C501B" w:rsidRDefault="00C23285" w:rsidP="00FB0C5E">
            <w:pPr>
              <w:pStyle w:val="TableText"/>
              <w:jc w:val="left"/>
            </w:pPr>
            <w:r w:rsidRPr="001C501B">
              <w:t>310.686</w:t>
            </w:r>
          </w:p>
        </w:tc>
      </w:tr>
    </w:tbl>
    <w:p w:rsidR="00C23285" w:rsidRDefault="00C23285" w:rsidP="00C23285">
      <w:pPr>
        <w:pStyle w:val="ListContinue"/>
      </w:pPr>
    </w:p>
    <w:p w:rsidR="00C23285" w:rsidRDefault="00C23285" w:rsidP="00C23285">
      <w:pPr>
        <w:pStyle w:val="ListContinue"/>
        <w:ind w:left="480" w:firstLine="360"/>
      </w:pPr>
      <w:r w:rsidRPr="00DB011F">
        <w:rPr>
          <w:rFonts w:eastAsiaTheme="minorEastAsia"/>
          <w:position w:val="-30"/>
          <w:lang w:eastAsia="zh-TW"/>
        </w:rPr>
        <w:object w:dxaOrig="2180" w:dyaOrig="720">
          <v:shape id="_x0000_i1027" type="#_x0000_t75" style="width:108pt;height:36pt" o:ole="">
            <v:imagedata r:id="rId12" o:title=""/>
          </v:shape>
          <o:OLEObject Type="Embed" ProgID="Equation.DSMT4" ShapeID="_x0000_i1027" DrawAspect="Content" ObjectID="_1599478009" r:id="rId13"/>
        </w:object>
      </w:r>
    </w:p>
    <w:p w:rsidR="00C23285" w:rsidRPr="00077AB4" w:rsidRDefault="00C23285" w:rsidP="00C23285">
      <w:pPr>
        <w:pStyle w:val="ListContinue"/>
      </w:pPr>
      <w:r>
        <w:tab/>
      </w:r>
      <w:r>
        <w:rPr>
          <w:rFonts w:asciiTheme="minorHAnsi" w:eastAsiaTheme="minorEastAsia" w:hAnsiTheme="minorHAnsi" w:cstheme="minorBidi"/>
          <w:sz w:val="22"/>
          <w:szCs w:val="22"/>
          <w:lang w:eastAsia="zh-TW"/>
        </w:rPr>
        <w:t xml:space="preserve">Now the forward was fairly priced by </w:t>
      </w:r>
      <w:r w:rsidRPr="00546B96">
        <w:rPr>
          <w:rFonts w:asciiTheme="minorHAnsi" w:eastAsiaTheme="minorEastAsia" w:hAnsiTheme="minorHAnsi" w:cstheme="minorBidi"/>
          <w:sz w:val="22"/>
          <w:szCs w:val="22"/>
          <w:lang w:eastAsia="zh-TW"/>
        </w:rPr>
        <w:t>taking the implicit lease rate into account.</w:t>
      </w:r>
    </w:p>
    <w:p w:rsidR="00D462C0" w:rsidRPr="00C23285" w:rsidRDefault="00D462C0">
      <w:pPr>
        <w:rPr>
          <w:b/>
        </w:rPr>
      </w:pPr>
    </w:p>
    <w:p w:rsidR="00D462C0" w:rsidRDefault="00D462C0">
      <w:pPr>
        <w:rPr>
          <w:b/>
        </w:rPr>
      </w:pPr>
    </w:p>
    <w:p w:rsidR="007420BA" w:rsidRDefault="007420BA">
      <w:pPr>
        <w:rPr>
          <w:b/>
        </w:rPr>
      </w:pPr>
    </w:p>
    <w:p w:rsidR="007420BA" w:rsidRDefault="007420BA">
      <w:pPr>
        <w:rPr>
          <w:b/>
        </w:rPr>
      </w:pPr>
    </w:p>
    <w:p w:rsidR="007420BA" w:rsidRDefault="007420BA">
      <w:pPr>
        <w:rPr>
          <w:b/>
        </w:rPr>
      </w:pPr>
    </w:p>
    <w:p w:rsidR="007420BA" w:rsidRDefault="007420BA">
      <w:pPr>
        <w:rPr>
          <w:b/>
        </w:rPr>
      </w:pPr>
    </w:p>
    <w:p w:rsidR="00D462C0" w:rsidRPr="00D462C0" w:rsidRDefault="00D462C0">
      <w:pPr>
        <w:rPr>
          <w:b/>
        </w:rPr>
      </w:pPr>
    </w:p>
    <w:p w:rsidR="00495A34" w:rsidRDefault="00495A34" w:rsidP="00495A34"/>
    <w:p w:rsidR="00130D54" w:rsidRDefault="00130D54" w:rsidP="00130D5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</w:t>
      </w:r>
    </w:p>
    <w:p w:rsidR="00130D54" w:rsidRDefault="00130D54" w:rsidP="00495A34"/>
    <w:p w:rsidR="00495A34" w:rsidRPr="00495A34" w:rsidRDefault="00495A34" w:rsidP="00495A34">
      <w:pPr>
        <w:pStyle w:val="ListParagraph"/>
        <w:ind w:leftChars="0" w:left="720"/>
      </w:pPr>
    </w:p>
    <w:p w:rsidR="00301DBB" w:rsidRPr="002944B8" w:rsidRDefault="00301DBB" w:rsidP="002944B8">
      <w:pPr>
        <w:widowControl/>
        <w:rPr>
          <w:b/>
        </w:rPr>
      </w:pPr>
    </w:p>
    <w:sectPr w:rsidR="00301DBB" w:rsidRPr="002944B8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DCD" w:rsidRDefault="00384DCD" w:rsidP="00384DCD">
      <w:r>
        <w:separator/>
      </w:r>
    </w:p>
  </w:endnote>
  <w:endnote w:type="continuationSeparator" w:id="0">
    <w:p w:rsidR="00384DCD" w:rsidRDefault="00384DCD" w:rsidP="00384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3292042"/>
      <w:docPartObj>
        <w:docPartGallery w:val="Page Numbers (Bottom of Page)"/>
        <w:docPartUnique/>
      </w:docPartObj>
    </w:sdtPr>
    <w:sdtEndPr/>
    <w:sdtContent>
      <w:p w:rsidR="00384DCD" w:rsidRDefault="00384DC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2A03" w:rsidRPr="001E2A03">
          <w:rPr>
            <w:noProof/>
            <w:lang w:val="zh-TW"/>
          </w:rPr>
          <w:t>2</w:t>
        </w:r>
        <w:r>
          <w:fldChar w:fldCharType="end"/>
        </w:r>
      </w:p>
    </w:sdtContent>
  </w:sdt>
  <w:p w:rsidR="00384DCD" w:rsidRDefault="00384D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DCD" w:rsidRDefault="00384DCD" w:rsidP="00384DCD">
      <w:r>
        <w:separator/>
      </w:r>
    </w:p>
  </w:footnote>
  <w:footnote w:type="continuationSeparator" w:id="0">
    <w:p w:rsidR="00384DCD" w:rsidRDefault="00384DCD" w:rsidP="00384D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A5497"/>
    <w:multiLevelType w:val="hybridMultilevel"/>
    <w:tmpl w:val="1D7C7C02"/>
    <w:lvl w:ilvl="0" w:tplc="D4FE8D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F55D5"/>
    <w:multiLevelType w:val="hybridMultilevel"/>
    <w:tmpl w:val="4D9840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1A15079"/>
    <w:multiLevelType w:val="hybridMultilevel"/>
    <w:tmpl w:val="3E18AB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AE02E3"/>
    <w:multiLevelType w:val="hybridMultilevel"/>
    <w:tmpl w:val="E8581F12"/>
    <w:lvl w:ilvl="0" w:tplc="D6D8C10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ACA6666"/>
    <w:multiLevelType w:val="hybridMultilevel"/>
    <w:tmpl w:val="8424EFC0"/>
    <w:lvl w:ilvl="0" w:tplc="A58EECD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E3D3197"/>
    <w:multiLevelType w:val="hybridMultilevel"/>
    <w:tmpl w:val="BC6632AC"/>
    <w:lvl w:ilvl="0" w:tplc="0F188318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DBB"/>
    <w:rsid w:val="0001517C"/>
    <w:rsid w:val="000577DC"/>
    <w:rsid w:val="000B39B6"/>
    <w:rsid w:val="000E27C6"/>
    <w:rsid w:val="0012351C"/>
    <w:rsid w:val="00130D54"/>
    <w:rsid w:val="001E2A03"/>
    <w:rsid w:val="00252404"/>
    <w:rsid w:val="0027456F"/>
    <w:rsid w:val="002944B8"/>
    <w:rsid w:val="002A1891"/>
    <w:rsid w:val="00301DBB"/>
    <w:rsid w:val="00360B17"/>
    <w:rsid w:val="00370BE0"/>
    <w:rsid w:val="00384DCD"/>
    <w:rsid w:val="003C112B"/>
    <w:rsid w:val="003F32E3"/>
    <w:rsid w:val="00495A34"/>
    <w:rsid w:val="0051192A"/>
    <w:rsid w:val="00546F47"/>
    <w:rsid w:val="005C54F6"/>
    <w:rsid w:val="00657425"/>
    <w:rsid w:val="00666A33"/>
    <w:rsid w:val="006E1889"/>
    <w:rsid w:val="00716168"/>
    <w:rsid w:val="007420BA"/>
    <w:rsid w:val="007433F4"/>
    <w:rsid w:val="00745CD0"/>
    <w:rsid w:val="007E3603"/>
    <w:rsid w:val="00831370"/>
    <w:rsid w:val="008656E0"/>
    <w:rsid w:val="008D3B08"/>
    <w:rsid w:val="008F13A8"/>
    <w:rsid w:val="00972F91"/>
    <w:rsid w:val="009A2C6E"/>
    <w:rsid w:val="009C34C6"/>
    <w:rsid w:val="00AB06B4"/>
    <w:rsid w:val="00AE352E"/>
    <w:rsid w:val="00AF2693"/>
    <w:rsid w:val="00BA5BA3"/>
    <w:rsid w:val="00BD7974"/>
    <w:rsid w:val="00BE5C34"/>
    <w:rsid w:val="00C0030B"/>
    <w:rsid w:val="00C23285"/>
    <w:rsid w:val="00D462C0"/>
    <w:rsid w:val="00EA400F"/>
    <w:rsid w:val="00F26C6D"/>
    <w:rsid w:val="00FE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5EA950A"/>
  <w15:chartTrackingRefBased/>
  <w15:docId w15:val="{FD422210-3D5A-4FA1-83A3-BD10D740A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D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84DCD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84D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84DC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2351C"/>
    <w:pPr>
      <w:ind w:leftChars="200" w:left="480"/>
    </w:pPr>
  </w:style>
  <w:style w:type="table" w:styleId="TableGrid">
    <w:name w:val="Table Grid"/>
    <w:basedOn w:val="TableNormal"/>
    <w:uiPriority w:val="39"/>
    <w:rsid w:val="000E27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Continue">
    <w:name w:val="List Continue"/>
    <w:basedOn w:val="Normal"/>
    <w:rsid w:val="00C23285"/>
    <w:pPr>
      <w:widowControl/>
      <w:spacing w:after="120"/>
      <w:ind w:left="360" w:hanging="360"/>
      <w:jc w:val="both"/>
    </w:pPr>
    <w:rPr>
      <w:rFonts w:ascii="Times New Roman" w:eastAsia="Times New Roman" w:hAnsi="Times New Roman" w:cs="Times New Roman"/>
      <w:kern w:val="0"/>
      <w:szCs w:val="24"/>
      <w:lang w:eastAsia="en-US"/>
    </w:rPr>
  </w:style>
  <w:style w:type="paragraph" w:customStyle="1" w:styleId="UnnumberedEQ">
    <w:name w:val="UnnumberedEQ"/>
    <w:basedOn w:val="Normal"/>
    <w:link w:val="UnnumberedEQChar"/>
    <w:rsid w:val="00C23285"/>
    <w:pPr>
      <w:widowControl/>
      <w:spacing w:before="120" w:after="120"/>
      <w:jc w:val="center"/>
    </w:pPr>
    <w:rPr>
      <w:rFonts w:ascii="Times New Roman" w:eastAsia="Times New Roman" w:hAnsi="Times New Roman" w:cs="Times New Roman"/>
      <w:kern w:val="0"/>
      <w:szCs w:val="24"/>
      <w:lang w:eastAsia="en-US"/>
    </w:rPr>
  </w:style>
  <w:style w:type="paragraph" w:customStyle="1" w:styleId="TableText">
    <w:name w:val="Table Text"/>
    <w:basedOn w:val="Normal"/>
    <w:rsid w:val="00C23285"/>
    <w:pPr>
      <w:widowControl/>
      <w:spacing w:before="60" w:after="60"/>
      <w:jc w:val="center"/>
    </w:pPr>
    <w:rPr>
      <w:rFonts w:ascii="Times New Roman" w:hAnsi="Times New Roman" w:cs="Times New Roman"/>
      <w:kern w:val="0"/>
      <w:szCs w:val="24"/>
      <w:lang w:eastAsia="en-US"/>
    </w:rPr>
  </w:style>
  <w:style w:type="character" w:customStyle="1" w:styleId="UnnumberedEQChar">
    <w:name w:val="UnnumberedEQ Char"/>
    <w:basedOn w:val="DefaultParagraphFont"/>
    <w:link w:val="UnnumberedEQ"/>
    <w:rsid w:val="00C23285"/>
    <w:rPr>
      <w:rFonts w:ascii="Times New Roman" w:eastAsia="Times New Roman" w:hAnsi="Times New Roman" w:cs="Times New Roman"/>
      <w:kern w:val="0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16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1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Kwai Sun Leung</dc:creator>
  <cp:keywords/>
  <dc:description/>
  <cp:lastModifiedBy>Philip K.S. Leung (iDDA)</cp:lastModifiedBy>
  <cp:revision>5</cp:revision>
  <cp:lastPrinted>2018-09-26T06:40:00Z</cp:lastPrinted>
  <dcterms:created xsi:type="dcterms:W3CDTF">2018-09-24T04:09:00Z</dcterms:created>
  <dcterms:modified xsi:type="dcterms:W3CDTF">2018-09-26T06:40:00Z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