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75" w:rsidRPr="00D415F8" w:rsidRDefault="00D34629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MFE5130</w:t>
      </w:r>
      <w:r w:rsidR="00B37975" w:rsidRPr="00D415F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Financial Derivatives</w:t>
      </w:r>
    </w:p>
    <w:p w:rsidR="00B37975" w:rsidRPr="00D415F8" w:rsidRDefault="00EC6E3D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First Term, </w:t>
      </w:r>
      <w:r w:rsidR="00FD628B">
        <w:rPr>
          <w:rFonts w:ascii="Times New Roman" w:hAnsi="Times New Roman" w:cs="Times New Roman"/>
          <w:b/>
          <w:sz w:val="28"/>
          <w:szCs w:val="28"/>
        </w:rPr>
        <w:t>2016-17</w:t>
      </w:r>
    </w:p>
    <w:p w:rsidR="00B37975" w:rsidRPr="00D415F8" w:rsidRDefault="00B37975" w:rsidP="00B37975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5F8">
        <w:rPr>
          <w:rFonts w:ascii="Times New Roman" w:hAnsi="Times New Roman" w:cs="Times New Roman"/>
          <w:b/>
          <w:sz w:val="28"/>
          <w:szCs w:val="28"/>
        </w:rPr>
        <w:t>Midterm Examination</w:t>
      </w: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975" w:rsidRPr="00D415F8" w:rsidRDefault="00D34629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 Duration: </w:t>
      </w:r>
      <w:r w:rsidR="003405A5">
        <w:rPr>
          <w:rFonts w:ascii="Times New Roman" w:hAnsi="Times New Roman" w:cs="Times New Roman"/>
          <w:b/>
          <w:sz w:val="28"/>
          <w:szCs w:val="28"/>
        </w:rPr>
        <w:t>2 hours</w:t>
      </w:r>
    </w:p>
    <w:p w:rsidR="00B37975" w:rsidRP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B37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975" w:rsidRDefault="00B37975" w:rsidP="00B37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8E8" w:rsidRPr="00D378E8" w:rsidRDefault="00D378E8" w:rsidP="00D378E8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37975" w:rsidRPr="00B37975" w:rsidRDefault="00B37975" w:rsidP="00B379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975">
        <w:rPr>
          <w:rFonts w:ascii="Times New Roman" w:hAnsi="Times New Roman" w:cs="Times New Roman"/>
          <w:b/>
          <w:sz w:val="24"/>
          <w:szCs w:val="24"/>
        </w:rPr>
        <w:t>Instruction</w:t>
      </w:r>
    </w:p>
    <w:p w:rsidR="00B37975" w:rsidRP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>Total Marks: 100 points.</w:t>
      </w:r>
    </w:p>
    <w:p w:rsidR="00B37975" w:rsidRP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 xml:space="preserve">Answer </w:t>
      </w:r>
      <w:r w:rsidRPr="00B37975">
        <w:rPr>
          <w:rFonts w:ascii="Times New Roman" w:hAnsi="Times New Roman" w:cs="Times New Roman"/>
          <w:b/>
          <w:sz w:val="24"/>
          <w:szCs w:val="24"/>
        </w:rPr>
        <w:t>ALL</w:t>
      </w:r>
      <w:r w:rsidRPr="00B37975"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B37975" w:rsidRDefault="00B37975" w:rsidP="00D415F8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after="10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7975">
        <w:rPr>
          <w:rFonts w:ascii="Times New Roman" w:hAnsi="Times New Roman" w:cs="Times New Roman"/>
          <w:sz w:val="24"/>
          <w:szCs w:val="24"/>
        </w:rPr>
        <w:t>You must show all the steps in order to get full mark for each question.</w:t>
      </w:r>
    </w:p>
    <w:p w:rsidR="00B37975" w:rsidRDefault="00B37975" w:rsidP="00B3797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08" w:rsidRPr="00997AA7" w:rsidRDefault="00C0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:rsidR="00AA6F6E" w:rsidRPr="00AA6F6E" w:rsidRDefault="00886EC6" w:rsidP="00AA6F6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Suppose the S&amp;P index is 1,2</w:t>
      </w:r>
      <w:r w:rsidR="00FD628B" w:rsidRPr="00FD628B">
        <w:rPr>
          <w:rFonts w:ascii="Times New Roman" w:hAnsi="Times New Roman" w:cs="Times New Roman"/>
          <w:sz w:val="24"/>
          <w:szCs w:val="24"/>
        </w:rPr>
        <w:t>00 initi</w:t>
      </w:r>
      <w:r>
        <w:rPr>
          <w:rFonts w:ascii="Times New Roman" w:hAnsi="Times New Roman" w:cs="Times New Roman"/>
          <w:sz w:val="24"/>
          <w:szCs w:val="24"/>
        </w:rPr>
        <w:t>ally and an investor invests $11,000. If the index is below 1,200 after 3</w:t>
      </w:r>
      <w:r w:rsidR="00FD628B" w:rsidRPr="00FD628B">
        <w:rPr>
          <w:rFonts w:ascii="Times New Roman" w:hAnsi="Times New Roman" w:cs="Times New Roman"/>
          <w:sz w:val="24"/>
          <w:szCs w:val="24"/>
        </w:rPr>
        <w:t xml:space="preserve"> years, the CD returns </w:t>
      </w:r>
      <w:r>
        <w:rPr>
          <w:rFonts w:ascii="Times New Roman" w:hAnsi="Times New Roman" w:cs="Times New Roman"/>
          <w:sz w:val="24"/>
          <w:szCs w:val="24"/>
        </w:rPr>
        <w:t>to the investor the original $11</w:t>
      </w:r>
      <w:r w:rsidR="00FD628B" w:rsidRPr="00FD628B">
        <w:rPr>
          <w:rFonts w:ascii="Times New Roman" w:hAnsi="Times New Roman" w:cs="Times New Roman"/>
          <w:sz w:val="24"/>
          <w:szCs w:val="24"/>
        </w:rPr>
        <w:t>,000 investment. If the in</w:t>
      </w:r>
      <w:r>
        <w:rPr>
          <w:rFonts w:ascii="Times New Roman" w:hAnsi="Times New Roman" w:cs="Times New Roman"/>
          <w:sz w:val="24"/>
          <w:szCs w:val="24"/>
        </w:rPr>
        <w:t>dex is above 1,200 after 3</w:t>
      </w:r>
      <w:r w:rsidR="00FD628B" w:rsidRPr="00FD6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years, the investor receives $11,000 plus 8</w:t>
      </w:r>
      <w:r w:rsidR="00FD628B" w:rsidRPr="00FD628B">
        <w:rPr>
          <w:rFonts w:ascii="Times New Roman" w:hAnsi="Times New Roman" w:cs="Times New Roman"/>
          <w:sz w:val="24"/>
          <w:szCs w:val="24"/>
        </w:rPr>
        <w:t>0% of the percentage gain on the index. Ho</w:t>
      </w:r>
      <w:r>
        <w:rPr>
          <w:rFonts w:ascii="Times New Roman" w:hAnsi="Times New Roman" w:cs="Times New Roman"/>
          <w:sz w:val="24"/>
          <w:szCs w:val="24"/>
        </w:rPr>
        <w:t xml:space="preserve">wever, the </w:t>
      </w:r>
      <w:r w:rsidR="00C4757E">
        <w:rPr>
          <w:rFonts w:ascii="Times New Roman" w:hAnsi="Times New Roman" w:cs="Times New Roman"/>
          <w:sz w:val="24"/>
          <w:szCs w:val="24"/>
        </w:rPr>
        <w:t xml:space="preserve">percentage </w:t>
      </w:r>
      <w:r>
        <w:rPr>
          <w:rFonts w:ascii="Times New Roman" w:hAnsi="Times New Roman" w:cs="Times New Roman"/>
          <w:sz w:val="24"/>
          <w:szCs w:val="24"/>
        </w:rPr>
        <w:t xml:space="preserve">gain </w:t>
      </w:r>
      <w:r w:rsidR="00C4757E">
        <w:rPr>
          <w:rFonts w:ascii="Times New Roman" w:hAnsi="Times New Roman" w:cs="Times New Roman"/>
          <w:sz w:val="24"/>
          <w:szCs w:val="24"/>
        </w:rPr>
        <w:t xml:space="preserve">on the index </w:t>
      </w:r>
      <w:r>
        <w:rPr>
          <w:rFonts w:ascii="Times New Roman" w:hAnsi="Times New Roman" w:cs="Times New Roman"/>
          <w:sz w:val="24"/>
          <w:szCs w:val="24"/>
        </w:rPr>
        <w:t>is capped at 105</w:t>
      </w:r>
      <w:r w:rsidR="00FD628B" w:rsidRPr="00FD628B">
        <w:rPr>
          <w:rFonts w:ascii="Times New Roman" w:hAnsi="Times New Roman" w:cs="Times New Roman"/>
          <w:sz w:val="24"/>
          <w:szCs w:val="24"/>
        </w:rPr>
        <w:t>%</w:t>
      </w:r>
      <w:r w:rsidR="005760A1">
        <w:rPr>
          <w:rFonts w:ascii="Times New Roman" w:hAnsi="Times New Roman" w:cs="Times New Roman"/>
          <w:sz w:val="24"/>
          <w:szCs w:val="24"/>
        </w:rPr>
        <w:t xml:space="preserve"> in the CD</w:t>
      </w:r>
      <w:r w:rsidR="00FD628B" w:rsidRPr="00FD628B">
        <w:rPr>
          <w:rFonts w:ascii="Times New Roman" w:hAnsi="Times New Roman" w:cs="Times New Roman"/>
          <w:sz w:val="24"/>
          <w:szCs w:val="24"/>
        </w:rPr>
        <w:t xml:space="preserve">. </w:t>
      </w:r>
      <w:r w:rsidR="00C4757E">
        <w:rPr>
          <w:rFonts w:ascii="Times New Roman" w:hAnsi="Times New Roman" w:cs="Times New Roman"/>
          <w:sz w:val="24"/>
          <w:szCs w:val="24"/>
        </w:rPr>
        <w:t xml:space="preserve">The </w:t>
      </w:r>
      <w:r w:rsidR="00AA6F6E">
        <w:rPr>
          <w:rFonts w:ascii="Times New Roman" w:hAnsi="Times New Roman" w:cs="Times New Roman"/>
          <w:sz w:val="24"/>
          <w:szCs w:val="24"/>
        </w:rPr>
        <w:t xml:space="preserve">continuously compounded risk-free interest rate is 5%. </w:t>
      </w:r>
    </w:p>
    <w:p w:rsidR="00FD628B" w:rsidRPr="00FD628B" w:rsidRDefault="00FD628B" w:rsidP="00FD6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628B" w:rsidRDefault="004F4AB8" w:rsidP="00C4757E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A91DA9">
        <w:rPr>
          <w:rFonts w:ascii="Times New Roman" w:hAnsi="Times New Roman" w:cs="Times New Roman"/>
          <w:sz w:val="24"/>
          <w:szCs w:val="24"/>
        </w:rPr>
        <w:t>T</w:t>
      </w:r>
      <w:r w:rsidR="00FD628B" w:rsidRPr="00886EC6">
        <w:rPr>
          <w:rFonts w:ascii="Times New Roman" w:hAnsi="Times New Roman" w:cs="Times New Roman"/>
          <w:sz w:val="24"/>
          <w:szCs w:val="24"/>
        </w:rPr>
        <w:t xml:space="preserve">he final payoff </w:t>
      </w:r>
      <w:r w:rsidR="00A91DA9">
        <w:rPr>
          <w:rFonts w:ascii="Times New Roman" w:hAnsi="Times New Roman" w:cs="Times New Roman"/>
          <w:sz w:val="24"/>
          <w:szCs w:val="24"/>
        </w:rPr>
        <w:t>of this equity linked CD can be written as</w:t>
      </w:r>
    </w:p>
    <w:p w:rsidR="00C4757E" w:rsidRDefault="00C4757E" w:rsidP="00A91DA9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MR12" w:hAnsi="CMR12" w:cs="CMR12"/>
          <w:szCs w:val="24"/>
        </w:rPr>
      </w:pPr>
    </w:p>
    <w:p w:rsidR="00A91DA9" w:rsidRDefault="00EF2A8A" w:rsidP="00A91DA9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MR12" w:hAnsi="CMR12" w:cs="CMR12"/>
          <w:szCs w:val="24"/>
        </w:rPr>
      </w:pPr>
      <w:r w:rsidRPr="00AB4ACF">
        <w:rPr>
          <w:rFonts w:ascii="CMR12" w:hAnsi="CMR12" w:cs="CMR12"/>
          <w:position w:val="-28"/>
          <w:szCs w:val="24"/>
        </w:rPr>
        <w:object w:dxaOrig="5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1pt;height:32.85pt" o:ole="">
            <v:imagedata r:id="rId7" o:title=""/>
          </v:shape>
          <o:OLEObject Type="Embed" ProgID="Equation.DSMT4" ShapeID="_x0000_i1025" DrawAspect="Content" ObjectID="_1539342513" r:id="rId8"/>
        </w:object>
      </w:r>
    </w:p>
    <w:p w:rsidR="00EF2A8A" w:rsidRPr="00EF2A8A" w:rsidRDefault="00EF2A8A" w:rsidP="00EF2A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proofErr w:type="gramStart"/>
      <w:r w:rsidRPr="00EF2A8A">
        <w:rPr>
          <w:rFonts w:ascii="Times New Roman" w:eastAsia="新細明體" w:hAnsi="Times New Roman" w:cs="Times New Roman"/>
          <w:sz w:val="24"/>
          <w:szCs w:val="24"/>
          <w:lang w:eastAsia="zh-TW"/>
        </w:rPr>
        <w:t>where</w:t>
      </w:r>
      <w:proofErr w:type="gramEnd"/>
      <w:r w:rsidRPr="00EF2A8A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EF2A8A">
        <w:rPr>
          <w:rFonts w:ascii="Times New Roman" w:eastAsia="新細明體" w:hAnsi="Times New Roman" w:cs="Times New Roman"/>
          <w:i/>
          <w:sz w:val="24"/>
          <w:szCs w:val="24"/>
          <w:lang w:eastAsia="zh-TW"/>
        </w:rPr>
        <w:t>S</w:t>
      </w:r>
      <w:r w:rsidRPr="00EF2A8A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3</w:t>
      </w:r>
      <w:r w:rsidRPr="00EF2A8A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is the value of the S&amp;P index at the end of year 3.</w:t>
      </w:r>
    </w:p>
    <w:p w:rsidR="004F4AB8" w:rsidRDefault="00A91DA9" w:rsidP="00C4757E">
      <w:pPr>
        <w:autoSpaceDE w:val="0"/>
        <w:autoSpaceDN w:val="0"/>
        <w:adjustRightInd w:val="0"/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Find the values of </w:t>
      </w:r>
      <w:r w:rsidRPr="00A91DA9">
        <w:rPr>
          <w:rFonts w:ascii="Times New Roman" w:hAnsi="Times New Roman" w:cs="Times New Roman"/>
          <w:i/>
          <w:sz w:val="24"/>
          <w:szCs w:val="24"/>
        </w:rPr>
        <w:t>K</w:t>
      </w:r>
      <w:r w:rsidRPr="00A91DA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91DA9">
        <w:rPr>
          <w:rFonts w:ascii="Times New Roman" w:hAnsi="Times New Roman" w:cs="Times New Roman"/>
          <w:i/>
          <w:sz w:val="24"/>
          <w:szCs w:val="24"/>
        </w:rPr>
        <w:t>K</w:t>
      </w:r>
      <w:r w:rsidRPr="00A91D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AB8" w:rsidRPr="00A91DA9" w:rsidRDefault="004F4AB8" w:rsidP="00A91D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7F0" w:rsidRDefault="003967F0" w:rsidP="00EF2A8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points) What option spread is </w:t>
      </w:r>
      <w:r w:rsidR="00056FF5">
        <w:rPr>
          <w:rFonts w:ascii="Times New Roman" w:hAnsi="Times New Roman" w:cs="Times New Roman"/>
          <w:sz w:val="24"/>
          <w:szCs w:val="24"/>
        </w:rPr>
        <w:t>embedded in</w:t>
      </w:r>
      <w:r>
        <w:rPr>
          <w:rFonts w:ascii="Times New Roman" w:hAnsi="Times New Roman" w:cs="Times New Roman"/>
          <w:sz w:val="24"/>
          <w:szCs w:val="24"/>
        </w:rPr>
        <w:t xml:space="preserve"> this equity linked CD?</w:t>
      </w:r>
    </w:p>
    <w:p w:rsidR="003967F0" w:rsidRDefault="003967F0" w:rsidP="003967F0">
      <w:pPr>
        <w:pStyle w:val="a3"/>
        <w:autoSpaceDE w:val="0"/>
        <w:autoSpaceDN w:val="0"/>
        <w:adjustRightInd w:val="0"/>
        <w:spacing w:after="160" w:line="24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886EC6" w:rsidRPr="003967F0" w:rsidRDefault="003967F0" w:rsidP="003967F0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16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="004F4AB8">
        <w:rPr>
          <w:rFonts w:ascii="Times New Roman" w:hAnsi="Times New Roman" w:cs="Times New Roman"/>
          <w:sz w:val="24"/>
          <w:szCs w:val="24"/>
        </w:rPr>
        <w:t xml:space="preserve"> points)</w:t>
      </w:r>
      <w:r w:rsidR="00005FA4">
        <w:rPr>
          <w:rFonts w:ascii="Times New Roman" w:hAnsi="Times New Roman" w:cs="Times New Roman"/>
          <w:sz w:val="24"/>
          <w:szCs w:val="24"/>
        </w:rPr>
        <w:t xml:space="preserve"> </w:t>
      </w:r>
      <w:r w:rsidR="00785248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the fair price</w:t>
      </w:r>
      <w:r w:rsidR="00005FA4" w:rsidRPr="003967F0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option spread </w:t>
      </w:r>
      <w:r w:rsidR="00F70066">
        <w:rPr>
          <w:rFonts w:ascii="Times New Roman" w:hAnsi="Times New Roman" w:cs="Times New Roman"/>
          <w:sz w:val="24"/>
          <w:szCs w:val="24"/>
        </w:rPr>
        <w:t xml:space="preserve">obtained </w:t>
      </w:r>
      <w:r>
        <w:rPr>
          <w:rFonts w:ascii="Times New Roman" w:hAnsi="Times New Roman" w:cs="Times New Roman"/>
          <w:sz w:val="24"/>
          <w:szCs w:val="24"/>
        </w:rPr>
        <w:t>in (b)</w:t>
      </w:r>
      <w:r w:rsidR="00785248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F74EAF" w:rsidRPr="005760A1" w:rsidRDefault="00F74EAF" w:rsidP="005760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8B" w:rsidRDefault="00FD628B" w:rsidP="00FD6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4EAF" w:rsidRDefault="00F74EAF" w:rsidP="00F74EAF">
      <w:pPr>
        <w:pStyle w:val="a3"/>
        <w:numPr>
          <w:ilvl w:val="0"/>
          <w:numId w:val="11"/>
        </w:numPr>
        <w:tabs>
          <w:tab w:val="left" w:pos="360"/>
        </w:tabs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(20 points) Two European put options expire in 1 year. The put options have the same underlying asset, but they have different strike prices and premiums.</w:t>
      </w:r>
    </w:p>
    <w:p w:rsidR="00F74EAF" w:rsidRPr="00A33255" w:rsidRDefault="00F74EAF" w:rsidP="00F74EAF">
      <w:pPr>
        <w:pStyle w:val="a3"/>
        <w:ind w:left="3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664"/>
        <w:gridCol w:w="2623"/>
        <w:gridCol w:w="2623"/>
      </w:tblGrid>
      <w:tr w:rsidR="00F74EAF" w:rsidTr="00765814">
        <w:tc>
          <w:tcPr>
            <w:tcW w:w="2876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Put Option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A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B</w:t>
            </w:r>
          </w:p>
        </w:tc>
      </w:tr>
      <w:tr w:rsidR="00F74EAF" w:rsidTr="00765814">
        <w:tc>
          <w:tcPr>
            <w:tcW w:w="2876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Strike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50.00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55.00</w:t>
            </w:r>
          </w:p>
        </w:tc>
      </w:tr>
      <w:tr w:rsidR="00F74EAF" w:rsidTr="00765814">
        <w:tc>
          <w:tcPr>
            <w:tcW w:w="2876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Premium 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4.00</w:t>
            </w:r>
          </w:p>
        </w:tc>
        <w:tc>
          <w:tcPr>
            <w:tcW w:w="2877" w:type="dxa"/>
          </w:tcPr>
          <w:p w:rsidR="00F74EAF" w:rsidRDefault="00F74EAF" w:rsidP="00765814">
            <w:pPr>
              <w:pStyle w:val="a3"/>
              <w:tabs>
                <w:tab w:val="left" w:pos="360"/>
              </w:tabs>
              <w:ind w:left="0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8.75</w:t>
            </w:r>
          </w:p>
        </w:tc>
      </w:tr>
    </w:tbl>
    <w:p w:rsidR="00F74EAF" w:rsidRPr="00A11FD5" w:rsidRDefault="00F74EAF" w:rsidP="00F74EAF">
      <w:pPr>
        <w:pStyle w:val="a3"/>
        <w:tabs>
          <w:tab w:val="left" w:pos="360"/>
        </w:tabs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continuousl</w:t>
      </w:r>
      <w:r w:rsidR="004834AA">
        <w:rPr>
          <w:rFonts w:ascii="Times New Roman" w:hAnsi="Times New Roman" w:cs="Times New Roman"/>
          <w:sz w:val="24"/>
          <w:szCs w:val="24"/>
        </w:rPr>
        <w:t xml:space="preserve">y compounded risk-free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="004834AA">
        <w:rPr>
          <w:rFonts w:ascii="Times New Roman" w:hAnsi="Times New Roman" w:cs="Times New Roman"/>
          <w:sz w:val="24"/>
          <w:szCs w:val="24"/>
        </w:rPr>
        <w:t xml:space="preserve">of return </w:t>
      </w:r>
      <w:r>
        <w:rPr>
          <w:rFonts w:ascii="Times New Roman" w:hAnsi="Times New Roman" w:cs="Times New Roman"/>
          <w:sz w:val="24"/>
          <w:szCs w:val="24"/>
        </w:rPr>
        <w:t>is 9%.</w:t>
      </w: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profit-maximizing arbitrageur constructs an arbitrage strategy. </w:t>
      </w: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Arbitrage profits are accumu</w:t>
      </w:r>
      <w:r w:rsidR="004834AA">
        <w:rPr>
          <w:rFonts w:ascii="Times New Roman" w:hAnsi="Times New Roman" w:cs="Times New Roman"/>
          <w:sz w:val="24"/>
          <w:szCs w:val="24"/>
        </w:rPr>
        <w:t xml:space="preserve">lated at the risk-free </w:t>
      </w:r>
      <w:r>
        <w:rPr>
          <w:rFonts w:ascii="Times New Roman" w:hAnsi="Times New Roman" w:cs="Times New Roman"/>
          <w:sz w:val="24"/>
          <w:szCs w:val="24"/>
        </w:rPr>
        <w:t>rate</w:t>
      </w:r>
      <w:r w:rsidR="004834AA">
        <w:rPr>
          <w:rFonts w:ascii="Times New Roman" w:hAnsi="Times New Roman" w:cs="Times New Roman"/>
          <w:sz w:val="24"/>
          <w:szCs w:val="24"/>
        </w:rPr>
        <w:t xml:space="preserve"> of return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stock price is $48 at the end of the year, then the accumulated arbitrage profits are $</w:t>
      </w:r>
      <w:r w:rsidRPr="00A33255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stock price is $52 at the end of the year, then the accumulated arbitrage profits are $</w:t>
      </w:r>
      <w:r w:rsidRPr="00A33255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4EAF" w:rsidRDefault="00F74EAF" w:rsidP="00F74EAF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A33255">
        <w:rPr>
          <w:rFonts w:ascii="Times New Roman" w:hAnsi="Times New Roman" w:cs="Times New Roman"/>
          <w:position w:val="-24"/>
          <w:sz w:val="24"/>
          <w:szCs w:val="24"/>
        </w:rPr>
        <w:object w:dxaOrig="380" w:dyaOrig="620">
          <v:shape id="_x0000_i1026" type="#_x0000_t75" style="width:19pt;height:30.85pt" o:ole="">
            <v:imagedata r:id="rId9" o:title=""/>
          </v:shape>
          <o:OLEObject Type="Embed" ProgID="Equation.DSMT4" ShapeID="_x0000_i1026" DrawAspect="Content" ObjectID="_1539342514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EAF" w:rsidRDefault="00F74EAF" w:rsidP="00FD6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4EAF" w:rsidRDefault="00F74EA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B017C3" w:rsidRPr="00303B66" w:rsidRDefault="00B017C3" w:rsidP="00F74EA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lastRenderedPageBreak/>
        <w:t xml:space="preserve">Suppose that a transportation company must buy 1,000 barrels of oil every six months, for 3 years, starting 6 months from now. Instead of buying six separate long forward contracts, the company enters into a long swap contract. </w:t>
      </w:r>
      <w:r w:rsidR="004834AA">
        <w:rPr>
          <w:rFonts w:ascii="Times New Roman" w:hAnsi="Times New Roman" w:cs="Times New Roman"/>
          <w:sz w:val="24"/>
          <w:szCs w:val="24"/>
        </w:rPr>
        <w:t xml:space="preserve">The notional amount of the swap contract is 1,000 barrels. </w:t>
      </w:r>
      <w:r w:rsidRPr="00303B66">
        <w:rPr>
          <w:rFonts w:ascii="Times New Roman" w:hAnsi="Times New Roman" w:cs="Times New Roman"/>
          <w:sz w:val="24"/>
          <w:szCs w:val="24"/>
        </w:rPr>
        <w:t xml:space="preserve">The payment of the swap will be made at the delivery times. The current forward prices of oil are </w:t>
      </w:r>
    </w:p>
    <w:p w:rsidR="005A2C68" w:rsidRPr="00303B66" w:rsidRDefault="005A2C68" w:rsidP="00B01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864"/>
        <w:gridCol w:w="864"/>
        <w:gridCol w:w="864"/>
        <w:gridCol w:w="864"/>
        <w:gridCol w:w="864"/>
        <w:gridCol w:w="864"/>
      </w:tblGrid>
      <w:tr w:rsidR="00B017C3" w:rsidRPr="00303B66" w:rsidTr="005A2C68">
        <w:trPr>
          <w:jc w:val="center"/>
        </w:trPr>
        <w:tc>
          <w:tcPr>
            <w:tcW w:w="1710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Forward Price </w:t>
            </w:r>
          </w:p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A2C68"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per barrel) 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64" w:type="dxa"/>
          </w:tcPr>
          <w:p w:rsidR="00B017C3" w:rsidRPr="00303B66" w:rsidRDefault="004834AA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017C3" w:rsidRPr="00303B66" w:rsidTr="005A2C68">
        <w:trPr>
          <w:jc w:val="center"/>
        </w:trPr>
        <w:tc>
          <w:tcPr>
            <w:tcW w:w="1710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Expiration </w:t>
            </w:r>
          </w:p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(in months)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64" w:type="dxa"/>
          </w:tcPr>
          <w:p w:rsidR="00B017C3" w:rsidRPr="00303B66" w:rsidRDefault="00B017C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B017C3" w:rsidRPr="00303B66" w:rsidRDefault="00B017C3" w:rsidP="00B01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7C3" w:rsidRPr="00303B66" w:rsidRDefault="00B017C3" w:rsidP="00F74EA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t xml:space="preserve">Zero-coupon risk-free bonds are available with the following maturities and </w:t>
      </w:r>
      <w:r w:rsidR="00EF2A8A">
        <w:rPr>
          <w:rFonts w:ascii="Times New Roman" w:hAnsi="Times New Roman" w:cs="Times New Roman"/>
          <w:sz w:val="24"/>
          <w:szCs w:val="24"/>
        </w:rPr>
        <w:t xml:space="preserve">annualized </w:t>
      </w:r>
      <w:r w:rsidR="00636663" w:rsidRPr="00303B66">
        <w:rPr>
          <w:rFonts w:ascii="Times New Roman" w:hAnsi="Times New Roman" w:cs="Times New Roman"/>
          <w:sz w:val="24"/>
          <w:szCs w:val="24"/>
        </w:rPr>
        <w:t xml:space="preserve">continuously compounded </w:t>
      </w:r>
      <w:r w:rsidR="00EF2A8A">
        <w:rPr>
          <w:rFonts w:ascii="Times New Roman" w:hAnsi="Times New Roman" w:cs="Times New Roman"/>
          <w:sz w:val="24"/>
          <w:szCs w:val="24"/>
        </w:rPr>
        <w:t>yield</w:t>
      </w:r>
      <w:r w:rsidRPr="00303B66">
        <w:rPr>
          <w:rFonts w:ascii="Times New Roman" w:hAnsi="Times New Roman" w:cs="Times New Roman"/>
          <w:sz w:val="24"/>
          <w:szCs w:val="24"/>
        </w:rPr>
        <w:t>:</w:t>
      </w:r>
    </w:p>
    <w:p w:rsidR="00154C53" w:rsidRPr="00303B66" w:rsidRDefault="00154C53" w:rsidP="00B01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867"/>
      </w:tblGrid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Maturity (in months)</w:t>
            </w:r>
          </w:p>
        </w:tc>
        <w:tc>
          <w:tcPr>
            <w:tcW w:w="2867" w:type="dxa"/>
          </w:tcPr>
          <w:p w:rsidR="00154C53" w:rsidRPr="00303B66" w:rsidRDefault="00EF2A8A" w:rsidP="00EF2A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Annualized continuously compounded y</w:t>
            </w:r>
            <w:r w:rsidR="00154C53" w:rsidRPr="00303B66">
              <w:rPr>
                <w:rFonts w:ascii="Times New Roman" w:hAnsi="Times New Roman" w:cs="Times New Roman"/>
                <w:sz w:val="24"/>
                <w:szCs w:val="24"/>
              </w:rPr>
              <w:t>ield (%)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67" w:type="dxa"/>
          </w:tcPr>
          <w:p w:rsidR="00154C53" w:rsidRPr="00303B66" w:rsidRDefault="0063666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67" w:type="dxa"/>
          </w:tcPr>
          <w:p w:rsidR="00154C53" w:rsidRPr="00303B66" w:rsidRDefault="0063666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5.52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67" w:type="dxa"/>
          </w:tcPr>
          <w:p w:rsidR="00154C53" w:rsidRPr="00303B66" w:rsidRDefault="0063666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5.57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67" w:type="dxa"/>
          </w:tcPr>
          <w:p w:rsidR="00154C53" w:rsidRPr="00303B66" w:rsidRDefault="0063666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5.62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67" w:type="dxa"/>
          </w:tcPr>
          <w:p w:rsidR="00154C53" w:rsidRPr="00303B66" w:rsidRDefault="004834AA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5.67</w:t>
            </w:r>
          </w:p>
        </w:tc>
      </w:tr>
      <w:tr w:rsidR="00154C53" w:rsidRPr="00303B66" w:rsidTr="00EF2A8A">
        <w:trPr>
          <w:jc w:val="center"/>
        </w:trPr>
        <w:tc>
          <w:tcPr>
            <w:tcW w:w="2515" w:type="dxa"/>
          </w:tcPr>
          <w:p w:rsidR="00154C53" w:rsidRPr="00303B66" w:rsidRDefault="00154C53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67" w:type="dxa"/>
          </w:tcPr>
          <w:p w:rsidR="00154C53" w:rsidRPr="00303B66" w:rsidRDefault="004834AA" w:rsidP="00B017C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5.75</w:t>
            </w:r>
          </w:p>
        </w:tc>
      </w:tr>
    </w:tbl>
    <w:p w:rsidR="00B017C3" w:rsidRPr="00303B66" w:rsidRDefault="00B017C3" w:rsidP="00B01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DAE" w:rsidRPr="00303B66" w:rsidRDefault="006A0D6C" w:rsidP="00F74EA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F74EAF" w:rsidRPr="00303B66">
        <w:rPr>
          <w:rFonts w:ascii="Times New Roman" w:hAnsi="Times New Roman" w:cs="Times New Roman"/>
          <w:sz w:val="24"/>
          <w:szCs w:val="24"/>
        </w:rPr>
        <w:t>With level payments, fi</w:t>
      </w:r>
      <w:r w:rsidR="00B017C3" w:rsidRPr="00303B66">
        <w:rPr>
          <w:rFonts w:ascii="Times New Roman" w:hAnsi="Times New Roman" w:cs="Times New Roman"/>
          <w:sz w:val="24"/>
          <w:szCs w:val="24"/>
        </w:rPr>
        <w:t xml:space="preserve">nd the </w:t>
      </w:r>
      <w:r w:rsidR="004834AA">
        <w:rPr>
          <w:rFonts w:ascii="Times New Roman" w:hAnsi="Times New Roman" w:cs="Times New Roman"/>
          <w:sz w:val="24"/>
          <w:szCs w:val="24"/>
        </w:rPr>
        <w:t xml:space="preserve">fixed swap </w:t>
      </w:r>
      <w:r w:rsidR="00B017C3" w:rsidRPr="00303B66">
        <w:rPr>
          <w:rFonts w:ascii="Times New Roman" w:hAnsi="Times New Roman" w:cs="Times New Roman"/>
          <w:sz w:val="24"/>
          <w:szCs w:val="24"/>
        </w:rPr>
        <w:t>price pe</w:t>
      </w:r>
      <w:r w:rsidR="00F74EAF" w:rsidRPr="00303B66">
        <w:rPr>
          <w:rFonts w:ascii="Times New Roman" w:hAnsi="Times New Roman" w:cs="Times New Roman"/>
          <w:sz w:val="24"/>
          <w:szCs w:val="24"/>
        </w:rPr>
        <w:t xml:space="preserve">r barrel of oil </w:t>
      </w:r>
      <w:r w:rsidR="004834AA">
        <w:rPr>
          <w:rFonts w:ascii="Times New Roman" w:hAnsi="Times New Roman" w:cs="Times New Roman"/>
          <w:sz w:val="24"/>
          <w:szCs w:val="24"/>
        </w:rPr>
        <w:t xml:space="preserve">in </w:t>
      </w:r>
      <w:r w:rsidR="00F74EAF" w:rsidRPr="00303B66">
        <w:rPr>
          <w:rFonts w:ascii="Times New Roman" w:hAnsi="Times New Roman" w:cs="Times New Roman"/>
          <w:sz w:val="24"/>
          <w:szCs w:val="24"/>
        </w:rPr>
        <w:t>the swap.</w:t>
      </w:r>
    </w:p>
    <w:p w:rsidR="00DA7DAE" w:rsidRPr="00303B66" w:rsidRDefault="00DA7DAE" w:rsidP="00DA7D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AE" w:rsidRPr="00303B66" w:rsidRDefault="006A0D6C" w:rsidP="00303B66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B017C3" w:rsidRPr="00303B66">
        <w:rPr>
          <w:rFonts w:ascii="Times New Roman" w:hAnsi="Times New Roman" w:cs="Times New Roman"/>
          <w:sz w:val="24"/>
          <w:szCs w:val="24"/>
        </w:rPr>
        <w:t>Suppose the swap is settled in cash. Assume that the spot rate for oil in</w:t>
      </w:r>
      <w:r w:rsidR="00F74EAF" w:rsidRPr="00303B66">
        <w:rPr>
          <w:rFonts w:ascii="Times New Roman" w:hAnsi="Times New Roman" w:cs="Times New Roman"/>
          <w:sz w:val="24"/>
          <w:szCs w:val="24"/>
        </w:rPr>
        <w:t xml:space="preserve"> </w:t>
      </w:r>
      <w:r w:rsidR="00B017C3" w:rsidRPr="00303B66">
        <w:rPr>
          <w:rFonts w:ascii="Times New Roman" w:hAnsi="Times New Roman" w:cs="Times New Roman"/>
          <w:sz w:val="24"/>
          <w:szCs w:val="24"/>
        </w:rPr>
        <w:t>18 mont</w:t>
      </w:r>
      <w:r w:rsidR="004567F2" w:rsidRPr="00303B66">
        <w:rPr>
          <w:rFonts w:ascii="Times New Roman" w:hAnsi="Times New Roman" w:cs="Times New Roman"/>
          <w:sz w:val="24"/>
          <w:szCs w:val="24"/>
        </w:rPr>
        <w:t>hs is $57</w:t>
      </w:r>
      <w:r w:rsidR="00B90DEE">
        <w:rPr>
          <w:rFonts w:ascii="Times New Roman" w:hAnsi="Times New Roman" w:cs="Times New Roman"/>
          <w:sz w:val="24"/>
          <w:szCs w:val="24"/>
        </w:rPr>
        <w:t xml:space="preserve"> per barrel</w:t>
      </w:r>
      <w:r w:rsidR="004567F2" w:rsidRPr="00303B66">
        <w:rPr>
          <w:rFonts w:ascii="Times New Roman" w:hAnsi="Times New Roman" w:cs="Times New Roman"/>
          <w:sz w:val="24"/>
          <w:szCs w:val="24"/>
        </w:rPr>
        <w:t xml:space="preserve">. Calculate the </w:t>
      </w:r>
      <w:r w:rsidR="004834AA">
        <w:rPr>
          <w:rFonts w:ascii="Times New Roman" w:hAnsi="Times New Roman" w:cs="Times New Roman"/>
          <w:sz w:val="24"/>
          <w:szCs w:val="24"/>
        </w:rPr>
        <w:t xml:space="preserve">net cash flow of the transportation company in 18 months. </w:t>
      </w:r>
      <w:r w:rsidR="003D7653" w:rsidRPr="00B14D0F">
        <w:rPr>
          <w:rFonts w:ascii="Times New Roman" w:hAnsi="Times New Roman" w:cs="Times New Roman"/>
          <w:sz w:val="24"/>
          <w:szCs w:val="24"/>
        </w:rPr>
        <w:t>Please</w:t>
      </w:r>
      <w:r w:rsidR="004834AA" w:rsidRPr="00B14D0F">
        <w:rPr>
          <w:rFonts w:ascii="Times New Roman" w:hAnsi="Times New Roman" w:cs="Times New Roman"/>
          <w:sz w:val="24"/>
          <w:szCs w:val="24"/>
        </w:rPr>
        <w:t xml:space="preserve"> indicate clearly </w:t>
      </w:r>
      <w:r w:rsidR="003D7653" w:rsidRPr="00B14D0F">
        <w:rPr>
          <w:rFonts w:ascii="Times New Roman" w:hAnsi="Times New Roman" w:cs="Times New Roman"/>
          <w:sz w:val="24"/>
          <w:szCs w:val="24"/>
        </w:rPr>
        <w:t xml:space="preserve">that </w:t>
      </w:r>
      <w:r w:rsidR="00B90DEE" w:rsidRPr="00B14D0F">
        <w:rPr>
          <w:rFonts w:ascii="Times New Roman" w:hAnsi="Times New Roman" w:cs="Times New Roman"/>
          <w:sz w:val="24"/>
          <w:szCs w:val="24"/>
        </w:rPr>
        <w:t xml:space="preserve">this net cash flow </w:t>
      </w:r>
      <w:r w:rsidR="003D7653" w:rsidRPr="00B14D0F">
        <w:rPr>
          <w:rFonts w:ascii="Times New Roman" w:hAnsi="Times New Roman" w:cs="Times New Roman"/>
          <w:sz w:val="24"/>
          <w:szCs w:val="24"/>
        </w:rPr>
        <w:t>is the cash inflow or outflow of the transportation company.</w:t>
      </w:r>
    </w:p>
    <w:p w:rsidR="00DA7DAE" w:rsidRPr="00303B66" w:rsidRDefault="00DA7DAE" w:rsidP="00DA7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7C3" w:rsidRPr="00303B66" w:rsidRDefault="006A0D6C" w:rsidP="003D765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B017C3" w:rsidRPr="00303B66">
        <w:rPr>
          <w:rFonts w:ascii="Times New Roman" w:hAnsi="Times New Roman" w:cs="Times New Roman"/>
          <w:sz w:val="24"/>
          <w:szCs w:val="24"/>
        </w:rPr>
        <w:t xml:space="preserve">Suppose that immediately after the swap </w:t>
      </w:r>
      <w:r w:rsidR="004834AA">
        <w:rPr>
          <w:rFonts w:ascii="Times New Roman" w:hAnsi="Times New Roman" w:cs="Times New Roman"/>
          <w:sz w:val="24"/>
          <w:szCs w:val="24"/>
        </w:rPr>
        <w:t>is signed up, the forward</w:t>
      </w:r>
      <w:r w:rsidR="00F74EAF" w:rsidRPr="00303B66">
        <w:rPr>
          <w:rFonts w:ascii="Times New Roman" w:hAnsi="Times New Roman" w:cs="Times New Roman"/>
          <w:sz w:val="24"/>
          <w:szCs w:val="24"/>
        </w:rPr>
        <w:t xml:space="preserve"> prices </w:t>
      </w:r>
      <w:r w:rsidR="00B017C3" w:rsidRPr="00303B66">
        <w:rPr>
          <w:rFonts w:ascii="Times New Roman" w:hAnsi="Times New Roman" w:cs="Times New Roman"/>
          <w:sz w:val="24"/>
          <w:szCs w:val="24"/>
        </w:rPr>
        <w:t>of oil are given by the table</w:t>
      </w:r>
    </w:p>
    <w:p w:rsidR="00DA7DAE" w:rsidRPr="00303B66" w:rsidRDefault="00DA7DAE" w:rsidP="00DA7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864"/>
        <w:gridCol w:w="864"/>
        <w:gridCol w:w="864"/>
        <w:gridCol w:w="864"/>
        <w:gridCol w:w="864"/>
        <w:gridCol w:w="864"/>
      </w:tblGrid>
      <w:tr w:rsidR="00F74EAF" w:rsidRPr="00303B66" w:rsidTr="00765814">
        <w:trPr>
          <w:jc w:val="center"/>
        </w:trPr>
        <w:tc>
          <w:tcPr>
            <w:tcW w:w="1710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Forward Price </w:t>
            </w:r>
          </w:p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($ per barrel) 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74EAF" w:rsidRPr="00303B66" w:rsidTr="00765814">
        <w:trPr>
          <w:jc w:val="center"/>
        </w:trPr>
        <w:tc>
          <w:tcPr>
            <w:tcW w:w="1710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 xml:space="preserve">Expiration </w:t>
            </w:r>
          </w:p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(in months)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64" w:type="dxa"/>
          </w:tcPr>
          <w:p w:rsidR="00F74EAF" w:rsidRPr="00303B66" w:rsidRDefault="00F74EAF" w:rsidP="007658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B6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B017C3" w:rsidRPr="00303B66" w:rsidRDefault="00DA7DAE" w:rsidP="0055009B">
      <w:pPr>
        <w:tabs>
          <w:tab w:val="left" w:pos="720"/>
        </w:tabs>
        <w:spacing w:before="20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03B66">
        <w:rPr>
          <w:rFonts w:ascii="Times New Roman" w:hAnsi="Times New Roman" w:cs="Times New Roman"/>
          <w:sz w:val="24"/>
          <w:szCs w:val="24"/>
        </w:rPr>
        <w:tab/>
      </w:r>
      <w:r w:rsidR="0055009B">
        <w:rPr>
          <w:rFonts w:ascii="Times New Roman" w:hAnsi="Times New Roman" w:cs="Times New Roman"/>
          <w:sz w:val="24"/>
          <w:szCs w:val="24"/>
        </w:rPr>
        <w:t>Assume that there i</w:t>
      </w:r>
      <w:r w:rsidR="003D7653">
        <w:rPr>
          <w:rFonts w:ascii="Times New Roman" w:hAnsi="Times New Roman" w:cs="Times New Roman"/>
          <w:sz w:val="24"/>
          <w:szCs w:val="24"/>
        </w:rPr>
        <w:t xml:space="preserve">s no change for the yield </w:t>
      </w:r>
      <w:r w:rsidR="0055009B">
        <w:rPr>
          <w:rFonts w:ascii="Times New Roman" w:hAnsi="Times New Roman" w:cs="Times New Roman"/>
          <w:sz w:val="24"/>
          <w:szCs w:val="24"/>
        </w:rPr>
        <w:t xml:space="preserve">of the zero-coupon bonds. Find </w:t>
      </w:r>
      <w:r w:rsidR="00B017C3" w:rsidRPr="00303B66">
        <w:rPr>
          <w:rFonts w:ascii="Times New Roman" w:hAnsi="Times New Roman" w:cs="Times New Roman"/>
          <w:sz w:val="24"/>
          <w:szCs w:val="24"/>
        </w:rPr>
        <w:t>t</w:t>
      </w:r>
      <w:r w:rsidR="00AA07CB">
        <w:rPr>
          <w:rFonts w:ascii="Times New Roman" w:hAnsi="Times New Roman" w:cs="Times New Roman"/>
          <w:sz w:val="24"/>
          <w:szCs w:val="24"/>
        </w:rPr>
        <w:t xml:space="preserve">he market value of the swap in </w:t>
      </w:r>
      <w:r w:rsidR="00B017C3" w:rsidRPr="00303B66">
        <w:rPr>
          <w:rFonts w:ascii="Times New Roman" w:hAnsi="Times New Roman" w:cs="Times New Roman"/>
          <w:sz w:val="24"/>
          <w:szCs w:val="24"/>
        </w:rPr>
        <w:t xml:space="preserve">the </w:t>
      </w:r>
      <w:r w:rsidR="00AA07CB">
        <w:rPr>
          <w:rFonts w:ascii="Times New Roman" w:hAnsi="Times New Roman" w:cs="Times New Roman"/>
          <w:sz w:val="24"/>
          <w:szCs w:val="24"/>
        </w:rPr>
        <w:t xml:space="preserve">perspective of the </w:t>
      </w:r>
      <w:r w:rsidR="004834AA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="00B017C3" w:rsidRPr="00303B66">
        <w:rPr>
          <w:rFonts w:ascii="Times New Roman" w:hAnsi="Times New Roman" w:cs="Times New Roman"/>
          <w:sz w:val="24"/>
          <w:szCs w:val="24"/>
        </w:rPr>
        <w:t>company.</w:t>
      </w:r>
    </w:p>
    <w:p w:rsidR="00B90DEE" w:rsidRDefault="00B90DEE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F74EAF" w:rsidRPr="00F74EAF" w:rsidRDefault="00B90DEE" w:rsidP="00F74EA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lastRenderedPageBreak/>
        <w:t xml:space="preserve"> </w:t>
      </w:r>
      <w:r w:rsidR="006A0D6C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(15 points) 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>Suppose t</w:t>
      </w:r>
      <w:r w:rsidR="00E14ACC">
        <w:rPr>
          <w:rFonts w:ascii="Times New Roman" w:eastAsia="新細明體" w:hAnsi="Times New Roman" w:cs="Times New Roman"/>
          <w:sz w:val="24"/>
          <w:szCs w:val="24"/>
          <w:lang w:eastAsia="zh-TW"/>
        </w:rPr>
        <w:t>he current stock price is $60.25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and the continuously compounded </w:t>
      </w:r>
      <w:r w:rsidR="00C0646A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risk-free 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>intere</w:t>
      </w:r>
      <w:r w:rsidR="001C600D">
        <w:rPr>
          <w:rFonts w:ascii="Times New Roman" w:eastAsia="新細明體" w:hAnsi="Times New Roman" w:cs="Times New Roman"/>
          <w:sz w:val="24"/>
          <w:szCs w:val="24"/>
          <w:lang w:eastAsia="zh-TW"/>
        </w:rPr>
        <w:t>st rate is 4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>%. The stock pays dividen</w:t>
      </w:r>
      <w:r w:rsidR="00E14ACC">
        <w:rPr>
          <w:rFonts w:ascii="Times New Roman" w:eastAsia="新細明體" w:hAnsi="Times New Roman" w:cs="Times New Roman"/>
          <w:sz w:val="24"/>
          <w:szCs w:val="24"/>
          <w:lang w:eastAsia="zh-TW"/>
        </w:rPr>
        <w:t>d of $3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.20 </w:t>
      </w:r>
      <w:r w:rsidR="00E14ACC">
        <w:rPr>
          <w:rFonts w:ascii="Times New Roman" w:eastAsia="新細明體" w:hAnsi="Times New Roman" w:cs="Times New Roman"/>
          <w:sz w:val="24"/>
          <w:szCs w:val="24"/>
          <w:lang w:eastAsia="zh-TW"/>
        </w:rPr>
        <w:t>i</w:t>
      </w:r>
      <w:r w:rsidR="001C600D">
        <w:rPr>
          <w:rFonts w:ascii="Times New Roman" w:eastAsia="新細明體" w:hAnsi="Times New Roman" w:cs="Times New Roman"/>
          <w:sz w:val="24"/>
          <w:szCs w:val="24"/>
          <w:lang w:eastAsia="zh-TW"/>
        </w:rPr>
        <w:t>n six</w:t>
      </w:r>
      <w:r w:rsidR="00E14ACC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months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. You </w:t>
      </w:r>
      <w:r w:rsidR="001C600D">
        <w:rPr>
          <w:rFonts w:ascii="Times New Roman" w:eastAsia="新細明體" w:hAnsi="Times New Roman" w:cs="Times New Roman"/>
          <w:sz w:val="24"/>
          <w:szCs w:val="24"/>
          <w:lang w:eastAsia="zh-TW"/>
        </w:rPr>
        <w:t>observe a 9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>-month forward contract with forward pric</w:t>
      </w:r>
      <w:r w:rsidR="00DB6575">
        <w:rPr>
          <w:rFonts w:ascii="Times New Roman" w:eastAsia="新細明體" w:hAnsi="Times New Roman" w:cs="Times New Roman"/>
          <w:sz w:val="24"/>
          <w:szCs w:val="24"/>
          <w:lang w:eastAsia="zh-TW"/>
        </w:rPr>
        <w:t>e $52.13</w:t>
      </w:r>
      <w:r w:rsidR="00F74EAF" w:rsidRPr="00F74EAF">
        <w:rPr>
          <w:rFonts w:ascii="Times New Roman" w:eastAsia="新細明體" w:hAnsi="Times New Roman" w:cs="Times New Roman"/>
          <w:sz w:val="24"/>
          <w:szCs w:val="24"/>
          <w:lang w:eastAsia="zh-TW"/>
        </w:rPr>
        <w:t>. Is there an arbitrage opportunity on the forward contract? If so, describe the strategy to realize profi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t and find the </w:t>
      </w:r>
      <w:r w:rsidR="00F62DEE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accumulated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arbitrage profit</w:t>
      </w:r>
      <w:r w:rsidR="008D522C">
        <w:rPr>
          <w:rFonts w:ascii="Times New Roman" w:eastAsia="新細明體" w:hAnsi="Times New Roman" w:cs="Times New Roman"/>
          <w:sz w:val="24"/>
          <w:szCs w:val="24"/>
          <w:lang w:eastAsia="zh-TW"/>
        </w:rPr>
        <w:t>s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at the end of 9 months.</w:t>
      </w:r>
    </w:p>
    <w:p w:rsidR="00F74EAF" w:rsidRDefault="00F74EAF" w:rsidP="00B017C3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E1B1D" w:rsidRPr="00B90DEE" w:rsidRDefault="00BE1B1D" w:rsidP="00B90DE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B90DEE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(20 points) </w:t>
      </w:r>
      <w:r w:rsidRPr="00B90DEE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Consider 4 sets of options. All of the options are European options on the same stock, and all of the options expire in 2 years. </w:t>
      </w:r>
    </w:p>
    <w:p w:rsidR="00BE1B1D" w:rsidRDefault="00BE1B1D" w:rsidP="00BE1B1D">
      <w:pPr>
        <w:pStyle w:val="a3"/>
        <w:autoSpaceDE w:val="0"/>
        <w:autoSpaceDN w:val="0"/>
        <w:adjustRightInd w:val="0"/>
        <w:spacing w:before="160" w:after="160" w:line="240" w:lineRule="auto"/>
        <w:ind w:left="357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E1B1D" w:rsidRDefault="00BE1B1D" w:rsidP="00BE1B1D">
      <w:pPr>
        <w:pStyle w:val="a3"/>
        <w:autoSpaceDE w:val="0"/>
        <w:autoSpaceDN w:val="0"/>
        <w:adjustRightInd w:val="0"/>
        <w:spacing w:before="160" w:after="160" w:line="240" w:lineRule="auto"/>
        <w:ind w:left="357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BE1B1D">
        <w:rPr>
          <w:rFonts w:ascii="Times New Roman" w:eastAsia="新細明體" w:hAnsi="Times New Roman" w:cs="Times New Roman"/>
          <w:sz w:val="24"/>
          <w:szCs w:val="24"/>
          <w:lang w:eastAsia="zh-TW"/>
        </w:rPr>
        <w:t>Set 1 contains a long call option with a strike price of $48 and a short put option with a strike price of $54. The current value of Set 1 is $11.91.</w:t>
      </w: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Set 2 contains a long put option with a strike price of $48 and a short call option with a strike price of $54. The current value of Set 2 is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sym w:font="Symbol" w:char="F02D"/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$10.53.</w:t>
      </w: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Set 3 contains a long call option with a strike price of $55 and a short put option with a strike price of $47. The current value of Set 3 is $10.30.</w:t>
      </w: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E1B1D" w:rsidRDefault="00BE1B1D" w:rsidP="00BE1B1D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Set 4 contains a long put option with a strike price of $55 and a short call option with a strike price of $47.</w:t>
      </w:r>
    </w:p>
    <w:p w:rsidR="00BE1B1D" w:rsidRDefault="00BE1B1D" w:rsidP="00BE1B1D">
      <w:pPr>
        <w:tabs>
          <w:tab w:val="left" w:pos="360"/>
        </w:tabs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</w:r>
    </w:p>
    <w:p w:rsidR="00BE1B1D" w:rsidRDefault="00BE1B1D" w:rsidP="00BE1B1D">
      <w:pPr>
        <w:tabs>
          <w:tab w:val="left" w:pos="360"/>
        </w:tabs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  <w:t>Determine the current value of Set 4.</w:t>
      </w:r>
    </w:p>
    <w:p w:rsidR="00BE1B1D" w:rsidRPr="00BE1B1D" w:rsidRDefault="00BE1B1D" w:rsidP="00BE1B1D">
      <w:pPr>
        <w:tabs>
          <w:tab w:val="left" w:pos="360"/>
        </w:tabs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A11FD5" w:rsidRDefault="00A11FD5" w:rsidP="00A11FD5">
      <w:pPr>
        <w:tabs>
          <w:tab w:val="left" w:pos="360"/>
        </w:tabs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73197" w:rsidRPr="00B73197" w:rsidRDefault="00B73197" w:rsidP="00B73197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D628B" w:rsidRPr="00B73197" w:rsidRDefault="00FD628B" w:rsidP="00B73197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628B" w:rsidRPr="00FD628B" w:rsidRDefault="00FD628B" w:rsidP="00B731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5F8" w:rsidRPr="00FD628B" w:rsidRDefault="00D415F8" w:rsidP="00FD628B">
      <w:pPr>
        <w:autoSpaceDE w:val="0"/>
        <w:autoSpaceDN w:val="0"/>
        <w:adjustRightInd w:val="0"/>
        <w:spacing w:before="100"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5F8" w:rsidRDefault="00D415F8" w:rsidP="00D415F8">
      <w:pPr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15F8">
        <w:rPr>
          <w:rFonts w:ascii="Times New Roman" w:hAnsi="Times New Roman" w:cs="Times New Roman"/>
          <w:i/>
          <w:sz w:val="24"/>
          <w:szCs w:val="24"/>
        </w:rPr>
        <w:t>End</w:t>
      </w:r>
    </w:p>
    <w:p w:rsidR="009F74EF" w:rsidRDefault="009F74E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9F74EF" w:rsidRPr="009F74EF" w:rsidRDefault="009F74EF" w:rsidP="00D415F8">
      <w:pPr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Scratch Paper</w:t>
      </w:r>
    </w:p>
    <w:sectPr w:rsidR="009F74EF" w:rsidRPr="009F74EF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50B" w:rsidRDefault="0077250B" w:rsidP="00C04D08">
      <w:pPr>
        <w:spacing w:after="0" w:line="240" w:lineRule="auto"/>
      </w:pPr>
      <w:r>
        <w:separator/>
      </w:r>
    </w:p>
  </w:endnote>
  <w:endnote w:type="continuationSeparator" w:id="0">
    <w:p w:rsidR="0077250B" w:rsidRDefault="0077250B" w:rsidP="00C0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85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D08" w:rsidRDefault="00C04D08">
        <w:pPr>
          <w:pStyle w:val="a9"/>
          <w:jc w:val="center"/>
        </w:pPr>
        <w:r w:rsidRPr="004D4082">
          <w:rPr>
            <w:rFonts w:ascii="Times New Roman" w:hAnsi="Times New Roman" w:cs="Times New Roman"/>
          </w:rPr>
          <w:fldChar w:fldCharType="begin"/>
        </w:r>
        <w:r w:rsidRPr="004D4082">
          <w:rPr>
            <w:rFonts w:ascii="Times New Roman" w:hAnsi="Times New Roman" w:cs="Times New Roman"/>
          </w:rPr>
          <w:instrText xml:space="preserve"> PAGE   \* MERGEFORMAT </w:instrText>
        </w:r>
        <w:r w:rsidRPr="004D4082">
          <w:rPr>
            <w:rFonts w:ascii="Times New Roman" w:hAnsi="Times New Roman" w:cs="Times New Roman"/>
          </w:rPr>
          <w:fldChar w:fldCharType="separate"/>
        </w:r>
        <w:r w:rsidR="00F70066">
          <w:rPr>
            <w:rFonts w:ascii="Times New Roman" w:hAnsi="Times New Roman" w:cs="Times New Roman"/>
            <w:noProof/>
          </w:rPr>
          <w:t>4</w:t>
        </w:r>
        <w:r w:rsidRPr="004D408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04D08" w:rsidRDefault="00C04D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50B" w:rsidRDefault="0077250B" w:rsidP="00C04D08">
      <w:pPr>
        <w:spacing w:after="0" w:line="240" w:lineRule="auto"/>
      </w:pPr>
      <w:r>
        <w:separator/>
      </w:r>
    </w:p>
  </w:footnote>
  <w:footnote w:type="continuationSeparator" w:id="0">
    <w:p w:rsidR="0077250B" w:rsidRDefault="0077250B" w:rsidP="00C0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1F4"/>
    <w:multiLevelType w:val="hybridMultilevel"/>
    <w:tmpl w:val="8604C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0536"/>
    <w:multiLevelType w:val="hybridMultilevel"/>
    <w:tmpl w:val="DFA2DAF0"/>
    <w:lvl w:ilvl="0" w:tplc="91D07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3946"/>
    <w:multiLevelType w:val="hybridMultilevel"/>
    <w:tmpl w:val="A142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A4CF4"/>
    <w:multiLevelType w:val="hybridMultilevel"/>
    <w:tmpl w:val="E4AAD4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622A"/>
    <w:multiLevelType w:val="hybridMultilevel"/>
    <w:tmpl w:val="FD36C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37028"/>
    <w:multiLevelType w:val="hybridMultilevel"/>
    <w:tmpl w:val="166A5BFE"/>
    <w:lvl w:ilvl="0" w:tplc="041621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7719"/>
    <w:multiLevelType w:val="hybridMultilevel"/>
    <w:tmpl w:val="8190FA58"/>
    <w:lvl w:ilvl="0" w:tplc="2B46866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A53EF4"/>
    <w:multiLevelType w:val="hybridMultilevel"/>
    <w:tmpl w:val="CF4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14492"/>
    <w:multiLevelType w:val="hybridMultilevel"/>
    <w:tmpl w:val="2E4E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80209"/>
    <w:multiLevelType w:val="hybridMultilevel"/>
    <w:tmpl w:val="8604C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06003"/>
    <w:multiLevelType w:val="hybridMultilevel"/>
    <w:tmpl w:val="371E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13219"/>
    <w:multiLevelType w:val="hybridMultilevel"/>
    <w:tmpl w:val="F960729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00CF"/>
    <w:multiLevelType w:val="hybridMultilevel"/>
    <w:tmpl w:val="4566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3E4A"/>
    <w:multiLevelType w:val="hybridMultilevel"/>
    <w:tmpl w:val="49D86BB4"/>
    <w:lvl w:ilvl="0" w:tplc="F490E5EC">
      <w:start w:val="1"/>
      <w:numFmt w:val="lowerRoman"/>
      <w:lvlText w:val="(%1)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1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75"/>
    <w:rsid w:val="00005FA4"/>
    <w:rsid w:val="00026F23"/>
    <w:rsid w:val="000347D6"/>
    <w:rsid w:val="00056FF5"/>
    <w:rsid w:val="000606F4"/>
    <w:rsid w:val="00085665"/>
    <w:rsid w:val="000A1DFD"/>
    <w:rsid w:val="000D1FC6"/>
    <w:rsid w:val="00115AAD"/>
    <w:rsid w:val="00122803"/>
    <w:rsid w:val="0013047E"/>
    <w:rsid w:val="00147329"/>
    <w:rsid w:val="00154C53"/>
    <w:rsid w:val="00164FAC"/>
    <w:rsid w:val="00187E01"/>
    <w:rsid w:val="001C600D"/>
    <w:rsid w:val="00220B32"/>
    <w:rsid w:val="00242EDB"/>
    <w:rsid w:val="00252C8A"/>
    <w:rsid w:val="00254B27"/>
    <w:rsid w:val="00281E1E"/>
    <w:rsid w:val="0029424E"/>
    <w:rsid w:val="002A1CF3"/>
    <w:rsid w:val="002B6153"/>
    <w:rsid w:val="002E3C8D"/>
    <w:rsid w:val="002E3F5E"/>
    <w:rsid w:val="00303B66"/>
    <w:rsid w:val="003123C0"/>
    <w:rsid w:val="00335AEF"/>
    <w:rsid w:val="003405A5"/>
    <w:rsid w:val="00360A65"/>
    <w:rsid w:val="00371370"/>
    <w:rsid w:val="00372B8A"/>
    <w:rsid w:val="003967F0"/>
    <w:rsid w:val="003A5DF8"/>
    <w:rsid w:val="003C5640"/>
    <w:rsid w:val="003D1473"/>
    <w:rsid w:val="003D7653"/>
    <w:rsid w:val="003F5376"/>
    <w:rsid w:val="00400C95"/>
    <w:rsid w:val="004567F2"/>
    <w:rsid w:val="0047731D"/>
    <w:rsid w:val="004834AA"/>
    <w:rsid w:val="00493EB1"/>
    <w:rsid w:val="004D4082"/>
    <w:rsid w:val="004D4F7E"/>
    <w:rsid w:val="004F4AB8"/>
    <w:rsid w:val="00510FCA"/>
    <w:rsid w:val="00516EA0"/>
    <w:rsid w:val="0055009B"/>
    <w:rsid w:val="005760A1"/>
    <w:rsid w:val="00580EED"/>
    <w:rsid w:val="005A0177"/>
    <w:rsid w:val="005A2C68"/>
    <w:rsid w:val="005B4DA6"/>
    <w:rsid w:val="005B7EEE"/>
    <w:rsid w:val="005C1FAB"/>
    <w:rsid w:val="005D50FC"/>
    <w:rsid w:val="005E736C"/>
    <w:rsid w:val="006018B7"/>
    <w:rsid w:val="006135CC"/>
    <w:rsid w:val="006148DC"/>
    <w:rsid w:val="00624E43"/>
    <w:rsid w:val="00627E59"/>
    <w:rsid w:val="00636663"/>
    <w:rsid w:val="006766C0"/>
    <w:rsid w:val="00682BE5"/>
    <w:rsid w:val="006870DA"/>
    <w:rsid w:val="006A0D6C"/>
    <w:rsid w:val="006A17C6"/>
    <w:rsid w:val="006D0D70"/>
    <w:rsid w:val="006D6E29"/>
    <w:rsid w:val="00764DD3"/>
    <w:rsid w:val="0077250B"/>
    <w:rsid w:val="00783241"/>
    <w:rsid w:val="00785248"/>
    <w:rsid w:val="007B08B5"/>
    <w:rsid w:val="007D2913"/>
    <w:rsid w:val="007F4411"/>
    <w:rsid w:val="0084424D"/>
    <w:rsid w:val="008503B2"/>
    <w:rsid w:val="00883990"/>
    <w:rsid w:val="00886EC6"/>
    <w:rsid w:val="008B0757"/>
    <w:rsid w:val="008D522C"/>
    <w:rsid w:val="008E089D"/>
    <w:rsid w:val="008F16A8"/>
    <w:rsid w:val="008F408C"/>
    <w:rsid w:val="009274CB"/>
    <w:rsid w:val="00955518"/>
    <w:rsid w:val="00971C43"/>
    <w:rsid w:val="00986601"/>
    <w:rsid w:val="00997AA7"/>
    <w:rsid w:val="009B2851"/>
    <w:rsid w:val="009D17DD"/>
    <w:rsid w:val="009E72D4"/>
    <w:rsid w:val="009F0093"/>
    <w:rsid w:val="009F74EF"/>
    <w:rsid w:val="00A11FD5"/>
    <w:rsid w:val="00A20CCC"/>
    <w:rsid w:val="00A33255"/>
    <w:rsid w:val="00A62F6A"/>
    <w:rsid w:val="00A91DA9"/>
    <w:rsid w:val="00AA07CB"/>
    <w:rsid w:val="00AA6F6E"/>
    <w:rsid w:val="00AB6A41"/>
    <w:rsid w:val="00AF275B"/>
    <w:rsid w:val="00B017C3"/>
    <w:rsid w:val="00B14D0F"/>
    <w:rsid w:val="00B20F50"/>
    <w:rsid w:val="00B26EC9"/>
    <w:rsid w:val="00B37975"/>
    <w:rsid w:val="00B73197"/>
    <w:rsid w:val="00B866FA"/>
    <w:rsid w:val="00B90DEE"/>
    <w:rsid w:val="00BC4031"/>
    <w:rsid w:val="00BE1B1D"/>
    <w:rsid w:val="00BF36A4"/>
    <w:rsid w:val="00BF62F1"/>
    <w:rsid w:val="00C04D08"/>
    <w:rsid w:val="00C0646A"/>
    <w:rsid w:val="00C4757E"/>
    <w:rsid w:val="00CC6686"/>
    <w:rsid w:val="00D250D4"/>
    <w:rsid w:val="00D34629"/>
    <w:rsid w:val="00D378E8"/>
    <w:rsid w:val="00D415F8"/>
    <w:rsid w:val="00D42D88"/>
    <w:rsid w:val="00D67E85"/>
    <w:rsid w:val="00DA7DAE"/>
    <w:rsid w:val="00DB6575"/>
    <w:rsid w:val="00DB7068"/>
    <w:rsid w:val="00DF0678"/>
    <w:rsid w:val="00DF1E50"/>
    <w:rsid w:val="00DF53EC"/>
    <w:rsid w:val="00E14ACC"/>
    <w:rsid w:val="00E16E15"/>
    <w:rsid w:val="00E2234D"/>
    <w:rsid w:val="00E55BC5"/>
    <w:rsid w:val="00E81831"/>
    <w:rsid w:val="00EB4C93"/>
    <w:rsid w:val="00EC6E3D"/>
    <w:rsid w:val="00EC735F"/>
    <w:rsid w:val="00ED0046"/>
    <w:rsid w:val="00EF2A8A"/>
    <w:rsid w:val="00F133A1"/>
    <w:rsid w:val="00F45578"/>
    <w:rsid w:val="00F62DEE"/>
    <w:rsid w:val="00F63CA5"/>
    <w:rsid w:val="00F70066"/>
    <w:rsid w:val="00F74EAF"/>
    <w:rsid w:val="00F92080"/>
    <w:rsid w:val="00FA726A"/>
    <w:rsid w:val="00FB1DE0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docId w15:val="{A5655B36-0F7E-4452-AF28-C51FF420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975"/>
    <w:pPr>
      <w:ind w:left="720"/>
      <w:contextualSpacing/>
    </w:pPr>
  </w:style>
  <w:style w:type="paragraph" w:customStyle="1" w:styleId="Default">
    <w:name w:val="Default"/>
    <w:rsid w:val="00F63C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F63C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6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C04D08"/>
  </w:style>
  <w:style w:type="paragraph" w:styleId="a9">
    <w:name w:val="footer"/>
    <w:basedOn w:val="a"/>
    <w:link w:val="aa"/>
    <w:uiPriority w:val="99"/>
    <w:unhideWhenUsed/>
    <w:rsid w:val="00C04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C0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LEUNG, Kwai Sun</dc:creator>
  <cp:lastModifiedBy>Kwai Sun Leung</cp:lastModifiedBy>
  <cp:revision>48</cp:revision>
  <cp:lastPrinted>2016-10-12T08:06:00Z</cp:lastPrinted>
  <dcterms:created xsi:type="dcterms:W3CDTF">2016-10-04T10:11:00Z</dcterms:created>
  <dcterms:modified xsi:type="dcterms:W3CDTF">2016-10-30T06:22:00Z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