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91" w:rsidRPr="005129DA" w:rsidRDefault="00CF4573" w:rsidP="00CF4573">
      <w:pPr>
        <w:jc w:val="center"/>
        <w:rPr>
          <w:b/>
          <w:sz w:val="28"/>
          <w:szCs w:val="28"/>
        </w:rPr>
      </w:pPr>
      <w:bookmarkStart w:id="0" w:name="_GoBack"/>
      <w:bookmarkEnd w:id="0"/>
      <w:r w:rsidRPr="005129DA">
        <w:rPr>
          <w:b/>
          <w:sz w:val="28"/>
          <w:szCs w:val="28"/>
        </w:rPr>
        <w:t>Tutorial - Class Activity</w:t>
      </w:r>
    </w:p>
    <w:p w:rsidR="00CF4573" w:rsidRDefault="00D3400A" w:rsidP="00CF4573">
      <w:pPr>
        <w:jc w:val="center"/>
        <w:rPr>
          <w:b/>
          <w:sz w:val="28"/>
          <w:szCs w:val="28"/>
        </w:rPr>
      </w:pPr>
      <w:r>
        <w:rPr>
          <w:b/>
          <w:sz w:val="28"/>
          <w:szCs w:val="28"/>
        </w:rPr>
        <w:t>26</w:t>
      </w:r>
      <w:r w:rsidR="00CF4573" w:rsidRPr="005129DA">
        <w:rPr>
          <w:b/>
          <w:sz w:val="28"/>
          <w:szCs w:val="28"/>
        </w:rPr>
        <w:t xml:space="preserve"> </w:t>
      </w:r>
      <w:r>
        <w:rPr>
          <w:b/>
          <w:sz w:val="28"/>
          <w:szCs w:val="28"/>
        </w:rPr>
        <w:t>September, 2018</w:t>
      </w:r>
      <w:r w:rsidR="006228D8">
        <w:rPr>
          <w:b/>
          <w:sz w:val="28"/>
          <w:szCs w:val="28"/>
        </w:rPr>
        <w:t xml:space="preserve"> (Solution)</w:t>
      </w:r>
    </w:p>
    <w:p w:rsidR="004C7646" w:rsidRDefault="004C7646" w:rsidP="00CF4573">
      <w:pPr>
        <w:jc w:val="center"/>
        <w:rPr>
          <w:b/>
          <w:sz w:val="28"/>
          <w:szCs w:val="28"/>
        </w:rPr>
      </w:pPr>
      <w:r w:rsidRPr="004C7646">
        <w:rPr>
          <w:b/>
          <w:noProof/>
          <w:sz w:val="28"/>
          <w:szCs w:val="28"/>
        </w:rPr>
        <w:drawing>
          <wp:inline distT="0" distB="0" distL="0" distR="0">
            <wp:extent cx="5943600" cy="1687092"/>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7092"/>
                    </a:xfrm>
                    <a:prstGeom prst="rect">
                      <a:avLst/>
                    </a:prstGeom>
                    <a:noFill/>
                    <a:ln>
                      <a:noFill/>
                    </a:ln>
                  </pic:spPr>
                </pic:pic>
              </a:graphicData>
            </a:graphic>
          </wp:inline>
        </w:drawing>
      </w:r>
    </w:p>
    <w:p w:rsidR="004C7646" w:rsidRDefault="006228D8" w:rsidP="006228D8">
      <w:pPr>
        <w:rPr>
          <w:b/>
          <w:sz w:val="28"/>
          <w:szCs w:val="28"/>
        </w:rPr>
      </w:pPr>
      <w:r>
        <w:rPr>
          <w:rFonts w:hint="eastAsia"/>
          <w:b/>
          <w:sz w:val="28"/>
          <w:szCs w:val="28"/>
        </w:rPr>
        <w:t>Solution</w:t>
      </w:r>
    </w:p>
    <w:p w:rsidR="00112F46" w:rsidRPr="00357D43" w:rsidRDefault="00112F46" w:rsidP="009B2420">
      <w:pPr>
        <w:pStyle w:val="a7"/>
      </w:pPr>
      <w:r w:rsidRPr="00357D43">
        <w:t>a)</w:t>
      </w:r>
      <w:r>
        <w:tab/>
      </w:r>
      <w:r w:rsidRPr="009B2420">
        <w:rPr>
          <w:rFonts w:asciiTheme="minorHAnsi" w:eastAsiaTheme="minorEastAsia" w:hAnsiTheme="minorHAnsi" w:cstheme="minorBidi"/>
          <w:sz w:val="22"/>
          <w:szCs w:val="22"/>
          <w:lang w:eastAsia="zh-TW"/>
        </w:rPr>
        <w:t>We plug the continuously compounded interest rate, the forward price, the initial index level and the time to expiration in years into the valuation formula and solve for the dividend yield:</w:t>
      </w:r>
    </w:p>
    <w:p w:rsidR="00112F46" w:rsidRPr="00170DA9" w:rsidRDefault="00112F46" w:rsidP="00112F46">
      <w:pPr>
        <w:tabs>
          <w:tab w:val="left" w:pos="1440"/>
          <w:tab w:val="left" w:pos="2040"/>
        </w:tabs>
        <w:rPr>
          <w:vertAlign w:val="subscript"/>
          <w:lang w:val="pt-BR"/>
        </w:rPr>
      </w:pPr>
      <w:r>
        <w:rPr>
          <w:i/>
          <w:lang w:val="pt-BR"/>
        </w:rPr>
        <w:tab/>
      </w:r>
      <w:r>
        <w:rPr>
          <w:i/>
          <w:lang w:val="pt-BR"/>
        </w:rPr>
        <w:tab/>
      </w:r>
      <w:r w:rsidRPr="00170DA9">
        <w:rPr>
          <w:i/>
          <w:lang w:val="pt-BR"/>
        </w:rPr>
        <w:t>F</w:t>
      </w:r>
      <w:r w:rsidRPr="00EC5378">
        <w:rPr>
          <w:vertAlign w:val="subscript"/>
          <w:lang w:val="pt-BR"/>
        </w:rPr>
        <w:t>0,</w:t>
      </w:r>
      <w:r w:rsidRPr="00170DA9">
        <w:rPr>
          <w:i/>
          <w:vertAlign w:val="subscript"/>
          <w:lang w:val="pt-BR"/>
        </w:rPr>
        <w:t>T</w:t>
      </w:r>
      <w:r>
        <w:rPr>
          <w:lang w:val="pt-BR"/>
        </w:rPr>
        <w:t xml:space="preserve"> </w:t>
      </w:r>
      <w:r w:rsidRPr="00170DA9">
        <w:rPr>
          <w:lang w:val="pt-BR"/>
        </w:rPr>
        <w:t xml:space="preserve">= </w:t>
      </w:r>
      <w:r w:rsidRPr="00170DA9">
        <w:rPr>
          <w:i/>
          <w:lang w:val="pt-BR"/>
        </w:rPr>
        <w:t>S</w:t>
      </w:r>
      <w:r w:rsidRPr="00170DA9">
        <w:rPr>
          <w:vertAlign w:val="subscript"/>
          <w:lang w:val="pt-BR"/>
        </w:rPr>
        <w:t>0</w:t>
      </w:r>
      <w:r w:rsidRPr="00170DA9">
        <w:rPr>
          <w:lang w:val="pt-BR"/>
        </w:rPr>
        <w:t xml:space="preserve"> × </w:t>
      </w:r>
      <w:r w:rsidRPr="00170DA9">
        <w:rPr>
          <w:i/>
          <w:lang w:val="pt-BR"/>
        </w:rPr>
        <w:t>e</w:t>
      </w:r>
      <w:r w:rsidRPr="00D45BAE">
        <w:rPr>
          <w:vertAlign w:val="superscript"/>
          <w:lang w:val="pt-BR"/>
        </w:rPr>
        <w:t>(</w:t>
      </w:r>
      <w:r w:rsidRPr="00D45BAE">
        <w:rPr>
          <w:i/>
          <w:vertAlign w:val="superscript"/>
          <w:lang w:val="pt-BR"/>
        </w:rPr>
        <w:t>r</w:t>
      </w:r>
      <w:r w:rsidRPr="00D45BAE">
        <w:rPr>
          <w:vertAlign w:val="superscript"/>
          <w:lang w:val="pt-BR"/>
        </w:rPr>
        <w:t xml:space="preserve"> −</w:t>
      </w:r>
      <w:r w:rsidRPr="00D45BAE">
        <w:rPr>
          <w:i/>
          <w:vertAlign w:val="superscript"/>
        </w:rPr>
        <w:t>δ</w:t>
      </w:r>
      <w:r w:rsidRPr="00D45BAE">
        <w:rPr>
          <w:vertAlign w:val="superscript"/>
          <w:lang w:val="pt-BR"/>
        </w:rPr>
        <w:t>)×</w:t>
      </w:r>
      <w:r w:rsidRPr="00D45BAE">
        <w:rPr>
          <w:i/>
          <w:vertAlign w:val="superscript"/>
          <w:lang w:val="pt-BR"/>
        </w:rPr>
        <w:t>T</w:t>
      </w:r>
    </w:p>
    <w:p w:rsidR="00112F46" w:rsidRPr="00744E17" w:rsidRDefault="00112F46" w:rsidP="00112F46">
      <w:pPr>
        <w:tabs>
          <w:tab w:val="left" w:pos="1440"/>
          <w:tab w:val="left" w:pos="2040"/>
        </w:tabs>
        <w:rPr>
          <w:lang w:val="pt-BR"/>
        </w:rPr>
      </w:pPr>
      <w:r>
        <w:rPr>
          <w:rFonts w:eastAsia="MS Mincho"/>
          <w:lang w:val="pt-BR"/>
        </w:rPr>
        <w:tab/>
      </w:r>
      <w:r w:rsidRPr="00170DA9">
        <w:rPr>
          <w:rFonts w:eastAsia="MS Mincho" w:hint="eastAsia"/>
          <w:lang w:val="pt-BR"/>
        </w:rPr>
        <w:t>⇔</w:t>
      </w:r>
      <w:r w:rsidRPr="00170DA9">
        <w:rPr>
          <w:lang w:val="pt-BR"/>
        </w:rPr>
        <w:tab/>
      </w:r>
      <w:r w:rsidRPr="00BF33E1">
        <w:rPr>
          <w:position w:val="-30"/>
          <w:lang w:val="pt-BR"/>
        </w:rPr>
        <w:object w:dxaOrig="4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34.95pt" o:ole="">
            <v:imagedata r:id="rId8" o:title=""/>
          </v:shape>
          <o:OLEObject Type="Embed" ProgID="Equation.DSMT4" ShapeID="_x0000_i1025" DrawAspect="Content" ObjectID="_1599393719" r:id="rId9"/>
        </w:object>
      </w:r>
      <w:r w:rsidRPr="00170DA9">
        <w:rPr>
          <w:lang w:val="pt-BR"/>
        </w:rPr>
        <w:t>=</w:t>
      </w:r>
      <w:r>
        <w:rPr>
          <w:lang w:val="pt-BR"/>
        </w:rPr>
        <w:t xml:space="preserve"> </w:t>
      </w:r>
      <w:r w:rsidRPr="00170DA9">
        <w:rPr>
          <w:i/>
          <w:lang w:val="pt-BR"/>
        </w:rPr>
        <w:t>e</w:t>
      </w:r>
      <w:r w:rsidRPr="00744E17">
        <w:rPr>
          <w:vertAlign w:val="superscript"/>
          <w:lang w:val="pt-BR"/>
        </w:rPr>
        <w:t>(</w:t>
      </w:r>
      <w:r w:rsidRPr="00744E17">
        <w:rPr>
          <w:i/>
          <w:vertAlign w:val="superscript"/>
          <w:lang w:val="pt-BR"/>
        </w:rPr>
        <w:t>r</w:t>
      </w:r>
      <w:r w:rsidRPr="00744E17">
        <w:rPr>
          <w:vertAlign w:val="superscript"/>
          <w:lang w:val="pt-BR"/>
        </w:rPr>
        <w:t xml:space="preserve"> −</w:t>
      </w:r>
      <w:r w:rsidRPr="00744E17">
        <w:rPr>
          <w:i/>
          <w:vertAlign w:val="superscript"/>
        </w:rPr>
        <w:t>δ</w:t>
      </w:r>
      <w:r w:rsidRPr="00744E17">
        <w:rPr>
          <w:vertAlign w:val="superscript"/>
          <w:lang w:val="pt-BR"/>
        </w:rPr>
        <w:t>)×</w:t>
      </w:r>
      <w:r w:rsidRPr="00744E17">
        <w:rPr>
          <w:i/>
          <w:vertAlign w:val="superscript"/>
          <w:lang w:val="pt-BR"/>
        </w:rPr>
        <w:t>T</w:t>
      </w:r>
    </w:p>
    <w:p w:rsidR="00112F46" w:rsidRPr="00170DA9" w:rsidRDefault="00112F46" w:rsidP="00112F46">
      <w:pPr>
        <w:tabs>
          <w:tab w:val="left" w:pos="1440"/>
          <w:tab w:val="left" w:pos="2040"/>
        </w:tabs>
        <w:rPr>
          <w:lang w:val="pt-BR"/>
        </w:rPr>
      </w:pPr>
      <w:r>
        <w:rPr>
          <w:rFonts w:eastAsia="MS Mincho"/>
          <w:lang w:val="pt-BR"/>
        </w:rPr>
        <w:tab/>
      </w:r>
      <w:r w:rsidRPr="00170DA9">
        <w:rPr>
          <w:rFonts w:eastAsia="MS Mincho" w:hint="eastAsia"/>
          <w:lang w:val="pt-BR"/>
        </w:rPr>
        <w:t>⇔</w:t>
      </w:r>
      <w:r>
        <w:rPr>
          <w:lang w:val="pt-BR"/>
        </w:rPr>
        <w:tab/>
      </w:r>
      <w:r w:rsidRPr="00BF33E1">
        <w:rPr>
          <w:position w:val="-32"/>
          <w:lang w:val="pt-BR"/>
        </w:rPr>
        <w:object w:dxaOrig="940" w:dyaOrig="760">
          <v:shape id="_x0000_i1026" type="#_x0000_t75" style="width:47.05pt;height:37.85pt" o:ole="">
            <v:imagedata r:id="rId10" o:title=""/>
          </v:shape>
          <o:OLEObject Type="Embed" ProgID="Equation.DSMT4" ShapeID="_x0000_i1026" DrawAspect="Content" ObjectID="_1599393720" r:id="rId11"/>
        </w:object>
      </w:r>
      <w:r w:rsidRPr="00170DA9">
        <w:rPr>
          <w:lang w:val="pt-BR"/>
        </w:rPr>
        <w:t>= (</w:t>
      </w:r>
      <w:r w:rsidRPr="00170DA9">
        <w:rPr>
          <w:i/>
          <w:lang w:val="pt-BR"/>
        </w:rPr>
        <w:t>r</w:t>
      </w:r>
      <w:r w:rsidRPr="00170DA9">
        <w:rPr>
          <w:lang w:val="pt-BR"/>
        </w:rPr>
        <w:t xml:space="preserve"> − </w:t>
      </w:r>
      <w:r w:rsidRPr="00357D43">
        <w:rPr>
          <w:i/>
        </w:rPr>
        <w:t>δ</w:t>
      </w:r>
      <w:r w:rsidRPr="00170DA9">
        <w:rPr>
          <w:lang w:val="pt-BR"/>
        </w:rPr>
        <w:t xml:space="preserve">) × </w:t>
      </w:r>
      <w:r w:rsidRPr="00170DA9">
        <w:rPr>
          <w:i/>
          <w:lang w:val="pt-BR"/>
        </w:rPr>
        <w:t>T</w:t>
      </w:r>
    </w:p>
    <w:p w:rsidR="00112F46" w:rsidRPr="00744E17" w:rsidRDefault="00112F46" w:rsidP="00112F46">
      <w:pPr>
        <w:tabs>
          <w:tab w:val="left" w:pos="1440"/>
          <w:tab w:val="left" w:pos="2040"/>
        </w:tabs>
        <w:rPr>
          <w:lang w:val="pt-BR"/>
        </w:rPr>
      </w:pPr>
      <w:r>
        <w:rPr>
          <w:rFonts w:eastAsia="MS Mincho"/>
          <w:lang w:val="pt-BR"/>
        </w:rPr>
        <w:tab/>
      </w:r>
      <w:r w:rsidRPr="00744E17">
        <w:rPr>
          <w:rFonts w:eastAsia="MS Mincho" w:hint="eastAsia"/>
          <w:lang w:val="pt-BR"/>
        </w:rPr>
        <w:t>⇔</w:t>
      </w:r>
      <w:r w:rsidRPr="00744E17">
        <w:rPr>
          <w:lang w:val="pt-BR"/>
        </w:rPr>
        <w:tab/>
      </w:r>
      <w:r w:rsidRPr="00357D43">
        <w:rPr>
          <w:i/>
        </w:rPr>
        <w:t>δ</w:t>
      </w:r>
      <w:r w:rsidRPr="00744E17">
        <w:rPr>
          <w:lang w:val="pt-BR"/>
        </w:rPr>
        <w:t xml:space="preserve"> = </w:t>
      </w:r>
      <w:r w:rsidRPr="00744E17">
        <w:rPr>
          <w:i/>
          <w:lang w:val="pt-BR"/>
        </w:rPr>
        <w:t>r</w:t>
      </w:r>
      <w:r w:rsidRPr="00744E17">
        <w:rPr>
          <w:lang w:val="pt-BR"/>
        </w:rPr>
        <w:t xml:space="preserve"> − </w:t>
      </w:r>
      <w:r w:rsidRPr="00BF33E1">
        <w:rPr>
          <w:position w:val="-32"/>
          <w:lang w:val="pt-BR"/>
        </w:rPr>
        <w:object w:dxaOrig="1140" w:dyaOrig="760">
          <v:shape id="_x0000_i1027" type="#_x0000_t75" style="width:57pt;height:37.85pt" o:ole="">
            <v:imagedata r:id="rId12" o:title=""/>
          </v:shape>
          <o:OLEObject Type="Embed" ProgID="Equation.DSMT4" ShapeID="_x0000_i1027" DrawAspect="Content" ObjectID="_1599393721" r:id="rId13"/>
        </w:object>
      </w:r>
    </w:p>
    <w:p w:rsidR="00112F46" w:rsidRPr="00744E17" w:rsidRDefault="00112F46" w:rsidP="00112F46">
      <w:pPr>
        <w:tabs>
          <w:tab w:val="left" w:pos="1440"/>
          <w:tab w:val="left" w:pos="2040"/>
        </w:tabs>
        <w:rPr>
          <w:lang w:val="pt-BR"/>
        </w:rPr>
      </w:pPr>
      <w:r w:rsidRPr="00744E17">
        <w:rPr>
          <w:rFonts w:eastAsia="MS Mincho"/>
          <w:lang w:val="pt-BR"/>
        </w:rPr>
        <w:tab/>
      </w:r>
      <w:r w:rsidRPr="00744E17">
        <w:rPr>
          <w:rFonts w:eastAsia="MS Mincho" w:hint="eastAsia"/>
          <w:lang w:val="pt-BR"/>
        </w:rPr>
        <w:t>⇒</w:t>
      </w:r>
      <w:r w:rsidRPr="00744E17">
        <w:rPr>
          <w:lang w:val="pt-BR"/>
        </w:rPr>
        <w:tab/>
      </w:r>
      <w:r w:rsidRPr="00357D43">
        <w:rPr>
          <w:i/>
        </w:rPr>
        <w:t>δ</w:t>
      </w:r>
      <w:r>
        <w:rPr>
          <w:lang w:val="pt-BR"/>
        </w:rPr>
        <w:t xml:space="preserve"> = 0.05 − </w:t>
      </w:r>
      <w:r w:rsidRPr="00BF33E1">
        <w:rPr>
          <w:position w:val="-28"/>
          <w:lang w:val="pt-BR"/>
        </w:rPr>
        <w:object w:dxaOrig="1920" w:dyaOrig="680">
          <v:shape id="_x0000_i1028" type="#_x0000_t75" style="width:96.15pt;height:34.15pt" o:ole="">
            <v:imagedata r:id="rId14" o:title=""/>
          </v:shape>
          <o:OLEObject Type="Embed" ProgID="Equation.DSMT4" ShapeID="_x0000_i1028" DrawAspect="Content" ObjectID="_1599393722" r:id="rId15"/>
        </w:object>
      </w:r>
      <w:r>
        <w:rPr>
          <w:lang w:val="pt-BR"/>
        </w:rPr>
        <w:t xml:space="preserve"> </w:t>
      </w:r>
      <w:r w:rsidRPr="00744E17">
        <w:rPr>
          <w:lang w:val="pt-BR"/>
        </w:rPr>
        <w:t>= 0.05 − 0.035 = 0.015</w:t>
      </w:r>
    </w:p>
    <w:p w:rsidR="00112F46" w:rsidRPr="009B2420" w:rsidRDefault="00112F46" w:rsidP="00112F46">
      <w:pPr>
        <w:pStyle w:val="a7"/>
        <w:rPr>
          <w:rFonts w:asciiTheme="minorHAnsi" w:eastAsiaTheme="minorEastAsia" w:hAnsiTheme="minorHAnsi" w:cstheme="minorBidi"/>
          <w:sz w:val="22"/>
          <w:szCs w:val="22"/>
          <w:lang w:eastAsia="zh-TW"/>
        </w:rPr>
      </w:pPr>
      <w:r w:rsidRPr="00357D43">
        <w:t>b)</w:t>
      </w:r>
      <w:r w:rsidRPr="00357D43">
        <w:tab/>
      </w:r>
      <w:r w:rsidRPr="009B2420">
        <w:rPr>
          <w:rFonts w:asciiTheme="minorHAnsi" w:eastAsiaTheme="minorEastAsia" w:hAnsiTheme="minorHAnsi" w:cstheme="minorBidi"/>
          <w:sz w:val="22"/>
          <w:szCs w:val="22"/>
          <w:lang w:eastAsia="zh-TW"/>
        </w:rPr>
        <w:t>With a divide</w:t>
      </w:r>
      <w:r w:rsidR="00BD539F">
        <w:rPr>
          <w:rFonts w:asciiTheme="minorHAnsi" w:eastAsiaTheme="minorEastAsia" w:hAnsiTheme="minorHAnsi" w:cstheme="minorBidi"/>
          <w:sz w:val="22"/>
          <w:szCs w:val="22"/>
          <w:lang w:eastAsia="zh-TW"/>
        </w:rPr>
        <w:t>nd yield of only 0.005, you expect that the</w:t>
      </w:r>
      <w:r w:rsidRPr="009B2420">
        <w:rPr>
          <w:rFonts w:asciiTheme="minorHAnsi" w:eastAsiaTheme="minorEastAsia" w:hAnsiTheme="minorHAnsi" w:cstheme="minorBidi"/>
          <w:sz w:val="22"/>
          <w:szCs w:val="22"/>
          <w:lang w:eastAsia="zh-TW"/>
        </w:rPr>
        <w:t xml:space="preserve"> forward price would be:</w:t>
      </w:r>
    </w:p>
    <w:p w:rsidR="00112F46" w:rsidRPr="00357D43" w:rsidRDefault="00112F46" w:rsidP="00112F46">
      <w:pPr>
        <w:pStyle w:val="UnnumberedEQ"/>
      </w:pPr>
      <w:r w:rsidRPr="00357D43">
        <w:rPr>
          <w:i/>
        </w:rPr>
        <w:t>F</w:t>
      </w:r>
      <w:r w:rsidRPr="00EC5378">
        <w:rPr>
          <w:vertAlign w:val="subscript"/>
        </w:rPr>
        <w:t>0</w:t>
      </w:r>
      <w:proofErr w:type="gramStart"/>
      <w:r w:rsidRPr="00EC5378">
        <w:rPr>
          <w:vertAlign w:val="subscript"/>
        </w:rPr>
        <w:t>,</w:t>
      </w:r>
      <w:r w:rsidRPr="00357D43">
        <w:rPr>
          <w:i/>
          <w:vertAlign w:val="subscript"/>
        </w:rPr>
        <w:t>T</w:t>
      </w:r>
      <w:proofErr w:type="gramEnd"/>
      <w:r w:rsidRPr="00170DA9">
        <w:t xml:space="preserve"> </w:t>
      </w:r>
      <w:r w:rsidRPr="00357D43">
        <w:t xml:space="preserve">= </w:t>
      </w:r>
      <w:r w:rsidRPr="00357D43">
        <w:rPr>
          <w:i/>
        </w:rPr>
        <w:t>S</w:t>
      </w:r>
      <w:r w:rsidRPr="00357D43">
        <w:rPr>
          <w:vertAlign w:val="subscript"/>
        </w:rPr>
        <w:t>0</w:t>
      </w:r>
      <w:r w:rsidRPr="00170DA9">
        <w:t xml:space="preserve"> </w:t>
      </w:r>
      <w:r w:rsidRPr="00357D43">
        <w:t xml:space="preserve">× </w:t>
      </w:r>
      <w:r w:rsidRPr="00357D43">
        <w:rPr>
          <w:i/>
        </w:rPr>
        <w:t>e</w:t>
      </w:r>
      <w:r w:rsidRPr="003B0B13">
        <w:rPr>
          <w:vertAlign w:val="superscript"/>
        </w:rPr>
        <w:t>(</w:t>
      </w:r>
      <w:r w:rsidRPr="003B0B13">
        <w:rPr>
          <w:i/>
          <w:vertAlign w:val="superscript"/>
        </w:rPr>
        <w:t>r</w:t>
      </w:r>
      <w:r w:rsidRPr="003B0B13">
        <w:rPr>
          <w:vertAlign w:val="superscript"/>
        </w:rPr>
        <w:t xml:space="preserve"> −</w:t>
      </w:r>
      <w:r>
        <w:rPr>
          <w:vertAlign w:val="superscript"/>
        </w:rPr>
        <w:t xml:space="preserve"> </w:t>
      </w:r>
      <w:r w:rsidRPr="003B0B13">
        <w:rPr>
          <w:i/>
          <w:vertAlign w:val="superscript"/>
        </w:rPr>
        <w:t>δ</w:t>
      </w:r>
      <w:r w:rsidRPr="003B0B13">
        <w:rPr>
          <w:vertAlign w:val="superscript"/>
        </w:rPr>
        <w:t>)×</w:t>
      </w:r>
      <w:r w:rsidRPr="003B0B13">
        <w:rPr>
          <w:i/>
          <w:vertAlign w:val="superscript"/>
        </w:rPr>
        <w:t>T</w:t>
      </w:r>
      <w:r w:rsidRPr="003B0B13">
        <w:t xml:space="preserve"> </w:t>
      </w:r>
      <w:r w:rsidRPr="00357D43">
        <w:t xml:space="preserve">= </w:t>
      </w:r>
      <w:r w:rsidRPr="00EC5378">
        <w:t>1,</w:t>
      </w:r>
      <w:r w:rsidRPr="00357D43">
        <w:t xml:space="preserve">100 × </w:t>
      </w:r>
      <w:r w:rsidRPr="00357D43">
        <w:rPr>
          <w:i/>
        </w:rPr>
        <w:t>e</w:t>
      </w:r>
      <w:r w:rsidRPr="003B0B13">
        <w:rPr>
          <w:vertAlign w:val="superscript"/>
        </w:rPr>
        <w:t>(0.05−0.005)×0.75</w:t>
      </w:r>
      <w:r w:rsidRPr="00170DA9">
        <w:t xml:space="preserve"> </w:t>
      </w:r>
      <w:r w:rsidRPr="00357D43">
        <w:t xml:space="preserve">= </w:t>
      </w:r>
      <w:r w:rsidRPr="00EC5378">
        <w:t>1,</w:t>
      </w:r>
      <w:r w:rsidRPr="00357D43">
        <w:t xml:space="preserve">100 × 1.0343 = </w:t>
      </w:r>
      <w:r w:rsidRPr="00EC5378">
        <w:t>1,</w:t>
      </w:r>
      <w:r w:rsidRPr="00357D43">
        <w:t>137.759</w:t>
      </w:r>
    </w:p>
    <w:p w:rsidR="00112F46" w:rsidRPr="00357D43" w:rsidRDefault="00112F46" w:rsidP="009B2420">
      <w:pPr>
        <w:pStyle w:val="2"/>
        <w:ind w:leftChars="193" w:left="425"/>
        <w:jc w:val="both"/>
      </w:pPr>
      <w:r w:rsidRPr="00357D43">
        <w:t>Therefore, if we think the dividend yield is 0.00</w:t>
      </w:r>
      <w:r w:rsidRPr="00EC5378">
        <w:t>5,</w:t>
      </w:r>
      <w:r w:rsidRPr="00357D43">
        <w:t xml:space="preserve"> we consider the observed forward price of</w:t>
      </w:r>
      <w:r>
        <w:t xml:space="preserve"> $</w:t>
      </w:r>
      <w:r w:rsidRPr="00EC5378">
        <w:t>1,</w:t>
      </w:r>
      <w:r w:rsidRPr="00357D43">
        <w:t xml:space="preserve">129.257 to be too cheap. We will therefore buy the forward and create a synthetic short forward, capturing a certain amount of $8.502. We engage in a </w:t>
      </w:r>
      <w:r w:rsidRPr="009B2420">
        <w:rPr>
          <w:b/>
        </w:rPr>
        <w:t>reverse cash and carry arbitrage</w:t>
      </w:r>
      <w:r w:rsidRPr="00357D43">
        <w:t>:</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3192"/>
        <w:gridCol w:w="2085"/>
        <w:gridCol w:w="1857"/>
      </w:tblGrid>
      <w:tr w:rsidR="00112F46" w:rsidRPr="00C4022E" w:rsidTr="00B90B24">
        <w:trPr>
          <w:jc w:val="center"/>
        </w:trPr>
        <w:tc>
          <w:tcPr>
            <w:tcW w:w="3192" w:type="dxa"/>
            <w:shd w:val="clear" w:color="auto" w:fill="606060"/>
            <w:vAlign w:val="center"/>
          </w:tcPr>
          <w:p w:rsidR="00112F46" w:rsidRPr="00B345C3" w:rsidRDefault="00112F46" w:rsidP="00B90B24">
            <w:pPr>
              <w:pStyle w:val="TableText"/>
              <w:rPr>
                <w:color w:val="FFFFFF"/>
              </w:rPr>
            </w:pPr>
            <w:r w:rsidRPr="00B345C3">
              <w:rPr>
                <w:color w:val="FFFFFF"/>
              </w:rPr>
              <w:t>Description</w:t>
            </w:r>
          </w:p>
        </w:tc>
        <w:tc>
          <w:tcPr>
            <w:tcW w:w="2085" w:type="dxa"/>
            <w:shd w:val="clear" w:color="auto" w:fill="606060"/>
            <w:vAlign w:val="center"/>
          </w:tcPr>
          <w:p w:rsidR="00112F46" w:rsidRPr="00B345C3" w:rsidRDefault="00112F46" w:rsidP="00B90B24">
            <w:pPr>
              <w:pStyle w:val="TableText"/>
              <w:rPr>
                <w:color w:val="FFFFFF"/>
              </w:rPr>
            </w:pPr>
            <w:r w:rsidRPr="00B345C3">
              <w:rPr>
                <w:color w:val="FFFFFF"/>
              </w:rPr>
              <w:t>Today</w:t>
            </w:r>
          </w:p>
        </w:tc>
        <w:tc>
          <w:tcPr>
            <w:tcW w:w="1857" w:type="dxa"/>
            <w:shd w:val="clear" w:color="auto" w:fill="606060"/>
            <w:vAlign w:val="center"/>
          </w:tcPr>
          <w:p w:rsidR="00112F46" w:rsidRPr="00B345C3" w:rsidRDefault="00112F46" w:rsidP="00B90B24">
            <w:pPr>
              <w:pStyle w:val="TableText"/>
              <w:rPr>
                <w:color w:val="FFFFFF"/>
              </w:rPr>
            </w:pPr>
            <w:r w:rsidRPr="00B345C3">
              <w:rPr>
                <w:color w:val="FFFFFF"/>
              </w:rPr>
              <w:t xml:space="preserve">In </w:t>
            </w:r>
            <w:r>
              <w:rPr>
                <w:color w:val="FFFFFF"/>
              </w:rPr>
              <w:t>nine</w:t>
            </w:r>
            <w:r w:rsidRPr="00B345C3">
              <w:rPr>
                <w:color w:val="FFFFFF"/>
              </w:rPr>
              <w:t xml:space="preserve"> months</w:t>
            </w:r>
          </w:p>
        </w:tc>
      </w:tr>
      <w:tr w:rsidR="00112F46" w:rsidRPr="00C4022E" w:rsidTr="00B90B24">
        <w:trPr>
          <w:jc w:val="center"/>
        </w:trPr>
        <w:tc>
          <w:tcPr>
            <w:tcW w:w="3192" w:type="dxa"/>
            <w:vAlign w:val="center"/>
          </w:tcPr>
          <w:p w:rsidR="00112F46" w:rsidRPr="00C4022E" w:rsidRDefault="00112F46" w:rsidP="00B90B24">
            <w:pPr>
              <w:pStyle w:val="TableText"/>
              <w:jc w:val="left"/>
            </w:pPr>
            <w:r w:rsidRPr="00C4022E">
              <w:t>Long forward</w:t>
            </w:r>
          </w:p>
        </w:tc>
        <w:tc>
          <w:tcPr>
            <w:tcW w:w="2085" w:type="dxa"/>
            <w:vAlign w:val="center"/>
          </w:tcPr>
          <w:p w:rsidR="00112F46" w:rsidRPr="00C4022E" w:rsidRDefault="00112F46" w:rsidP="00B90B24">
            <w:pPr>
              <w:pStyle w:val="TableText"/>
              <w:jc w:val="left"/>
            </w:pPr>
            <w:r w:rsidRPr="00C4022E">
              <w:t>0</w:t>
            </w:r>
          </w:p>
        </w:tc>
        <w:tc>
          <w:tcPr>
            <w:tcW w:w="1857" w:type="dxa"/>
            <w:vAlign w:val="center"/>
          </w:tcPr>
          <w:p w:rsidR="00112F46" w:rsidRPr="00C4022E" w:rsidRDefault="00112F46" w:rsidP="00B90B24">
            <w:pPr>
              <w:pStyle w:val="TableText"/>
              <w:jc w:val="left"/>
            </w:pPr>
            <w:r w:rsidRPr="00B345C3">
              <w:rPr>
                <w:i/>
              </w:rPr>
              <w:t>S</w:t>
            </w:r>
            <w:r w:rsidRPr="00B345C3">
              <w:rPr>
                <w:i/>
                <w:vertAlign w:val="subscript"/>
              </w:rPr>
              <w:t>T</w:t>
            </w:r>
            <w:r w:rsidRPr="00C4022E">
              <w:t xml:space="preserve"> − $1,129.257</w:t>
            </w:r>
          </w:p>
        </w:tc>
      </w:tr>
      <w:tr w:rsidR="00112F46" w:rsidRPr="00C4022E" w:rsidTr="00B90B24">
        <w:trPr>
          <w:jc w:val="center"/>
        </w:trPr>
        <w:tc>
          <w:tcPr>
            <w:tcW w:w="3192" w:type="dxa"/>
            <w:vAlign w:val="center"/>
          </w:tcPr>
          <w:p w:rsidR="00112F46" w:rsidRPr="00C4022E" w:rsidRDefault="00112F46" w:rsidP="00B90B24">
            <w:pPr>
              <w:pStyle w:val="TableText"/>
              <w:jc w:val="left"/>
            </w:pPr>
            <w:r w:rsidRPr="00C4022E">
              <w:t>Sell short tailed position in</w:t>
            </w:r>
          </w:p>
        </w:tc>
        <w:tc>
          <w:tcPr>
            <w:tcW w:w="2085" w:type="dxa"/>
            <w:vAlign w:val="center"/>
          </w:tcPr>
          <w:p w:rsidR="00112F46" w:rsidRPr="00C4022E" w:rsidRDefault="00112F46" w:rsidP="00B90B24">
            <w:pPr>
              <w:pStyle w:val="TableText"/>
              <w:jc w:val="left"/>
            </w:pPr>
            <w:r w:rsidRPr="00C4022E">
              <w:t xml:space="preserve">$1,100 × </w:t>
            </w:r>
            <w:r>
              <w:t>0</w:t>
            </w:r>
            <w:r w:rsidRPr="00C4022E">
              <w:t>.99626</w:t>
            </w:r>
          </w:p>
        </w:tc>
        <w:tc>
          <w:tcPr>
            <w:tcW w:w="1857" w:type="dxa"/>
            <w:vAlign w:val="center"/>
          </w:tcPr>
          <w:p w:rsidR="00112F46" w:rsidRPr="00C4022E" w:rsidRDefault="00112F46" w:rsidP="00B90B24">
            <w:pPr>
              <w:pStyle w:val="TableText"/>
              <w:jc w:val="left"/>
            </w:pPr>
            <w:r w:rsidRPr="00C4022E">
              <w:t>−</w:t>
            </w:r>
            <w:r w:rsidRPr="00B345C3">
              <w:rPr>
                <w:i/>
              </w:rPr>
              <w:t>S</w:t>
            </w:r>
            <w:r w:rsidRPr="00B345C3">
              <w:rPr>
                <w:i/>
                <w:vertAlign w:val="subscript"/>
              </w:rPr>
              <w:t>T</w:t>
            </w:r>
          </w:p>
        </w:tc>
      </w:tr>
      <w:tr w:rsidR="00112F46" w:rsidRPr="00C4022E" w:rsidTr="001D6DAF">
        <w:trPr>
          <w:jc w:val="center"/>
        </w:trPr>
        <w:tc>
          <w:tcPr>
            <w:tcW w:w="3192" w:type="dxa"/>
            <w:tcBorders>
              <w:bottom w:val="nil"/>
            </w:tcBorders>
            <w:vAlign w:val="center"/>
          </w:tcPr>
          <w:p w:rsidR="00112F46" w:rsidRPr="00C4022E" w:rsidRDefault="00112F46" w:rsidP="00B90B24">
            <w:pPr>
              <w:pStyle w:val="TableText"/>
              <w:jc w:val="left"/>
            </w:pPr>
            <w:r w:rsidRPr="00C4022E">
              <w:t>index</w:t>
            </w:r>
          </w:p>
        </w:tc>
        <w:tc>
          <w:tcPr>
            <w:tcW w:w="2085" w:type="dxa"/>
            <w:tcBorders>
              <w:bottom w:val="nil"/>
            </w:tcBorders>
            <w:vAlign w:val="center"/>
          </w:tcPr>
          <w:p w:rsidR="00112F46" w:rsidRPr="00C4022E" w:rsidRDefault="00112F46" w:rsidP="00B90B24">
            <w:pPr>
              <w:pStyle w:val="TableText"/>
              <w:jc w:val="left"/>
            </w:pPr>
            <w:r w:rsidRPr="00C4022E">
              <w:t>= $1,095.88</w:t>
            </w:r>
          </w:p>
        </w:tc>
        <w:tc>
          <w:tcPr>
            <w:tcW w:w="1857" w:type="dxa"/>
            <w:tcBorders>
              <w:bottom w:val="nil"/>
            </w:tcBorders>
            <w:vAlign w:val="center"/>
          </w:tcPr>
          <w:p w:rsidR="00112F46" w:rsidRPr="00C4022E" w:rsidRDefault="00112F46" w:rsidP="00B90B24">
            <w:pPr>
              <w:pStyle w:val="TableText"/>
              <w:jc w:val="left"/>
            </w:pPr>
          </w:p>
        </w:tc>
      </w:tr>
      <w:tr w:rsidR="00112F46" w:rsidRPr="00C4022E" w:rsidTr="001D6DAF">
        <w:trPr>
          <w:jc w:val="center"/>
        </w:trPr>
        <w:tc>
          <w:tcPr>
            <w:tcW w:w="3192" w:type="dxa"/>
            <w:tcBorders>
              <w:top w:val="nil"/>
              <w:bottom w:val="single" w:sz="4" w:space="0" w:color="auto"/>
            </w:tcBorders>
            <w:vAlign w:val="center"/>
          </w:tcPr>
          <w:p w:rsidR="00112F46" w:rsidRPr="00C4022E" w:rsidRDefault="00112F46" w:rsidP="00B90B24">
            <w:pPr>
              <w:pStyle w:val="TableText"/>
              <w:jc w:val="left"/>
            </w:pPr>
            <w:r w:rsidRPr="00C4022E">
              <w:lastRenderedPageBreak/>
              <w:t>Lend $1,095.88</w:t>
            </w:r>
          </w:p>
        </w:tc>
        <w:tc>
          <w:tcPr>
            <w:tcW w:w="2085" w:type="dxa"/>
            <w:tcBorders>
              <w:top w:val="nil"/>
              <w:bottom w:val="single" w:sz="4" w:space="0" w:color="auto"/>
            </w:tcBorders>
            <w:vAlign w:val="center"/>
          </w:tcPr>
          <w:p w:rsidR="00112F46" w:rsidRPr="00C4022E" w:rsidRDefault="00112F46" w:rsidP="00B90B24">
            <w:pPr>
              <w:pStyle w:val="TableText"/>
              <w:jc w:val="left"/>
            </w:pPr>
            <w:r w:rsidRPr="00C4022E">
              <w:t>−$1,095.88</w:t>
            </w:r>
          </w:p>
        </w:tc>
        <w:tc>
          <w:tcPr>
            <w:tcW w:w="1857" w:type="dxa"/>
            <w:tcBorders>
              <w:top w:val="nil"/>
              <w:bottom w:val="single" w:sz="4" w:space="0" w:color="auto"/>
            </w:tcBorders>
            <w:vAlign w:val="center"/>
          </w:tcPr>
          <w:p w:rsidR="00112F46" w:rsidRPr="00C4022E" w:rsidRDefault="00112F46" w:rsidP="00B90B24">
            <w:pPr>
              <w:pStyle w:val="TableText"/>
              <w:jc w:val="left"/>
            </w:pPr>
            <w:r w:rsidRPr="00C4022E">
              <w:t>$1,137.759</w:t>
            </w:r>
          </w:p>
        </w:tc>
      </w:tr>
      <w:tr w:rsidR="00112F46" w:rsidRPr="00C4022E" w:rsidTr="001D6DAF">
        <w:trPr>
          <w:jc w:val="center"/>
        </w:trPr>
        <w:tc>
          <w:tcPr>
            <w:tcW w:w="3192" w:type="dxa"/>
            <w:tcBorders>
              <w:top w:val="single" w:sz="4" w:space="0" w:color="auto"/>
              <w:bottom w:val="single" w:sz="4" w:space="0" w:color="auto"/>
            </w:tcBorders>
            <w:vAlign w:val="center"/>
          </w:tcPr>
          <w:p w:rsidR="00112F46" w:rsidRPr="00C4022E" w:rsidRDefault="00112F46" w:rsidP="00B90B24">
            <w:pPr>
              <w:pStyle w:val="TableText"/>
              <w:jc w:val="left"/>
            </w:pPr>
            <w:r w:rsidRPr="00C4022E">
              <w:t>TOTAL</w:t>
            </w:r>
          </w:p>
        </w:tc>
        <w:tc>
          <w:tcPr>
            <w:tcW w:w="2085" w:type="dxa"/>
            <w:tcBorders>
              <w:top w:val="single" w:sz="4" w:space="0" w:color="auto"/>
              <w:bottom w:val="single" w:sz="4" w:space="0" w:color="auto"/>
            </w:tcBorders>
            <w:vAlign w:val="center"/>
          </w:tcPr>
          <w:p w:rsidR="00112F46" w:rsidRPr="00C4022E" w:rsidRDefault="00112F46" w:rsidP="00B90B24">
            <w:pPr>
              <w:pStyle w:val="TableText"/>
              <w:jc w:val="left"/>
            </w:pPr>
            <w:r w:rsidRPr="00C4022E">
              <w:t>0</w:t>
            </w:r>
          </w:p>
        </w:tc>
        <w:tc>
          <w:tcPr>
            <w:tcW w:w="1857" w:type="dxa"/>
            <w:tcBorders>
              <w:top w:val="single" w:sz="4" w:space="0" w:color="auto"/>
              <w:bottom w:val="single" w:sz="4" w:space="0" w:color="auto"/>
            </w:tcBorders>
            <w:vAlign w:val="center"/>
          </w:tcPr>
          <w:p w:rsidR="00112F46" w:rsidRPr="00C4022E" w:rsidRDefault="00112F46" w:rsidP="00B90B24">
            <w:pPr>
              <w:pStyle w:val="TableText"/>
              <w:jc w:val="left"/>
            </w:pPr>
            <w:r w:rsidRPr="00C4022E">
              <w:t>$8.502</w:t>
            </w:r>
          </w:p>
        </w:tc>
      </w:tr>
    </w:tbl>
    <w:p w:rsidR="00112F46" w:rsidRPr="00357D43" w:rsidRDefault="00112F46" w:rsidP="00112F46"/>
    <w:p w:rsidR="00112F46" w:rsidRPr="00357D43" w:rsidRDefault="00112F46" w:rsidP="00112F46">
      <w:pPr>
        <w:pStyle w:val="a7"/>
      </w:pPr>
      <w:r w:rsidRPr="00357D43">
        <w:t>c)</w:t>
      </w:r>
      <w:r>
        <w:tab/>
      </w:r>
      <w:r w:rsidRPr="009B2420">
        <w:rPr>
          <w:rFonts w:asciiTheme="minorHAnsi" w:eastAsiaTheme="minorEastAsia" w:hAnsiTheme="minorHAnsi" w:cstheme="minorBidi"/>
          <w:sz w:val="22"/>
          <w:szCs w:val="22"/>
          <w:lang w:eastAsia="zh-TW"/>
        </w:rPr>
        <w:t xml:space="preserve">With a dividend yield of 0.03, </w:t>
      </w:r>
      <w:r w:rsidR="00BD539F">
        <w:rPr>
          <w:rFonts w:asciiTheme="minorHAnsi" w:eastAsiaTheme="minorEastAsia" w:hAnsiTheme="minorHAnsi" w:cstheme="minorBidi"/>
          <w:sz w:val="22"/>
          <w:szCs w:val="22"/>
          <w:lang w:eastAsia="zh-TW"/>
        </w:rPr>
        <w:t>you expect that the</w:t>
      </w:r>
      <w:r w:rsidRPr="009B2420">
        <w:rPr>
          <w:rFonts w:asciiTheme="minorHAnsi" w:eastAsiaTheme="minorEastAsia" w:hAnsiTheme="minorHAnsi" w:cstheme="minorBidi"/>
          <w:sz w:val="22"/>
          <w:szCs w:val="22"/>
          <w:lang w:eastAsia="zh-TW"/>
        </w:rPr>
        <w:t xml:space="preserve"> forward price would be:</w:t>
      </w:r>
    </w:p>
    <w:p w:rsidR="00112F46" w:rsidRPr="00357D43" w:rsidRDefault="00112F46" w:rsidP="00112F46">
      <w:pPr>
        <w:pStyle w:val="UnnumberedEQ"/>
      </w:pPr>
      <w:r w:rsidRPr="00357D43">
        <w:rPr>
          <w:i/>
        </w:rPr>
        <w:t>F</w:t>
      </w:r>
      <w:r w:rsidRPr="00EC5378">
        <w:rPr>
          <w:vertAlign w:val="subscript"/>
        </w:rPr>
        <w:t>0</w:t>
      </w:r>
      <w:proofErr w:type="gramStart"/>
      <w:r w:rsidRPr="00EC5378">
        <w:rPr>
          <w:vertAlign w:val="subscript"/>
        </w:rPr>
        <w:t>,</w:t>
      </w:r>
      <w:r w:rsidRPr="00357D43">
        <w:rPr>
          <w:i/>
          <w:vertAlign w:val="subscript"/>
        </w:rPr>
        <w:t>T</w:t>
      </w:r>
      <w:proofErr w:type="gramEnd"/>
      <w:r w:rsidRPr="00170DA9">
        <w:t xml:space="preserve"> </w:t>
      </w:r>
      <w:r w:rsidRPr="00357D43">
        <w:t xml:space="preserve">= </w:t>
      </w:r>
      <w:r w:rsidRPr="00357D43">
        <w:rPr>
          <w:i/>
        </w:rPr>
        <w:t>S</w:t>
      </w:r>
      <w:r w:rsidRPr="00357D43">
        <w:rPr>
          <w:vertAlign w:val="subscript"/>
        </w:rPr>
        <w:t>0</w:t>
      </w:r>
      <w:r w:rsidRPr="00170DA9">
        <w:t xml:space="preserve"> </w:t>
      </w:r>
      <w:r w:rsidRPr="00357D43">
        <w:t xml:space="preserve">× </w:t>
      </w:r>
      <w:r w:rsidRPr="00357D43">
        <w:rPr>
          <w:i/>
        </w:rPr>
        <w:t>e</w:t>
      </w:r>
      <w:r w:rsidRPr="00823023">
        <w:rPr>
          <w:vertAlign w:val="superscript"/>
        </w:rPr>
        <w:t>(</w:t>
      </w:r>
      <w:r w:rsidRPr="00823023">
        <w:rPr>
          <w:i/>
          <w:vertAlign w:val="superscript"/>
        </w:rPr>
        <w:t>r</w:t>
      </w:r>
      <w:r w:rsidRPr="00823023">
        <w:rPr>
          <w:vertAlign w:val="superscript"/>
        </w:rPr>
        <w:t xml:space="preserve"> −</w:t>
      </w:r>
      <w:r w:rsidRPr="00823023">
        <w:rPr>
          <w:i/>
          <w:vertAlign w:val="superscript"/>
        </w:rPr>
        <w:t>δ</w:t>
      </w:r>
      <w:r w:rsidRPr="00823023">
        <w:rPr>
          <w:vertAlign w:val="superscript"/>
        </w:rPr>
        <w:t>)×</w:t>
      </w:r>
      <w:r w:rsidRPr="00823023">
        <w:rPr>
          <w:i/>
          <w:vertAlign w:val="superscript"/>
        </w:rPr>
        <w:t>T</w:t>
      </w:r>
      <w:r w:rsidRPr="00170DA9">
        <w:t xml:space="preserve"> </w:t>
      </w:r>
      <w:r w:rsidRPr="00357D43">
        <w:t xml:space="preserve">= </w:t>
      </w:r>
      <w:r w:rsidRPr="00EC5378">
        <w:t>1,</w:t>
      </w:r>
      <w:r w:rsidRPr="00357D43">
        <w:t xml:space="preserve">100 × </w:t>
      </w:r>
      <w:r w:rsidRPr="00357D43">
        <w:rPr>
          <w:i/>
        </w:rPr>
        <w:t>e</w:t>
      </w:r>
      <w:r w:rsidRPr="00823023">
        <w:rPr>
          <w:vertAlign w:val="superscript"/>
        </w:rPr>
        <w:t>(0.05−0.03)×0.75</w:t>
      </w:r>
      <w:r w:rsidRPr="00170DA9">
        <w:t xml:space="preserve"> </w:t>
      </w:r>
      <w:r w:rsidRPr="00357D43">
        <w:t xml:space="preserve">= </w:t>
      </w:r>
      <w:r w:rsidRPr="00EC5378">
        <w:t>1,</w:t>
      </w:r>
      <w:r w:rsidRPr="00357D43">
        <w:t xml:space="preserve">100 × 1.01511 = </w:t>
      </w:r>
      <w:r w:rsidRPr="00EC5378">
        <w:t>1,</w:t>
      </w:r>
      <w:r w:rsidRPr="00357D43">
        <w:t>116.62</w:t>
      </w:r>
    </w:p>
    <w:p w:rsidR="00112F46" w:rsidRPr="00357D43" w:rsidRDefault="00112F46" w:rsidP="009B2420">
      <w:pPr>
        <w:pStyle w:val="2"/>
        <w:ind w:leftChars="193" w:left="425"/>
        <w:jc w:val="both"/>
      </w:pPr>
      <w:r w:rsidRPr="00357D43">
        <w:t>Therefore, if we think the dividend yield is 0.0</w:t>
      </w:r>
      <w:r w:rsidRPr="00EC5378">
        <w:t>3,</w:t>
      </w:r>
      <w:r w:rsidRPr="00357D43">
        <w:t xml:space="preserve"> we consider the observed forward price of </w:t>
      </w:r>
      <w:r>
        <w:t>$</w:t>
      </w:r>
      <w:r w:rsidRPr="00EC5378">
        <w:t>1,</w:t>
      </w:r>
      <w:r w:rsidRPr="00357D43">
        <w:t xml:space="preserve">129.257 to be too expensive. We will therefore sell the forward and create a synthetic long forward, capturing a certain amount of $12.637. We engage in a </w:t>
      </w:r>
      <w:r w:rsidRPr="009B2420">
        <w:rPr>
          <w:b/>
        </w:rPr>
        <w:t>cash and carry arbitrage</w:t>
      </w:r>
      <w:r w:rsidRPr="00357D43">
        <w:t>:</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2748"/>
        <w:gridCol w:w="2160"/>
        <w:gridCol w:w="2520"/>
      </w:tblGrid>
      <w:tr w:rsidR="00112F46" w:rsidRPr="004D69B1" w:rsidTr="00B90B24">
        <w:trPr>
          <w:jc w:val="center"/>
        </w:trPr>
        <w:tc>
          <w:tcPr>
            <w:tcW w:w="2748" w:type="dxa"/>
            <w:shd w:val="clear" w:color="auto" w:fill="606060"/>
            <w:vAlign w:val="center"/>
          </w:tcPr>
          <w:p w:rsidR="00112F46" w:rsidRPr="00B345C3" w:rsidRDefault="00112F46" w:rsidP="00B90B24">
            <w:pPr>
              <w:pStyle w:val="TableText"/>
              <w:keepNext/>
              <w:rPr>
                <w:color w:val="FFFFFF"/>
              </w:rPr>
            </w:pPr>
            <w:r w:rsidRPr="00B345C3">
              <w:rPr>
                <w:color w:val="FFFFFF"/>
              </w:rPr>
              <w:t>Description</w:t>
            </w:r>
          </w:p>
        </w:tc>
        <w:tc>
          <w:tcPr>
            <w:tcW w:w="2160" w:type="dxa"/>
            <w:shd w:val="clear" w:color="auto" w:fill="606060"/>
            <w:vAlign w:val="center"/>
          </w:tcPr>
          <w:p w:rsidR="00112F46" w:rsidRPr="00B345C3" w:rsidRDefault="00112F46" w:rsidP="00B90B24">
            <w:pPr>
              <w:pStyle w:val="TableText"/>
              <w:keepNext/>
              <w:rPr>
                <w:color w:val="FFFFFF"/>
              </w:rPr>
            </w:pPr>
            <w:r w:rsidRPr="00B345C3">
              <w:rPr>
                <w:color w:val="FFFFFF"/>
              </w:rPr>
              <w:t>Today</w:t>
            </w:r>
          </w:p>
        </w:tc>
        <w:tc>
          <w:tcPr>
            <w:tcW w:w="2520" w:type="dxa"/>
            <w:shd w:val="clear" w:color="auto" w:fill="606060"/>
            <w:vAlign w:val="center"/>
          </w:tcPr>
          <w:p w:rsidR="00112F46" w:rsidRPr="00B345C3" w:rsidRDefault="00112F46" w:rsidP="00B90B24">
            <w:pPr>
              <w:pStyle w:val="TableText"/>
              <w:keepNext/>
              <w:rPr>
                <w:color w:val="FFFFFF"/>
              </w:rPr>
            </w:pPr>
            <w:r w:rsidRPr="00B345C3">
              <w:rPr>
                <w:color w:val="FFFFFF"/>
              </w:rPr>
              <w:t xml:space="preserve">In </w:t>
            </w:r>
            <w:r>
              <w:rPr>
                <w:color w:val="FFFFFF"/>
              </w:rPr>
              <w:t>nine</w:t>
            </w:r>
            <w:r w:rsidRPr="00B345C3">
              <w:rPr>
                <w:color w:val="FFFFFF"/>
              </w:rPr>
              <w:t xml:space="preserve"> months</w:t>
            </w:r>
          </w:p>
        </w:tc>
      </w:tr>
      <w:tr w:rsidR="00112F46" w:rsidRPr="004D69B1" w:rsidTr="00B90B24">
        <w:trPr>
          <w:jc w:val="center"/>
        </w:trPr>
        <w:tc>
          <w:tcPr>
            <w:tcW w:w="2748" w:type="dxa"/>
            <w:vAlign w:val="center"/>
          </w:tcPr>
          <w:p w:rsidR="00112F46" w:rsidRPr="004D69B1" w:rsidRDefault="00112F46" w:rsidP="00B90B24">
            <w:pPr>
              <w:pStyle w:val="TableText"/>
              <w:keepNext/>
              <w:jc w:val="left"/>
            </w:pPr>
            <w:r w:rsidRPr="004D69B1">
              <w:t>Short forward</w:t>
            </w:r>
          </w:p>
        </w:tc>
        <w:tc>
          <w:tcPr>
            <w:tcW w:w="2160" w:type="dxa"/>
            <w:vAlign w:val="center"/>
          </w:tcPr>
          <w:p w:rsidR="00112F46" w:rsidRPr="004D69B1" w:rsidRDefault="00112F46" w:rsidP="00B90B24">
            <w:pPr>
              <w:pStyle w:val="TableText"/>
              <w:keepNext/>
              <w:jc w:val="left"/>
            </w:pPr>
            <w:r w:rsidRPr="004D69B1">
              <w:t>0</w:t>
            </w:r>
          </w:p>
        </w:tc>
        <w:tc>
          <w:tcPr>
            <w:tcW w:w="2520" w:type="dxa"/>
            <w:vAlign w:val="center"/>
          </w:tcPr>
          <w:p w:rsidR="00112F46" w:rsidRPr="004D69B1" w:rsidRDefault="00112F46" w:rsidP="00B90B24">
            <w:pPr>
              <w:pStyle w:val="TableText"/>
              <w:keepNext/>
              <w:jc w:val="left"/>
            </w:pPr>
            <w:r w:rsidRPr="004D69B1">
              <w:t xml:space="preserve">$1,129.257 − </w:t>
            </w:r>
            <w:r w:rsidRPr="00B345C3">
              <w:rPr>
                <w:i/>
              </w:rPr>
              <w:t>S</w:t>
            </w:r>
            <w:r w:rsidRPr="00B345C3">
              <w:rPr>
                <w:i/>
                <w:vertAlign w:val="subscript"/>
              </w:rPr>
              <w:t>T</w:t>
            </w:r>
          </w:p>
        </w:tc>
      </w:tr>
      <w:tr w:rsidR="00112F46" w:rsidRPr="004D69B1" w:rsidTr="00B90B24">
        <w:trPr>
          <w:jc w:val="center"/>
        </w:trPr>
        <w:tc>
          <w:tcPr>
            <w:tcW w:w="2748" w:type="dxa"/>
            <w:vAlign w:val="center"/>
          </w:tcPr>
          <w:p w:rsidR="00112F46" w:rsidRPr="004D69B1" w:rsidRDefault="00112F46" w:rsidP="00B90B24">
            <w:pPr>
              <w:pStyle w:val="TableText"/>
              <w:keepNext/>
              <w:jc w:val="left"/>
            </w:pPr>
            <w:r w:rsidRPr="004D69B1">
              <w:t>Buy tailed position in</w:t>
            </w:r>
          </w:p>
        </w:tc>
        <w:tc>
          <w:tcPr>
            <w:tcW w:w="2160" w:type="dxa"/>
            <w:vAlign w:val="center"/>
          </w:tcPr>
          <w:p w:rsidR="00112F46" w:rsidRPr="004D69B1" w:rsidRDefault="00112F46" w:rsidP="00B90B24">
            <w:pPr>
              <w:pStyle w:val="TableText"/>
              <w:keepNext/>
              <w:jc w:val="left"/>
            </w:pPr>
            <w:r w:rsidRPr="004D69B1">
              <w:t>−$1,100 × .97775</w:t>
            </w:r>
          </w:p>
        </w:tc>
        <w:tc>
          <w:tcPr>
            <w:tcW w:w="2520" w:type="dxa"/>
            <w:vAlign w:val="center"/>
          </w:tcPr>
          <w:p w:rsidR="00112F46" w:rsidRPr="004D69B1" w:rsidRDefault="00112F46" w:rsidP="00B90B24">
            <w:pPr>
              <w:pStyle w:val="TableText"/>
              <w:keepNext/>
              <w:jc w:val="left"/>
            </w:pPr>
            <w:r w:rsidRPr="00B345C3">
              <w:rPr>
                <w:i/>
              </w:rPr>
              <w:t>S</w:t>
            </w:r>
            <w:r w:rsidRPr="00B345C3">
              <w:rPr>
                <w:i/>
                <w:vertAlign w:val="subscript"/>
              </w:rPr>
              <w:t>T</w:t>
            </w:r>
          </w:p>
        </w:tc>
      </w:tr>
      <w:tr w:rsidR="00112F46" w:rsidRPr="004D69B1" w:rsidTr="00B90B24">
        <w:trPr>
          <w:jc w:val="center"/>
        </w:trPr>
        <w:tc>
          <w:tcPr>
            <w:tcW w:w="2748" w:type="dxa"/>
            <w:vAlign w:val="center"/>
          </w:tcPr>
          <w:p w:rsidR="00112F46" w:rsidRPr="004D69B1" w:rsidRDefault="00112F46" w:rsidP="00B90B24">
            <w:pPr>
              <w:pStyle w:val="TableText"/>
              <w:keepNext/>
              <w:jc w:val="left"/>
            </w:pPr>
            <w:r w:rsidRPr="004D69B1">
              <w:t>index</w:t>
            </w:r>
          </w:p>
        </w:tc>
        <w:tc>
          <w:tcPr>
            <w:tcW w:w="2160" w:type="dxa"/>
            <w:vAlign w:val="center"/>
          </w:tcPr>
          <w:p w:rsidR="00112F46" w:rsidRPr="004D69B1" w:rsidRDefault="00112F46" w:rsidP="00B90B24">
            <w:pPr>
              <w:pStyle w:val="TableText"/>
              <w:keepNext/>
              <w:jc w:val="left"/>
            </w:pPr>
            <w:r w:rsidRPr="004D69B1">
              <w:t>= −$1,075.526</w:t>
            </w:r>
          </w:p>
        </w:tc>
        <w:tc>
          <w:tcPr>
            <w:tcW w:w="2520" w:type="dxa"/>
            <w:vAlign w:val="center"/>
          </w:tcPr>
          <w:p w:rsidR="00112F46" w:rsidRPr="004D69B1" w:rsidRDefault="00112F46" w:rsidP="00B90B24">
            <w:pPr>
              <w:pStyle w:val="TableText"/>
              <w:keepNext/>
              <w:jc w:val="left"/>
            </w:pPr>
          </w:p>
        </w:tc>
      </w:tr>
      <w:tr w:rsidR="00112F46" w:rsidRPr="004D69B1" w:rsidTr="00B90B24">
        <w:trPr>
          <w:jc w:val="center"/>
        </w:trPr>
        <w:tc>
          <w:tcPr>
            <w:tcW w:w="2748" w:type="dxa"/>
            <w:vAlign w:val="center"/>
          </w:tcPr>
          <w:p w:rsidR="00112F46" w:rsidRPr="004D69B1" w:rsidRDefault="00112F46" w:rsidP="00B90B24">
            <w:pPr>
              <w:pStyle w:val="TableText"/>
              <w:keepNext/>
              <w:jc w:val="left"/>
            </w:pPr>
            <w:r w:rsidRPr="004D69B1">
              <w:t>Borrow $1,075.526</w:t>
            </w:r>
          </w:p>
        </w:tc>
        <w:tc>
          <w:tcPr>
            <w:tcW w:w="2160" w:type="dxa"/>
            <w:vAlign w:val="center"/>
          </w:tcPr>
          <w:p w:rsidR="00112F46" w:rsidRPr="004D69B1" w:rsidRDefault="00112F46" w:rsidP="00B90B24">
            <w:pPr>
              <w:pStyle w:val="TableText"/>
              <w:keepNext/>
              <w:jc w:val="left"/>
            </w:pPr>
            <w:r w:rsidRPr="004D69B1">
              <w:t>$1,075.526</w:t>
            </w:r>
          </w:p>
        </w:tc>
        <w:tc>
          <w:tcPr>
            <w:tcW w:w="2520" w:type="dxa"/>
            <w:vAlign w:val="center"/>
          </w:tcPr>
          <w:p w:rsidR="00112F46" w:rsidRPr="004D69B1" w:rsidRDefault="0088004A" w:rsidP="00B90B24">
            <w:pPr>
              <w:pStyle w:val="TableText"/>
              <w:keepNext/>
              <w:jc w:val="left"/>
            </w:pPr>
            <w:r w:rsidRPr="004D69B1">
              <w:t>−</w:t>
            </w:r>
            <w:r w:rsidR="00112F46" w:rsidRPr="004D69B1">
              <w:t>$1,116.62</w:t>
            </w:r>
          </w:p>
        </w:tc>
      </w:tr>
      <w:tr w:rsidR="00112F46" w:rsidRPr="004D69B1" w:rsidTr="00B90B24">
        <w:trPr>
          <w:jc w:val="center"/>
        </w:trPr>
        <w:tc>
          <w:tcPr>
            <w:tcW w:w="2748" w:type="dxa"/>
            <w:tcBorders>
              <w:bottom w:val="single" w:sz="4" w:space="0" w:color="auto"/>
            </w:tcBorders>
            <w:vAlign w:val="center"/>
          </w:tcPr>
          <w:p w:rsidR="00112F46" w:rsidRPr="004D69B1" w:rsidRDefault="00112F46" w:rsidP="00B90B24">
            <w:pPr>
              <w:pStyle w:val="TableText"/>
              <w:jc w:val="left"/>
            </w:pPr>
            <w:r w:rsidRPr="004D69B1">
              <w:t>TOTAL</w:t>
            </w:r>
          </w:p>
        </w:tc>
        <w:tc>
          <w:tcPr>
            <w:tcW w:w="2160" w:type="dxa"/>
            <w:tcBorders>
              <w:bottom w:val="single" w:sz="4" w:space="0" w:color="auto"/>
            </w:tcBorders>
            <w:vAlign w:val="center"/>
          </w:tcPr>
          <w:p w:rsidR="00112F46" w:rsidRPr="004D69B1" w:rsidRDefault="00112F46" w:rsidP="00B90B24">
            <w:pPr>
              <w:pStyle w:val="TableText"/>
              <w:jc w:val="left"/>
            </w:pPr>
            <w:r w:rsidRPr="004D69B1">
              <w:t>0</w:t>
            </w:r>
          </w:p>
        </w:tc>
        <w:tc>
          <w:tcPr>
            <w:tcW w:w="2520" w:type="dxa"/>
            <w:tcBorders>
              <w:bottom w:val="single" w:sz="4" w:space="0" w:color="auto"/>
            </w:tcBorders>
            <w:vAlign w:val="center"/>
          </w:tcPr>
          <w:p w:rsidR="00112F46" w:rsidRPr="004D69B1" w:rsidRDefault="00112F46" w:rsidP="00B90B24">
            <w:pPr>
              <w:pStyle w:val="TableText"/>
              <w:jc w:val="left"/>
            </w:pPr>
            <w:r w:rsidRPr="004D69B1">
              <w:t>$12.637</w:t>
            </w:r>
          </w:p>
        </w:tc>
      </w:tr>
    </w:tbl>
    <w:p w:rsidR="0088004A" w:rsidRDefault="0088004A" w:rsidP="00112F46">
      <w:pPr>
        <w:rPr>
          <w:b/>
          <w:sz w:val="28"/>
          <w:szCs w:val="28"/>
        </w:rPr>
      </w:pPr>
    </w:p>
    <w:p w:rsidR="0088004A" w:rsidRDefault="0088004A">
      <w:pPr>
        <w:rPr>
          <w:b/>
          <w:sz w:val="28"/>
          <w:szCs w:val="28"/>
        </w:rPr>
      </w:pPr>
      <w:r>
        <w:rPr>
          <w:b/>
          <w:sz w:val="28"/>
          <w:szCs w:val="28"/>
        </w:rPr>
        <w:br w:type="page"/>
      </w:r>
    </w:p>
    <w:p w:rsidR="004C7646" w:rsidRDefault="004C7646" w:rsidP="00CF4573">
      <w:pPr>
        <w:jc w:val="center"/>
        <w:rPr>
          <w:b/>
          <w:sz w:val="28"/>
          <w:szCs w:val="28"/>
        </w:rPr>
      </w:pPr>
      <w:r w:rsidRPr="004C7646">
        <w:rPr>
          <w:rFonts w:hint="eastAsia"/>
          <w:b/>
          <w:noProof/>
          <w:sz w:val="28"/>
          <w:szCs w:val="28"/>
        </w:rPr>
        <w:lastRenderedPageBreak/>
        <w:drawing>
          <wp:inline distT="0" distB="0" distL="0" distR="0">
            <wp:extent cx="5943600" cy="1289721"/>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89721"/>
                    </a:xfrm>
                    <a:prstGeom prst="rect">
                      <a:avLst/>
                    </a:prstGeom>
                    <a:noFill/>
                    <a:ln>
                      <a:noFill/>
                    </a:ln>
                  </pic:spPr>
                </pic:pic>
              </a:graphicData>
            </a:graphic>
          </wp:inline>
        </w:drawing>
      </w:r>
    </w:p>
    <w:p w:rsidR="004C7646" w:rsidRDefault="0088004A">
      <w:pPr>
        <w:rPr>
          <w:b/>
          <w:sz w:val="28"/>
          <w:szCs w:val="28"/>
        </w:rPr>
      </w:pPr>
      <w:r>
        <w:rPr>
          <w:b/>
          <w:sz w:val="28"/>
          <w:szCs w:val="28"/>
        </w:rPr>
        <w:t>Solution</w:t>
      </w:r>
    </w:p>
    <w:p w:rsidR="0088004A" w:rsidRDefault="0088004A" w:rsidP="0088004A">
      <w:r w:rsidRPr="00357D43">
        <w:t>a)</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2332"/>
        <w:gridCol w:w="965"/>
        <w:gridCol w:w="3167"/>
      </w:tblGrid>
      <w:tr w:rsidR="0088004A" w:rsidRPr="006A45D6" w:rsidTr="00B90B24">
        <w:trPr>
          <w:jc w:val="center"/>
        </w:trPr>
        <w:tc>
          <w:tcPr>
            <w:tcW w:w="2332" w:type="dxa"/>
            <w:shd w:val="clear" w:color="auto" w:fill="606060"/>
            <w:vAlign w:val="center"/>
          </w:tcPr>
          <w:p w:rsidR="0088004A" w:rsidRPr="00B345C3" w:rsidRDefault="0088004A" w:rsidP="00B90B24">
            <w:pPr>
              <w:pStyle w:val="TableText"/>
              <w:jc w:val="left"/>
              <w:rPr>
                <w:color w:val="FFFFFF"/>
              </w:rPr>
            </w:pPr>
            <w:r w:rsidRPr="00B345C3">
              <w:rPr>
                <w:color w:val="FFFFFF"/>
              </w:rPr>
              <w:t>Description</w:t>
            </w:r>
          </w:p>
        </w:tc>
        <w:tc>
          <w:tcPr>
            <w:tcW w:w="965" w:type="dxa"/>
            <w:shd w:val="clear" w:color="auto" w:fill="606060"/>
            <w:vAlign w:val="center"/>
          </w:tcPr>
          <w:p w:rsidR="0088004A" w:rsidRPr="00B345C3" w:rsidRDefault="0088004A" w:rsidP="00B90B24">
            <w:pPr>
              <w:pStyle w:val="TableText"/>
              <w:rPr>
                <w:color w:val="FFFFFF"/>
              </w:rPr>
            </w:pPr>
            <w:r w:rsidRPr="00B345C3">
              <w:rPr>
                <w:color w:val="FFFFFF"/>
                <w:spacing w:val="-17"/>
              </w:rPr>
              <w:t>T</w:t>
            </w:r>
            <w:r w:rsidRPr="00B345C3">
              <w:rPr>
                <w:color w:val="FFFFFF"/>
              </w:rPr>
              <w:t>oday</w:t>
            </w:r>
          </w:p>
        </w:tc>
        <w:tc>
          <w:tcPr>
            <w:tcW w:w="3167" w:type="dxa"/>
            <w:shd w:val="clear" w:color="auto" w:fill="606060"/>
            <w:vAlign w:val="center"/>
          </w:tcPr>
          <w:p w:rsidR="0088004A" w:rsidRPr="00B345C3" w:rsidRDefault="0088004A" w:rsidP="00B90B24">
            <w:pPr>
              <w:pStyle w:val="TableText"/>
              <w:rPr>
                <w:color w:val="FFFFFF"/>
              </w:rPr>
            </w:pPr>
            <w:r w:rsidRPr="00B345C3">
              <w:rPr>
                <w:color w:val="FFFFFF"/>
              </w:rPr>
              <w:t>At</w:t>
            </w:r>
            <w:r w:rsidRPr="00B345C3">
              <w:rPr>
                <w:color w:val="FFFFFF"/>
                <w:spacing w:val="-2"/>
              </w:rPr>
              <w:t xml:space="preserve"> </w:t>
            </w:r>
            <w:r w:rsidRPr="00B345C3">
              <w:rPr>
                <w:color w:val="FFFFFF"/>
              </w:rPr>
              <w:t>expiration</w:t>
            </w:r>
            <w:r w:rsidRPr="00B345C3">
              <w:rPr>
                <w:color w:val="FFFFFF"/>
                <w:spacing w:val="-10"/>
              </w:rPr>
              <w:t xml:space="preserve"> </w:t>
            </w:r>
            <w:r w:rsidRPr="00B345C3">
              <w:rPr>
                <w:color w:val="FFFFFF"/>
              </w:rPr>
              <w:t>of</w:t>
            </w:r>
            <w:r w:rsidRPr="00B345C3">
              <w:rPr>
                <w:color w:val="FFFFFF"/>
                <w:spacing w:val="-2"/>
              </w:rPr>
              <w:t xml:space="preserve"> </w:t>
            </w:r>
            <w:r w:rsidRPr="00B345C3">
              <w:rPr>
                <w:color w:val="FFFFFF"/>
              </w:rPr>
              <w:t>the</w:t>
            </w:r>
            <w:r w:rsidRPr="00B345C3">
              <w:rPr>
                <w:color w:val="FFFFFF"/>
                <w:spacing w:val="-3"/>
              </w:rPr>
              <w:t xml:space="preserve"> </w:t>
            </w:r>
            <w:r w:rsidRPr="00B345C3">
              <w:rPr>
                <w:color w:val="FFFFFF"/>
              </w:rPr>
              <w:t>contract</w:t>
            </w:r>
          </w:p>
        </w:tc>
      </w:tr>
      <w:tr w:rsidR="0088004A" w:rsidRPr="006A45D6" w:rsidTr="00B90B24">
        <w:trPr>
          <w:jc w:val="center"/>
        </w:trPr>
        <w:tc>
          <w:tcPr>
            <w:tcW w:w="2332" w:type="dxa"/>
            <w:vAlign w:val="center"/>
          </w:tcPr>
          <w:p w:rsidR="0088004A" w:rsidRPr="006A45D6" w:rsidRDefault="0088004A" w:rsidP="00B90B24">
            <w:pPr>
              <w:pStyle w:val="TableText"/>
              <w:jc w:val="left"/>
            </w:pPr>
            <w:r w:rsidRPr="006A45D6">
              <w:t>Long</w:t>
            </w:r>
            <w:r w:rsidRPr="00B345C3">
              <w:rPr>
                <w:spacing w:val="-5"/>
              </w:rPr>
              <w:t xml:space="preserve"> </w:t>
            </w:r>
            <w:r w:rsidRPr="006A45D6">
              <w:t>forward</w:t>
            </w:r>
          </w:p>
        </w:tc>
        <w:tc>
          <w:tcPr>
            <w:tcW w:w="965" w:type="dxa"/>
            <w:vAlign w:val="center"/>
          </w:tcPr>
          <w:p w:rsidR="0088004A" w:rsidRPr="006A45D6" w:rsidRDefault="0088004A" w:rsidP="00B90B24">
            <w:pPr>
              <w:pStyle w:val="TableText"/>
              <w:jc w:val="left"/>
            </w:pPr>
            <w:r w:rsidRPr="006A45D6">
              <w:t>0</w:t>
            </w:r>
          </w:p>
        </w:tc>
        <w:tc>
          <w:tcPr>
            <w:tcW w:w="3167" w:type="dxa"/>
            <w:vAlign w:val="center"/>
          </w:tcPr>
          <w:p w:rsidR="0088004A" w:rsidRPr="006A45D6" w:rsidRDefault="0088004A" w:rsidP="00B90B24">
            <w:pPr>
              <w:pStyle w:val="TableText"/>
              <w:jc w:val="left"/>
            </w:pPr>
            <w:r w:rsidRPr="00B345C3">
              <w:rPr>
                <w:i/>
                <w:iCs/>
                <w:w w:val="106"/>
                <w:position w:val="1"/>
              </w:rPr>
              <w:t>S</w:t>
            </w:r>
            <w:r w:rsidRPr="00B345C3">
              <w:rPr>
                <w:i/>
                <w:iCs/>
                <w:w w:val="96"/>
                <w:position w:val="-2"/>
                <w:sz w:val="18"/>
                <w:szCs w:val="18"/>
              </w:rPr>
              <w:t>T</w:t>
            </w:r>
            <w:r w:rsidRPr="00B345C3">
              <w:rPr>
                <w:i/>
                <w:iCs/>
                <w:spacing w:val="7"/>
                <w:position w:val="-2"/>
                <w:sz w:val="18"/>
                <w:szCs w:val="18"/>
              </w:rPr>
              <w:t xml:space="preserve"> </w:t>
            </w:r>
            <w:r w:rsidRPr="00B345C3">
              <w:rPr>
                <w:rFonts w:ascii="KozGoPr6N-ExtraLight" w:hAnsi="KozGoPr6N-ExtraLight" w:cs="KozGoPr6N-ExtraLight"/>
                <w:w w:val="77"/>
                <w:position w:val="1"/>
              </w:rPr>
              <w:t>−</w:t>
            </w:r>
            <w:r w:rsidRPr="00B345C3">
              <w:rPr>
                <w:rFonts w:ascii="KozGoPr6N-ExtraLight" w:hAnsi="KozGoPr6N-ExtraLight" w:cs="KozGoPr6N-ExtraLight"/>
                <w:spacing w:val="-2"/>
                <w:position w:val="1"/>
              </w:rPr>
              <w:t xml:space="preserve"> </w:t>
            </w:r>
            <w:r w:rsidRPr="00B345C3">
              <w:rPr>
                <w:i/>
                <w:iCs/>
                <w:w w:val="103"/>
                <w:position w:val="1"/>
              </w:rPr>
              <w:t>F</w:t>
            </w:r>
            <w:r w:rsidRPr="00B345C3">
              <w:rPr>
                <w:w w:val="99"/>
                <w:position w:val="-2"/>
                <w:sz w:val="18"/>
                <w:szCs w:val="18"/>
              </w:rPr>
              <w:t>0</w:t>
            </w:r>
            <w:r w:rsidRPr="00B345C3">
              <w:rPr>
                <w:i/>
                <w:iCs/>
                <w:w w:val="107"/>
                <w:position w:val="-2"/>
                <w:sz w:val="18"/>
                <w:szCs w:val="18"/>
              </w:rPr>
              <w:t>,T</w:t>
            </w:r>
            <w:r w:rsidRPr="00B345C3">
              <w:rPr>
                <w:i/>
                <w:iCs/>
                <w:position w:val="-2"/>
                <w:sz w:val="18"/>
                <w:szCs w:val="18"/>
              </w:rPr>
              <w:t xml:space="preserve"> </w:t>
            </w:r>
            <w:r w:rsidRPr="00B345C3">
              <w:rPr>
                <w:i/>
                <w:iCs/>
                <w:spacing w:val="20"/>
                <w:position w:val="-2"/>
                <w:sz w:val="18"/>
                <w:szCs w:val="18"/>
              </w:rPr>
              <w:t xml:space="preserve"> </w:t>
            </w:r>
            <w:r w:rsidRPr="00B345C3">
              <w:rPr>
                <w:rFonts w:ascii="KozGoPr6N-ExtraLight" w:hAnsi="KozGoPr6N-ExtraLight" w:cs="KozGoPr6N-ExtraLight"/>
                <w:w w:val="116"/>
                <w:position w:val="1"/>
              </w:rPr>
              <w:t>=</w:t>
            </w:r>
            <w:r w:rsidRPr="00B345C3">
              <w:rPr>
                <w:rFonts w:ascii="KozGoPr6N-ExtraLight" w:hAnsi="KozGoPr6N-ExtraLight" w:cs="KozGoPr6N-ExtraLight"/>
                <w:spacing w:val="11"/>
                <w:position w:val="1"/>
              </w:rPr>
              <w:t xml:space="preserve"> </w:t>
            </w:r>
            <w:r w:rsidRPr="00B345C3">
              <w:rPr>
                <w:i/>
                <w:iCs/>
                <w:w w:val="106"/>
                <w:position w:val="1"/>
              </w:rPr>
              <w:t>S</w:t>
            </w:r>
            <w:r w:rsidRPr="00B345C3">
              <w:rPr>
                <w:i/>
                <w:iCs/>
                <w:w w:val="96"/>
                <w:position w:val="-2"/>
                <w:sz w:val="18"/>
                <w:szCs w:val="18"/>
              </w:rPr>
              <w:t>T</w:t>
            </w:r>
            <w:r w:rsidRPr="00B345C3">
              <w:rPr>
                <w:i/>
                <w:iCs/>
                <w:position w:val="-2"/>
                <w:sz w:val="18"/>
                <w:szCs w:val="18"/>
              </w:rPr>
              <w:t xml:space="preserve"> </w:t>
            </w:r>
            <w:r w:rsidRPr="00B345C3">
              <w:rPr>
                <w:rFonts w:ascii="KozGoPr6N-ExtraLight" w:hAnsi="KozGoPr6N-ExtraLight" w:cs="KozGoPr6N-ExtraLight"/>
                <w:w w:val="77"/>
                <w:position w:val="1"/>
              </w:rPr>
              <w:t>−</w:t>
            </w:r>
            <w:r w:rsidRPr="00B345C3">
              <w:rPr>
                <w:rFonts w:ascii="KozGoPr6N-ExtraLight" w:hAnsi="KozGoPr6N-ExtraLight" w:cs="KozGoPr6N-ExtraLight"/>
                <w:spacing w:val="-2"/>
                <w:position w:val="1"/>
              </w:rPr>
              <w:t xml:space="preserve"> </w:t>
            </w:r>
            <w:r w:rsidRPr="00B345C3">
              <w:rPr>
                <w:i/>
                <w:iCs/>
                <w:w w:val="106"/>
                <w:position w:val="1"/>
              </w:rPr>
              <w:t>S</w:t>
            </w:r>
            <w:r w:rsidRPr="00B345C3">
              <w:rPr>
                <w:spacing w:val="10"/>
                <w:w w:val="99"/>
                <w:position w:val="-2"/>
                <w:sz w:val="18"/>
                <w:szCs w:val="18"/>
              </w:rPr>
              <w:t>0</w:t>
            </w:r>
            <w:r w:rsidRPr="00B345C3">
              <w:rPr>
                <w:i/>
                <w:iCs/>
                <w:spacing w:val="5"/>
                <w:w w:val="99"/>
                <w:position w:val="1"/>
              </w:rPr>
              <w:t>e</w:t>
            </w:r>
            <w:proofErr w:type="spellStart"/>
            <w:r w:rsidRPr="00B345C3">
              <w:rPr>
                <w:i/>
                <w:iCs/>
                <w:spacing w:val="14"/>
                <w:w w:val="97"/>
                <w:position w:val="10"/>
                <w:sz w:val="18"/>
                <w:szCs w:val="18"/>
              </w:rPr>
              <w:t>r</w:t>
            </w:r>
            <w:r w:rsidRPr="00B345C3">
              <w:rPr>
                <w:i/>
                <w:iCs/>
                <w:w w:val="97"/>
                <w:position w:val="10"/>
                <w:sz w:val="18"/>
                <w:szCs w:val="18"/>
              </w:rPr>
              <w:t>T</w:t>
            </w:r>
            <w:proofErr w:type="spellEnd"/>
          </w:p>
        </w:tc>
      </w:tr>
      <w:tr w:rsidR="0088004A" w:rsidRPr="00B345C3" w:rsidTr="00B90B24">
        <w:trPr>
          <w:jc w:val="center"/>
        </w:trPr>
        <w:tc>
          <w:tcPr>
            <w:tcW w:w="2332" w:type="dxa"/>
            <w:vAlign w:val="center"/>
          </w:tcPr>
          <w:p w:rsidR="0088004A" w:rsidRPr="00B345C3" w:rsidRDefault="0088004A" w:rsidP="00B90B24">
            <w:pPr>
              <w:pStyle w:val="TableText"/>
              <w:jc w:val="left"/>
              <w:rPr>
                <w:vertAlign w:val="subscript"/>
              </w:rPr>
            </w:pPr>
            <w:r w:rsidRPr="006A45D6">
              <w:t xml:space="preserve">Lend </w:t>
            </w:r>
            <w:r w:rsidRPr="00B345C3">
              <w:rPr>
                <w:i/>
              </w:rPr>
              <w:t>S</w:t>
            </w:r>
            <w:r w:rsidRPr="00B345C3">
              <w:rPr>
                <w:vertAlign w:val="subscript"/>
              </w:rPr>
              <w:t>0</w:t>
            </w:r>
          </w:p>
        </w:tc>
        <w:tc>
          <w:tcPr>
            <w:tcW w:w="965" w:type="dxa"/>
            <w:vAlign w:val="center"/>
          </w:tcPr>
          <w:p w:rsidR="0088004A" w:rsidRPr="00B345C3" w:rsidRDefault="0088004A" w:rsidP="00B90B24">
            <w:pPr>
              <w:pStyle w:val="TableText"/>
              <w:jc w:val="left"/>
              <w:rPr>
                <w:vertAlign w:val="subscript"/>
              </w:rPr>
            </w:pPr>
            <w:r w:rsidRPr="006A45D6">
              <w:t>−</w:t>
            </w:r>
            <w:r w:rsidRPr="00B345C3">
              <w:rPr>
                <w:i/>
              </w:rPr>
              <w:t>S</w:t>
            </w:r>
            <w:r w:rsidRPr="00B345C3">
              <w:rPr>
                <w:vertAlign w:val="subscript"/>
              </w:rPr>
              <w:t>0</w:t>
            </w:r>
          </w:p>
        </w:tc>
        <w:tc>
          <w:tcPr>
            <w:tcW w:w="3167" w:type="dxa"/>
            <w:vAlign w:val="center"/>
          </w:tcPr>
          <w:p w:rsidR="0088004A" w:rsidRPr="00B345C3" w:rsidRDefault="0088004A" w:rsidP="00B90B24">
            <w:pPr>
              <w:pStyle w:val="TableText"/>
              <w:jc w:val="left"/>
              <w:rPr>
                <w:vertAlign w:val="subscript"/>
              </w:rPr>
            </w:pPr>
            <w:r w:rsidRPr="00B345C3">
              <w:rPr>
                <w:i/>
              </w:rPr>
              <w:t>S</w:t>
            </w:r>
            <w:r w:rsidRPr="00B345C3">
              <w:rPr>
                <w:vertAlign w:val="subscript"/>
              </w:rPr>
              <w:t>0</w:t>
            </w:r>
            <w:r w:rsidRPr="00B345C3">
              <w:rPr>
                <w:i/>
              </w:rPr>
              <w:t>e</w:t>
            </w:r>
            <w:r w:rsidRPr="00B345C3">
              <w:rPr>
                <w:i/>
                <w:vertAlign w:val="superscript"/>
              </w:rPr>
              <w:t>rT</w:t>
            </w:r>
          </w:p>
        </w:tc>
      </w:tr>
      <w:tr w:rsidR="0088004A" w:rsidRPr="00B345C3" w:rsidTr="00B90B24">
        <w:trPr>
          <w:jc w:val="center"/>
        </w:trPr>
        <w:tc>
          <w:tcPr>
            <w:tcW w:w="2332" w:type="dxa"/>
            <w:tcBorders>
              <w:bottom w:val="single" w:sz="4" w:space="0" w:color="auto"/>
            </w:tcBorders>
            <w:vAlign w:val="center"/>
          </w:tcPr>
          <w:p w:rsidR="0088004A" w:rsidRPr="006A45D6" w:rsidRDefault="0088004A" w:rsidP="00B90B24">
            <w:pPr>
              <w:pStyle w:val="TableText"/>
              <w:jc w:val="left"/>
            </w:pPr>
            <w:r w:rsidRPr="006A45D6">
              <w:t>Total</w:t>
            </w:r>
          </w:p>
        </w:tc>
        <w:tc>
          <w:tcPr>
            <w:tcW w:w="965" w:type="dxa"/>
            <w:tcBorders>
              <w:bottom w:val="single" w:sz="4" w:space="0" w:color="auto"/>
            </w:tcBorders>
            <w:vAlign w:val="center"/>
          </w:tcPr>
          <w:p w:rsidR="0088004A" w:rsidRPr="00B345C3" w:rsidRDefault="0088004A" w:rsidP="00B90B24">
            <w:pPr>
              <w:pStyle w:val="TableText"/>
              <w:jc w:val="left"/>
              <w:rPr>
                <w:vertAlign w:val="subscript"/>
              </w:rPr>
            </w:pPr>
            <w:r w:rsidRPr="006A45D6">
              <w:t>−</w:t>
            </w:r>
            <w:r w:rsidRPr="00B345C3">
              <w:rPr>
                <w:i/>
              </w:rPr>
              <w:t>S</w:t>
            </w:r>
            <w:r w:rsidRPr="00B345C3">
              <w:rPr>
                <w:vertAlign w:val="subscript"/>
              </w:rPr>
              <w:t>0</w:t>
            </w:r>
          </w:p>
        </w:tc>
        <w:tc>
          <w:tcPr>
            <w:tcW w:w="3167" w:type="dxa"/>
            <w:tcBorders>
              <w:bottom w:val="single" w:sz="4" w:space="0" w:color="auto"/>
            </w:tcBorders>
            <w:vAlign w:val="center"/>
          </w:tcPr>
          <w:p w:rsidR="0088004A" w:rsidRPr="00B345C3" w:rsidRDefault="0088004A" w:rsidP="00B90B24">
            <w:pPr>
              <w:pStyle w:val="TableText"/>
              <w:jc w:val="left"/>
              <w:rPr>
                <w:vertAlign w:val="subscript"/>
              </w:rPr>
            </w:pPr>
            <w:r w:rsidRPr="00B345C3">
              <w:rPr>
                <w:i/>
              </w:rPr>
              <w:t>S</w:t>
            </w:r>
            <w:r w:rsidRPr="00B345C3">
              <w:rPr>
                <w:i/>
                <w:vertAlign w:val="subscript"/>
              </w:rPr>
              <w:t>T</w:t>
            </w:r>
          </w:p>
        </w:tc>
      </w:tr>
    </w:tbl>
    <w:p w:rsidR="0088004A" w:rsidRPr="00357D43" w:rsidRDefault="0088004A" w:rsidP="00C557E7">
      <w:pPr>
        <w:pStyle w:val="2"/>
        <w:ind w:leftChars="193" w:left="425" w:firstLine="1"/>
      </w:pPr>
      <w:r w:rsidRPr="00357D43">
        <w:t>In the first row, we made use of the forward price equation if the stock does not pay dividends. We see that the total aggregate position is equivalent to the payoff of one stock.</w:t>
      </w:r>
    </w:p>
    <w:p w:rsidR="0088004A" w:rsidRPr="00C557E7" w:rsidRDefault="0088004A" w:rsidP="0088004A">
      <w:pPr>
        <w:pStyle w:val="a7"/>
        <w:rPr>
          <w:rFonts w:asciiTheme="minorHAnsi" w:eastAsiaTheme="minorEastAsia" w:hAnsiTheme="minorHAnsi" w:cstheme="minorBidi"/>
          <w:sz w:val="22"/>
          <w:szCs w:val="22"/>
          <w:lang w:eastAsia="zh-TW"/>
        </w:rPr>
      </w:pPr>
      <w:r w:rsidRPr="00C557E7">
        <w:rPr>
          <w:rFonts w:asciiTheme="minorHAnsi" w:eastAsiaTheme="minorEastAsia" w:hAnsiTheme="minorHAnsi" w:cstheme="minorBidi"/>
          <w:sz w:val="22"/>
          <w:szCs w:val="22"/>
          <w:lang w:eastAsia="zh-TW"/>
        </w:rPr>
        <w:t>b)</w:t>
      </w:r>
      <w:r w:rsidRPr="00C557E7">
        <w:rPr>
          <w:rFonts w:asciiTheme="minorHAnsi" w:eastAsiaTheme="minorEastAsia" w:hAnsiTheme="minorHAnsi" w:cstheme="minorBidi"/>
          <w:sz w:val="22"/>
          <w:szCs w:val="22"/>
          <w:lang w:eastAsia="zh-TW"/>
        </w:rPr>
        <w:tab/>
        <w:t>In the case of discrete dividends, we have:</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2400"/>
        <w:gridCol w:w="1992"/>
        <w:gridCol w:w="3780"/>
      </w:tblGrid>
      <w:tr w:rsidR="0088004A" w:rsidRPr="002A2380" w:rsidTr="00B90B24">
        <w:trPr>
          <w:jc w:val="center"/>
        </w:trPr>
        <w:tc>
          <w:tcPr>
            <w:tcW w:w="2400" w:type="dxa"/>
            <w:shd w:val="clear" w:color="auto" w:fill="606060"/>
            <w:vAlign w:val="center"/>
          </w:tcPr>
          <w:p w:rsidR="0088004A" w:rsidRPr="00B345C3" w:rsidRDefault="0088004A" w:rsidP="00B90B24">
            <w:pPr>
              <w:pStyle w:val="TableText"/>
              <w:rPr>
                <w:color w:val="FFFFFF"/>
              </w:rPr>
            </w:pPr>
            <w:r w:rsidRPr="00B345C3">
              <w:rPr>
                <w:color w:val="FFFFFF"/>
              </w:rPr>
              <w:t>Description</w:t>
            </w:r>
          </w:p>
        </w:tc>
        <w:tc>
          <w:tcPr>
            <w:tcW w:w="1992" w:type="dxa"/>
            <w:shd w:val="clear" w:color="auto" w:fill="606060"/>
            <w:vAlign w:val="center"/>
          </w:tcPr>
          <w:p w:rsidR="0088004A" w:rsidRPr="00B345C3" w:rsidRDefault="0088004A" w:rsidP="00B90B24">
            <w:pPr>
              <w:pStyle w:val="TableText"/>
              <w:rPr>
                <w:color w:val="FFFFFF"/>
              </w:rPr>
            </w:pPr>
            <w:r w:rsidRPr="00B345C3">
              <w:rPr>
                <w:color w:val="FFFFFF"/>
              </w:rPr>
              <w:t>Today</w:t>
            </w:r>
          </w:p>
        </w:tc>
        <w:tc>
          <w:tcPr>
            <w:tcW w:w="3780" w:type="dxa"/>
            <w:shd w:val="clear" w:color="auto" w:fill="606060"/>
            <w:vAlign w:val="center"/>
          </w:tcPr>
          <w:p w:rsidR="0088004A" w:rsidRPr="00B345C3" w:rsidRDefault="0088004A" w:rsidP="00B90B24">
            <w:pPr>
              <w:pStyle w:val="TableText"/>
              <w:rPr>
                <w:color w:val="FFFFFF"/>
              </w:rPr>
            </w:pPr>
            <w:r w:rsidRPr="00B345C3">
              <w:rPr>
                <w:color w:val="FFFFFF"/>
              </w:rPr>
              <w:t>At expiration of the contract</w:t>
            </w:r>
          </w:p>
        </w:tc>
      </w:tr>
      <w:tr w:rsidR="0088004A" w:rsidRPr="00B345C3" w:rsidTr="00B90B24">
        <w:trPr>
          <w:jc w:val="center"/>
        </w:trPr>
        <w:tc>
          <w:tcPr>
            <w:tcW w:w="2400" w:type="dxa"/>
            <w:vAlign w:val="center"/>
          </w:tcPr>
          <w:p w:rsidR="0088004A" w:rsidRPr="002A2380" w:rsidRDefault="0088004A" w:rsidP="00B90B24">
            <w:pPr>
              <w:pStyle w:val="TableText"/>
              <w:jc w:val="left"/>
            </w:pPr>
            <w:r w:rsidRPr="002A2380">
              <w:t>Long forward</w:t>
            </w:r>
          </w:p>
        </w:tc>
        <w:tc>
          <w:tcPr>
            <w:tcW w:w="1992" w:type="dxa"/>
            <w:vAlign w:val="center"/>
          </w:tcPr>
          <w:p w:rsidR="0088004A" w:rsidRPr="002A2380" w:rsidRDefault="0088004A" w:rsidP="00B90B24">
            <w:pPr>
              <w:pStyle w:val="TableText"/>
            </w:pPr>
            <w:r w:rsidRPr="002A2380">
              <w:t>0</w:t>
            </w:r>
          </w:p>
        </w:tc>
        <w:tc>
          <w:tcPr>
            <w:tcW w:w="3780" w:type="dxa"/>
            <w:vAlign w:val="center"/>
          </w:tcPr>
          <w:p w:rsidR="0088004A" w:rsidRPr="00B345C3" w:rsidRDefault="0088004A" w:rsidP="00B90B24">
            <w:pPr>
              <w:pStyle w:val="TableText"/>
              <w:jc w:val="left"/>
              <w:rPr>
                <w:vertAlign w:val="subscript"/>
              </w:rPr>
            </w:pPr>
            <w:r w:rsidRPr="00B345C3">
              <w:rPr>
                <w:i/>
              </w:rPr>
              <w:t>S</w:t>
            </w:r>
            <w:r w:rsidRPr="00B345C3">
              <w:rPr>
                <w:i/>
                <w:vertAlign w:val="subscript"/>
              </w:rPr>
              <w:t>T</w:t>
            </w:r>
            <w:r w:rsidRPr="002A2380">
              <w:t xml:space="preserve"> − </w:t>
            </w:r>
            <w:r w:rsidRPr="00B345C3">
              <w:rPr>
                <w:i/>
              </w:rPr>
              <w:t>F</w:t>
            </w:r>
            <w:r w:rsidRPr="00B345C3">
              <w:rPr>
                <w:vertAlign w:val="subscript"/>
              </w:rPr>
              <w:t>0,</w:t>
            </w:r>
            <w:r w:rsidRPr="00B345C3">
              <w:rPr>
                <w:i/>
                <w:vertAlign w:val="subscript"/>
              </w:rPr>
              <w:t>T</w:t>
            </w:r>
            <w:r w:rsidRPr="002A2380">
              <w:t xml:space="preserve"> = </w:t>
            </w:r>
            <w:r w:rsidRPr="00B345C3">
              <w:rPr>
                <w:i/>
              </w:rPr>
              <w:t>S</w:t>
            </w:r>
            <w:r w:rsidRPr="00B345C3">
              <w:rPr>
                <w:i/>
                <w:vertAlign w:val="subscript"/>
              </w:rPr>
              <w:t>T</w:t>
            </w:r>
            <w:r w:rsidRPr="002A2380">
              <w:t xml:space="preserve"> − </w:t>
            </w:r>
            <w:r w:rsidRPr="00B345C3">
              <w:rPr>
                <w:i/>
              </w:rPr>
              <w:t>S</w:t>
            </w:r>
            <w:r w:rsidRPr="00B345C3">
              <w:rPr>
                <w:vertAlign w:val="subscript"/>
              </w:rPr>
              <w:t>0</w:t>
            </w:r>
            <w:r w:rsidRPr="00B345C3">
              <w:rPr>
                <w:i/>
              </w:rPr>
              <w:t>e</w:t>
            </w:r>
            <w:r w:rsidRPr="00B345C3">
              <w:rPr>
                <w:i/>
                <w:vertAlign w:val="superscript"/>
              </w:rPr>
              <w:t>rT</w:t>
            </w:r>
            <w:r w:rsidRPr="002A2380">
              <w:t xml:space="preserve"> + </w:t>
            </w:r>
            <w:r w:rsidRPr="00B345C3">
              <w:rPr>
                <w:position w:val="-28"/>
              </w:rPr>
              <w:object w:dxaOrig="1140" w:dyaOrig="680">
                <v:shape id="_x0000_i1029" type="#_x0000_t75" style="width:57pt;height:34.15pt" o:ole="">
                  <v:imagedata r:id="rId17" o:title=""/>
                </v:shape>
                <o:OLEObject Type="Embed" ProgID="Equation.DSMT4" ShapeID="_x0000_i1029" DrawAspect="Content" ObjectID="_1599393723" r:id="rId18"/>
              </w:object>
            </w:r>
          </w:p>
        </w:tc>
      </w:tr>
      <w:tr w:rsidR="0088004A" w:rsidRPr="00B345C3" w:rsidTr="00B90B24">
        <w:trPr>
          <w:jc w:val="center"/>
        </w:trPr>
        <w:tc>
          <w:tcPr>
            <w:tcW w:w="2400" w:type="dxa"/>
            <w:vAlign w:val="center"/>
          </w:tcPr>
          <w:p w:rsidR="0088004A" w:rsidRPr="00B345C3" w:rsidRDefault="0088004A" w:rsidP="00B90B24">
            <w:pPr>
              <w:pStyle w:val="TableText"/>
              <w:jc w:val="left"/>
              <w:rPr>
                <w:vertAlign w:val="subscript"/>
              </w:rPr>
            </w:pPr>
            <w:r w:rsidRPr="002A2380">
              <w:t xml:space="preserve">Lend </w:t>
            </w:r>
            <w:r w:rsidRPr="00B345C3">
              <w:rPr>
                <w:i/>
              </w:rPr>
              <w:t>S</w:t>
            </w:r>
            <w:r w:rsidRPr="00B345C3">
              <w:rPr>
                <w:vertAlign w:val="subscript"/>
              </w:rPr>
              <w:t>0</w:t>
            </w:r>
            <w:r w:rsidRPr="002A2380">
              <w:t xml:space="preserve"> − </w:t>
            </w:r>
            <w:r w:rsidRPr="00B345C3">
              <w:rPr>
                <w:position w:val="-28"/>
              </w:rPr>
              <w:object w:dxaOrig="999" w:dyaOrig="680">
                <v:shape id="_x0000_i1030" type="#_x0000_t75" style="width:49.95pt;height:34.15pt" o:ole="">
                  <v:imagedata r:id="rId19" o:title=""/>
                </v:shape>
                <o:OLEObject Type="Embed" ProgID="Equation.DSMT4" ShapeID="_x0000_i1030" DrawAspect="Content" ObjectID="_1599393724" r:id="rId20"/>
              </w:object>
            </w:r>
          </w:p>
        </w:tc>
        <w:tc>
          <w:tcPr>
            <w:tcW w:w="1992" w:type="dxa"/>
            <w:vAlign w:val="center"/>
          </w:tcPr>
          <w:p w:rsidR="0088004A" w:rsidRPr="00B345C3" w:rsidRDefault="0088004A" w:rsidP="00B90B24">
            <w:pPr>
              <w:pStyle w:val="TableText"/>
              <w:jc w:val="left"/>
              <w:rPr>
                <w:vertAlign w:val="subscript"/>
              </w:rPr>
            </w:pPr>
            <w:r w:rsidRPr="002A2380">
              <w:t>−</w:t>
            </w:r>
            <w:r w:rsidRPr="00B345C3">
              <w:rPr>
                <w:i/>
              </w:rPr>
              <w:t>S</w:t>
            </w:r>
            <w:r w:rsidRPr="00B345C3">
              <w:rPr>
                <w:vertAlign w:val="subscript"/>
              </w:rPr>
              <w:t>0</w:t>
            </w:r>
            <w:r w:rsidRPr="002A2380">
              <w:t xml:space="preserve"> +</w:t>
            </w:r>
            <w:r w:rsidRPr="00B345C3">
              <w:rPr>
                <w:position w:val="-28"/>
              </w:rPr>
              <w:object w:dxaOrig="999" w:dyaOrig="680">
                <v:shape id="_x0000_i1031" type="#_x0000_t75" style="width:49.95pt;height:34.15pt" o:ole="">
                  <v:imagedata r:id="rId21" o:title=""/>
                </v:shape>
                <o:OLEObject Type="Embed" ProgID="Equation.DSMT4" ShapeID="_x0000_i1031" DrawAspect="Content" ObjectID="_1599393725" r:id="rId22"/>
              </w:object>
            </w:r>
          </w:p>
        </w:tc>
        <w:tc>
          <w:tcPr>
            <w:tcW w:w="3780" w:type="dxa"/>
            <w:vAlign w:val="center"/>
          </w:tcPr>
          <w:p w:rsidR="0088004A" w:rsidRPr="00B345C3" w:rsidRDefault="0088004A" w:rsidP="00B90B24">
            <w:pPr>
              <w:pStyle w:val="TableText"/>
              <w:jc w:val="left"/>
              <w:rPr>
                <w:vertAlign w:val="subscript"/>
                <w:lang w:val="de-DE"/>
              </w:rPr>
            </w:pPr>
            <w:r w:rsidRPr="00B345C3">
              <w:rPr>
                <w:lang w:val="de-DE"/>
              </w:rPr>
              <w:t>+</w:t>
            </w:r>
            <w:r w:rsidRPr="00B345C3">
              <w:rPr>
                <w:i/>
                <w:lang w:val="de-DE"/>
              </w:rPr>
              <w:t>S</w:t>
            </w:r>
            <w:r w:rsidRPr="00B345C3">
              <w:rPr>
                <w:vertAlign w:val="subscript"/>
                <w:lang w:val="de-DE"/>
              </w:rPr>
              <w:t>0</w:t>
            </w:r>
            <w:r w:rsidRPr="00B345C3">
              <w:rPr>
                <w:i/>
                <w:lang w:val="de-DE"/>
              </w:rPr>
              <w:t>e</w:t>
            </w:r>
            <w:r w:rsidRPr="00B345C3">
              <w:rPr>
                <w:i/>
                <w:vertAlign w:val="superscript"/>
                <w:lang w:val="de-DE"/>
              </w:rPr>
              <w:t>rT</w:t>
            </w:r>
            <w:r w:rsidRPr="00B345C3">
              <w:rPr>
                <w:lang w:val="de-DE"/>
              </w:rPr>
              <w:t xml:space="preserve"> −</w:t>
            </w:r>
            <w:r w:rsidRPr="00B345C3">
              <w:rPr>
                <w:position w:val="-28"/>
              </w:rPr>
              <w:object w:dxaOrig="1140" w:dyaOrig="680">
                <v:shape id="_x0000_i1032" type="#_x0000_t75" style="width:57pt;height:34.15pt" o:ole="">
                  <v:imagedata r:id="rId17" o:title=""/>
                </v:shape>
                <o:OLEObject Type="Embed" ProgID="Equation.DSMT4" ShapeID="_x0000_i1032" DrawAspect="Content" ObjectID="_1599393726" r:id="rId23"/>
              </w:object>
            </w:r>
          </w:p>
        </w:tc>
      </w:tr>
      <w:tr w:rsidR="0088004A" w:rsidRPr="00B345C3" w:rsidTr="00B90B24">
        <w:trPr>
          <w:jc w:val="center"/>
        </w:trPr>
        <w:tc>
          <w:tcPr>
            <w:tcW w:w="2400" w:type="dxa"/>
            <w:tcBorders>
              <w:bottom w:val="single" w:sz="4" w:space="0" w:color="auto"/>
            </w:tcBorders>
            <w:vAlign w:val="center"/>
          </w:tcPr>
          <w:p w:rsidR="0088004A" w:rsidRPr="002A2380" w:rsidRDefault="0088004A" w:rsidP="00B90B24">
            <w:pPr>
              <w:pStyle w:val="TableText"/>
              <w:jc w:val="left"/>
            </w:pPr>
            <w:r w:rsidRPr="002A2380">
              <w:t>Total</w:t>
            </w:r>
          </w:p>
        </w:tc>
        <w:tc>
          <w:tcPr>
            <w:tcW w:w="1992" w:type="dxa"/>
            <w:tcBorders>
              <w:bottom w:val="single" w:sz="4" w:space="0" w:color="auto"/>
            </w:tcBorders>
            <w:vAlign w:val="center"/>
          </w:tcPr>
          <w:p w:rsidR="0088004A" w:rsidRPr="00B345C3" w:rsidRDefault="0088004A" w:rsidP="00B90B24">
            <w:pPr>
              <w:pStyle w:val="TableText"/>
              <w:jc w:val="left"/>
              <w:rPr>
                <w:vertAlign w:val="subscript"/>
              </w:rPr>
            </w:pPr>
            <w:r w:rsidRPr="002A2380">
              <w:t>−</w:t>
            </w:r>
            <w:r w:rsidRPr="00B345C3">
              <w:rPr>
                <w:i/>
              </w:rPr>
              <w:t>S</w:t>
            </w:r>
            <w:r w:rsidRPr="00B345C3">
              <w:rPr>
                <w:vertAlign w:val="subscript"/>
              </w:rPr>
              <w:t>0</w:t>
            </w:r>
            <w:r w:rsidRPr="002A2380">
              <w:t xml:space="preserve"> + </w:t>
            </w:r>
            <w:r w:rsidRPr="00B345C3">
              <w:rPr>
                <w:position w:val="-28"/>
              </w:rPr>
              <w:object w:dxaOrig="999" w:dyaOrig="680">
                <v:shape id="_x0000_i1033" type="#_x0000_t75" style="width:49.95pt;height:34.15pt" o:ole="">
                  <v:imagedata r:id="rId21" o:title=""/>
                </v:shape>
                <o:OLEObject Type="Embed" ProgID="Equation.DSMT4" ShapeID="_x0000_i1033" DrawAspect="Content" ObjectID="_1599393727" r:id="rId24"/>
              </w:object>
            </w:r>
          </w:p>
        </w:tc>
        <w:tc>
          <w:tcPr>
            <w:tcW w:w="3780" w:type="dxa"/>
            <w:tcBorders>
              <w:bottom w:val="single" w:sz="4" w:space="0" w:color="auto"/>
            </w:tcBorders>
            <w:vAlign w:val="center"/>
          </w:tcPr>
          <w:p w:rsidR="0088004A" w:rsidRPr="00B345C3" w:rsidRDefault="0088004A" w:rsidP="00B90B24">
            <w:pPr>
              <w:pStyle w:val="TableText"/>
              <w:jc w:val="left"/>
              <w:rPr>
                <w:vertAlign w:val="subscript"/>
              </w:rPr>
            </w:pPr>
            <w:r w:rsidRPr="00B345C3">
              <w:rPr>
                <w:i/>
              </w:rPr>
              <w:t>S</w:t>
            </w:r>
            <w:r w:rsidRPr="00B345C3">
              <w:rPr>
                <w:i/>
                <w:vertAlign w:val="subscript"/>
              </w:rPr>
              <w:t>T</w:t>
            </w:r>
          </w:p>
        </w:tc>
      </w:tr>
    </w:tbl>
    <w:p w:rsidR="00C557E7" w:rsidRPr="00357D43" w:rsidRDefault="00C557E7" w:rsidP="00C557E7">
      <w:pPr>
        <w:pStyle w:val="2"/>
        <w:spacing w:before="240"/>
        <w:ind w:leftChars="193" w:left="425"/>
      </w:pPr>
      <w:r w:rsidRPr="00357D43">
        <w:t xml:space="preserve">In the first row, we made use of the forward price equation if the stock pays </w:t>
      </w:r>
      <w:r>
        <w:t>discrete divide</w:t>
      </w:r>
      <w:r w:rsidRPr="00357D43">
        <w:t>nd</w:t>
      </w:r>
      <w:r>
        <w:t>s</w:t>
      </w:r>
      <w:r w:rsidRPr="00357D43">
        <w:t>. We see that the total aggregate position is equivalent to the payoff of one stock at time T.</w:t>
      </w:r>
    </w:p>
    <w:p w:rsidR="0088004A" w:rsidRPr="00357D43" w:rsidRDefault="0088004A" w:rsidP="0088004A">
      <w:pPr>
        <w:pStyle w:val="a7"/>
      </w:pPr>
      <w:r w:rsidRPr="00C557E7">
        <w:rPr>
          <w:rFonts w:asciiTheme="minorHAnsi" w:eastAsiaTheme="minorEastAsia" w:hAnsiTheme="minorHAnsi" w:cstheme="minorBidi"/>
          <w:sz w:val="22"/>
          <w:szCs w:val="22"/>
          <w:lang w:eastAsia="zh-TW"/>
        </w:rPr>
        <w:t>c)</w:t>
      </w:r>
      <w:r w:rsidRPr="00C557E7">
        <w:rPr>
          <w:rFonts w:asciiTheme="minorHAnsi" w:eastAsiaTheme="minorEastAsia" w:hAnsiTheme="minorHAnsi" w:cstheme="minorBidi"/>
          <w:sz w:val="22"/>
          <w:szCs w:val="22"/>
          <w:lang w:eastAsia="zh-TW"/>
        </w:rPr>
        <w:tab/>
        <w:t>In the case of a continuous dividend, we have to tail the position initially. We, therefore, create a synthetic share at the time of expiration T of the forward contract.</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2388"/>
        <w:gridCol w:w="1119"/>
        <w:gridCol w:w="4227"/>
      </w:tblGrid>
      <w:tr w:rsidR="0088004A" w:rsidRPr="00744C6A" w:rsidTr="00B90B24">
        <w:trPr>
          <w:jc w:val="center"/>
        </w:trPr>
        <w:tc>
          <w:tcPr>
            <w:tcW w:w="2388" w:type="dxa"/>
            <w:shd w:val="clear" w:color="auto" w:fill="606060"/>
            <w:vAlign w:val="center"/>
          </w:tcPr>
          <w:p w:rsidR="0088004A" w:rsidRPr="00B345C3" w:rsidRDefault="0088004A" w:rsidP="00B90B24">
            <w:pPr>
              <w:pStyle w:val="TableText"/>
              <w:rPr>
                <w:color w:val="FFFFFF"/>
              </w:rPr>
            </w:pPr>
            <w:r w:rsidRPr="00B345C3">
              <w:rPr>
                <w:color w:val="FFFFFF"/>
              </w:rPr>
              <w:t>Description</w:t>
            </w:r>
          </w:p>
        </w:tc>
        <w:tc>
          <w:tcPr>
            <w:tcW w:w="1119" w:type="dxa"/>
            <w:shd w:val="clear" w:color="auto" w:fill="606060"/>
            <w:vAlign w:val="center"/>
          </w:tcPr>
          <w:p w:rsidR="0088004A" w:rsidRPr="00B345C3" w:rsidRDefault="0088004A" w:rsidP="00B90B24">
            <w:pPr>
              <w:pStyle w:val="TableText"/>
              <w:rPr>
                <w:color w:val="FFFFFF"/>
              </w:rPr>
            </w:pPr>
            <w:r w:rsidRPr="00B345C3">
              <w:rPr>
                <w:color w:val="FFFFFF"/>
              </w:rPr>
              <w:t>Today</w:t>
            </w:r>
          </w:p>
        </w:tc>
        <w:tc>
          <w:tcPr>
            <w:tcW w:w="4227" w:type="dxa"/>
            <w:shd w:val="clear" w:color="auto" w:fill="606060"/>
            <w:vAlign w:val="center"/>
          </w:tcPr>
          <w:p w:rsidR="0088004A" w:rsidRPr="00B345C3" w:rsidRDefault="0088004A" w:rsidP="00B90B24">
            <w:pPr>
              <w:pStyle w:val="TableText"/>
              <w:rPr>
                <w:color w:val="FFFFFF"/>
              </w:rPr>
            </w:pPr>
            <w:r w:rsidRPr="00B345C3">
              <w:rPr>
                <w:color w:val="FFFFFF"/>
              </w:rPr>
              <w:t>At expiration of the contract</w:t>
            </w:r>
          </w:p>
        </w:tc>
      </w:tr>
      <w:tr w:rsidR="0088004A" w:rsidRPr="00744C6A" w:rsidTr="00B90B24">
        <w:trPr>
          <w:jc w:val="center"/>
        </w:trPr>
        <w:tc>
          <w:tcPr>
            <w:tcW w:w="2388" w:type="dxa"/>
            <w:vAlign w:val="center"/>
          </w:tcPr>
          <w:p w:rsidR="0088004A" w:rsidRPr="00744C6A" w:rsidRDefault="0088004A" w:rsidP="00B90B24">
            <w:pPr>
              <w:pStyle w:val="TableText"/>
              <w:jc w:val="left"/>
            </w:pPr>
            <w:r w:rsidRPr="00744C6A">
              <w:t>Long forward</w:t>
            </w:r>
          </w:p>
        </w:tc>
        <w:tc>
          <w:tcPr>
            <w:tcW w:w="1119" w:type="dxa"/>
            <w:vAlign w:val="center"/>
          </w:tcPr>
          <w:p w:rsidR="0088004A" w:rsidRPr="00744C6A" w:rsidRDefault="0088004A" w:rsidP="00B90B24">
            <w:pPr>
              <w:pStyle w:val="TableText"/>
              <w:jc w:val="left"/>
            </w:pPr>
            <w:r w:rsidRPr="00744C6A">
              <w:t>0</w:t>
            </w:r>
          </w:p>
        </w:tc>
        <w:tc>
          <w:tcPr>
            <w:tcW w:w="4227" w:type="dxa"/>
            <w:vAlign w:val="center"/>
          </w:tcPr>
          <w:p w:rsidR="0088004A" w:rsidRPr="00744C6A" w:rsidRDefault="0088004A" w:rsidP="00B90B24">
            <w:pPr>
              <w:pStyle w:val="TableText"/>
              <w:jc w:val="left"/>
            </w:pPr>
            <w:r w:rsidRPr="00B345C3">
              <w:rPr>
                <w:i/>
              </w:rPr>
              <w:t>S</w:t>
            </w:r>
            <w:r w:rsidRPr="00B345C3">
              <w:rPr>
                <w:i/>
                <w:vertAlign w:val="subscript"/>
              </w:rPr>
              <w:t>T</w:t>
            </w:r>
            <w:r w:rsidRPr="00744C6A">
              <w:t xml:space="preserve"> − </w:t>
            </w:r>
            <w:r w:rsidRPr="00B345C3">
              <w:rPr>
                <w:i/>
              </w:rPr>
              <w:t>F</w:t>
            </w:r>
            <w:r w:rsidRPr="00B345C3">
              <w:rPr>
                <w:vertAlign w:val="subscript"/>
              </w:rPr>
              <w:t>0,</w:t>
            </w:r>
            <w:r w:rsidRPr="00B345C3">
              <w:rPr>
                <w:i/>
                <w:vertAlign w:val="subscript"/>
              </w:rPr>
              <w:t>T</w:t>
            </w:r>
            <w:r w:rsidRPr="00744C6A">
              <w:t xml:space="preserve"> = </w:t>
            </w:r>
            <w:r w:rsidRPr="00B345C3">
              <w:rPr>
                <w:i/>
              </w:rPr>
              <w:t>S</w:t>
            </w:r>
            <w:r w:rsidRPr="00B345C3">
              <w:rPr>
                <w:i/>
                <w:vertAlign w:val="subscript"/>
              </w:rPr>
              <w:t>T</w:t>
            </w:r>
            <w:r w:rsidRPr="00744C6A">
              <w:t xml:space="preserve"> − </w:t>
            </w:r>
            <w:r w:rsidRPr="00B345C3">
              <w:rPr>
                <w:i/>
              </w:rPr>
              <w:t>S</w:t>
            </w:r>
            <w:r w:rsidRPr="00B345C3">
              <w:rPr>
                <w:vertAlign w:val="subscript"/>
              </w:rPr>
              <w:t>0</w:t>
            </w:r>
            <w:r w:rsidRPr="00B345C3">
              <w:rPr>
                <w:i/>
              </w:rPr>
              <w:t>e</w:t>
            </w:r>
            <w:r w:rsidRPr="00B345C3">
              <w:rPr>
                <w:vertAlign w:val="superscript"/>
              </w:rPr>
              <w:t>(</w:t>
            </w:r>
            <w:r w:rsidRPr="00B345C3">
              <w:rPr>
                <w:i/>
                <w:vertAlign w:val="superscript"/>
              </w:rPr>
              <w:t>r</w:t>
            </w:r>
            <w:r w:rsidRPr="00B345C3">
              <w:rPr>
                <w:vertAlign w:val="superscript"/>
              </w:rPr>
              <w:t xml:space="preserve"> −</w:t>
            </w:r>
            <w:r w:rsidRPr="00B345C3">
              <w:rPr>
                <w:i/>
                <w:vertAlign w:val="superscript"/>
              </w:rPr>
              <w:t>δ</w:t>
            </w:r>
            <w:r w:rsidRPr="00B345C3">
              <w:rPr>
                <w:vertAlign w:val="superscript"/>
              </w:rPr>
              <w:t>)</w:t>
            </w:r>
            <w:r w:rsidRPr="00B345C3">
              <w:rPr>
                <w:i/>
                <w:vertAlign w:val="superscript"/>
              </w:rPr>
              <w:t>T</w:t>
            </w:r>
          </w:p>
        </w:tc>
      </w:tr>
      <w:tr w:rsidR="0088004A" w:rsidRPr="00B345C3" w:rsidTr="00B90B24">
        <w:trPr>
          <w:jc w:val="center"/>
        </w:trPr>
        <w:tc>
          <w:tcPr>
            <w:tcW w:w="2388" w:type="dxa"/>
            <w:vAlign w:val="center"/>
          </w:tcPr>
          <w:p w:rsidR="0088004A" w:rsidRPr="00B345C3" w:rsidRDefault="0088004A" w:rsidP="00B90B24">
            <w:pPr>
              <w:pStyle w:val="TableText"/>
              <w:jc w:val="left"/>
              <w:rPr>
                <w:i/>
                <w:vertAlign w:val="superscript"/>
                <w:lang w:val="pt-BR"/>
              </w:rPr>
            </w:pPr>
            <w:r w:rsidRPr="00B345C3">
              <w:rPr>
                <w:lang w:val="pt-BR"/>
              </w:rPr>
              <w:t xml:space="preserve">Lend </w:t>
            </w:r>
            <w:r w:rsidRPr="00B345C3">
              <w:rPr>
                <w:i/>
                <w:lang w:val="pt-BR"/>
              </w:rPr>
              <w:t>S</w:t>
            </w:r>
            <w:r w:rsidRPr="00B345C3">
              <w:rPr>
                <w:vertAlign w:val="subscript"/>
                <w:lang w:val="pt-BR"/>
              </w:rPr>
              <w:t>0</w:t>
            </w:r>
            <w:r w:rsidRPr="00B345C3">
              <w:rPr>
                <w:i/>
                <w:lang w:val="pt-BR"/>
              </w:rPr>
              <w:t>e</w:t>
            </w:r>
            <w:r w:rsidRPr="00B345C3">
              <w:rPr>
                <w:vertAlign w:val="superscript"/>
                <w:lang w:val="pt-BR"/>
              </w:rPr>
              <w:t>−</w:t>
            </w:r>
            <w:r w:rsidRPr="00B345C3">
              <w:rPr>
                <w:i/>
                <w:vertAlign w:val="superscript"/>
              </w:rPr>
              <w:t>δ</w:t>
            </w:r>
            <w:r w:rsidRPr="00B345C3">
              <w:rPr>
                <w:i/>
                <w:vertAlign w:val="superscript"/>
                <w:lang w:val="pt-BR"/>
              </w:rPr>
              <w:t>T</w:t>
            </w:r>
          </w:p>
        </w:tc>
        <w:tc>
          <w:tcPr>
            <w:tcW w:w="1119" w:type="dxa"/>
            <w:vAlign w:val="center"/>
          </w:tcPr>
          <w:p w:rsidR="0088004A" w:rsidRPr="00B345C3" w:rsidRDefault="0088004A" w:rsidP="00B90B24">
            <w:pPr>
              <w:pStyle w:val="TableText"/>
              <w:jc w:val="left"/>
              <w:rPr>
                <w:vertAlign w:val="superscript"/>
                <w:lang w:val="pt-BR"/>
              </w:rPr>
            </w:pPr>
            <w:r w:rsidRPr="00B345C3">
              <w:rPr>
                <w:lang w:val="pt-BR"/>
              </w:rPr>
              <w:t>−</w:t>
            </w:r>
            <w:r w:rsidRPr="00B345C3">
              <w:rPr>
                <w:i/>
                <w:lang w:val="pt-BR"/>
              </w:rPr>
              <w:t>S</w:t>
            </w:r>
            <w:r w:rsidRPr="00B345C3">
              <w:rPr>
                <w:vertAlign w:val="subscript"/>
                <w:lang w:val="pt-BR"/>
              </w:rPr>
              <w:t>0</w:t>
            </w:r>
            <w:r w:rsidRPr="00B345C3">
              <w:rPr>
                <w:i/>
                <w:lang w:val="pt-BR"/>
              </w:rPr>
              <w:t>e</w:t>
            </w:r>
            <w:r w:rsidRPr="00B345C3">
              <w:rPr>
                <w:vertAlign w:val="superscript"/>
                <w:lang w:val="pt-BR"/>
              </w:rPr>
              <w:t>−</w:t>
            </w:r>
            <w:r w:rsidRPr="00B345C3">
              <w:rPr>
                <w:i/>
                <w:vertAlign w:val="superscript"/>
              </w:rPr>
              <w:t>δ</w:t>
            </w:r>
            <w:r w:rsidRPr="00B345C3">
              <w:rPr>
                <w:i/>
                <w:vertAlign w:val="superscript"/>
                <w:lang w:val="pt-BR"/>
              </w:rPr>
              <w:t>T</w:t>
            </w:r>
          </w:p>
        </w:tc>
        <w:tc>
          <w:tcPr>
            <w:tcW w:w="4227" w:type="dxa"/>
            <w:vAlign w:val="center"/>
          </w:tcPr>
          <w:p w:rsidR="0088004A" w:rsidRPr="00B345C3" w:rsidRDefault="0088004A" w:rsidP="00B90B24">
            <w:pPr>
              <w:pStyle w:val="TableText"/>
              <w:jc w:val="left"/>
              <w:rPr>
                <w:vertAlign w:val="subscript"/>
                <w:lang w:val="pt-BR"/>
              </w:rPr>
            </w:pPr>
            <w:r w:rsidRPr="00B345C3">
              <w:rPr>
                <w:i/>
                <w:lang w:val="pt-BR"/>
              </w:rPr>
              <w:t>S</w:t>
            </w:r>
            <w:r w:rsidRPr="00B345C3">
              <w:rPr>
                <w:vertAlign w:val="subscript"/>
                <w:lang w:val="pt-BR"/>
              </w:rPr>
              <w:t>0</w:t>
            </w:r>
            <w:r w:rsidRPr="00B345C3">
              <w:rPr>
                <w:i/>
                <w:lang w:val="pt-BR"/>
              </w:rPr>
              <w:t>e</w:t>
            </w:r>
            <w:r w:rsidRPr="00B345C3">
              <w:rPr>
                <w:vertAlign w:val="superscript"/>
                <w:lang w:val="pt-BR"/>
              </w:rPr>
              <w:t>(</w:t>
            </w:r>
            <w:r w:rsidRPr="00B345C3">
              <w:rPr>
                <w:i/>
                <w:vertAlign w:val="superscript"/>
                <w:lang w:val="pt-BR"/>
              </w:rPr>
              <w:t>r</w:t>
            </w:r>
            <w:r w:rsidRPr="00B345C3">
              <w:rPr>
                <w:vertAlign w:val="superscript"/>
                <w:lang w:val="pt-BR"/>
              </w:rPr>
              <w:t xml:space="preserve"> −</w:t>
            </w:r>
            <w:r w:rsidRPr="00B345C3">
              <w:rPr>
                <w:i/>
                <w:vertAlign w:val="superscript"/>
              </w:rPr>
              <w:t>δ</w:t>
            </w:r>
            <w:r w:rsidRPr="00B345C3">
              <w:rPr>
                <w:vertAlign w:val="superscript"/>
                <w:lang w:val="pt-BR"/>
              </w:rPr>
              <w:t>)</w:t>
            </w:r>
            <w:r w:rsidRPr="00B345C3">
              <w:rPr>
                <w:i/>
                <w:vertAlign w:val="superscript"/>
                <w:lang w:val="pt-BR"/>
              </w:rPr>
              <w:t>T</w:t>
            </w:r>
          </w:p>
        </w:tc>
      </w:tr>
      <w:tr w:rsidR="0088004A" w:rsidRPr="00744C6A" w:rsidTr="00B90B24">
        <w:trPr>
          <w:jc w:val="center"/>
        </w:trPr>
        <w:tc>
          <w:tcPr>
            <w:tcW w:w="2388" w:type="dxa"/>
            <w:tcBorders>
              <w:bottom w:val="single" w:sz="4" w:space="0" w:color="auto"/>
            </w:tcBorders>
            <w:vAlign w:val="center"/>
          </w:tcPr>
          <w:p w:rsidR="0088004A" w:rsidRPr="00744C6A" w:rsidRDefault="0088004A" w:rsidP="00B90B24">
            <w:pPr>
              <w:pStyle w:val="TableText"/>
              <w:jc w:val="left"/>
            </w:pPr>
            <w:r w:rsidRPr="00744C6A">
              <w:t>Total</w:t>
            </w:r>
          </w:p>
        </w:tc>
        <w:tc>
          <w:tcPr>
            <w:tcW w:w="1119" w:type="dxa"/>
            <w:tcBorders>
              <w:bottom w:val="single" w:sz="4" w:space="0" w:color="auto"/>
            </w:tcBorders>
            <w:vAlign w:val="center"/>
          </w:tcPr>
          <w:p w:rsidR="0088004A" w:rsidRPr="00744C6A" w:rsidRDefault="0088004A" w:rsidP="00B90B24">
            <w:pPr>
              <w:pStyle w:val="TableText"/>
              <w:jc w:val="left"/>
            </w:pPr>
            <w:r w:rsidRPr="00744C6A">
              <w:t>−</w:t>
            </w:r>
            <w:r w:rsidRPr="00B345C3">
              <w:rPr>
                <w:i/>
              </w:rPr>
              <w:t>S</w:t>
            </w:r>
            <w:r w:rsidRPr="00B345C3">
              <w:rPr>
                <w:vertAlign w:val="subscript"/>
              </w:rPr>
              <w:t>0</w:t>
            </w:r>
            <w:r w:rsidRPr="00B345C3">
              <w:rPr>
                <w:i/>
              </w:rPr>
              <w:t>e</w:t>
            </w:r>
            <w:r w:rsidRPr="00B345C3">
              <w:rPr>
                <w:vertAlign w:val="superscript"/>
              </w:rPr>
              <w:t>−</w:t>
            </w:r>
            <w:r w:rsidRPr="00B345C3">
              <w:rPr>
                <w:i/>
                <w:vertAlign w:val="superscript"/>
              </w:rPr>
              <w:t>δT</w:t>
            </w:r>
          </w:p>
        </w:tc>
        <w:tc>
          <w:tcPr>
            <w:tcW w:w="4227" w:type="dxa"/>
            <w:tcBorders>
              <w:bottom w:val="single" w:sz="4" w:space="0" w:color="auto"/>
            </w:tcBorders>
            <w:vAlign w:val="center"/>
          </w:tcPr>
          <w:p w:rsidR="0088004A" w:rsidRPr="00744C6A" w:rsidRDefault="0088004A" w:rsidP="00B90B24">
            <w:pPr>
              <w:pStyle w:val="TableText"/>
              <w:jc w:val="left"/>
            </w:pPr>
            <w:r w:rsidRPr="00B345C3">
              <w:rPr>
                <w:i/>
              </w:rPr>
              <w:t>S</w:t>
            </w:r>
            <w:r w:rsidRPr="00B345C3">
              <w:rPr>
                <w:i/>
                <w:vertAlign w:val="subscript"/>
              </w:rPr>
              <w:t>T</w:t>
            </w:r>
          </w:p>
        </w:tc>
      </w:tr>
    </w:tbl>
    <w:p w:rsidR="007F6681" w:rsidRPr="007E7ADC" w:rsidRDefault="0088004A" w:rsidP="007E7ADC">
      <w:pPr>
        <w:pStyle w:val="2"/>
        <w:spacing w:before="240"/>
        <w:ind w:leftChars="129" w:left="284"/>
      </w:pPr>
      <w:r w:rsidRPr="00357D43">
        <w:t>In the first row, we made use of the forward price equation if the stock pays a continuous dividend. We see that the total aggregate position is equivalent to the payoff of one stock at time T.</w:t>
      </w:r>
    </w:p>
    <w:sectPr w:rsidR="007F6681" w:rsidRPr="007E7AD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043" w:rsidRDefault="007A4043" w:rsidP="007A4043">
      <w:pPr>
        <w:spacing w:after="0" w:line="240" w:lineRule="auto"/>
      </w:pPr>
      <w:r>
        <w:separator/>
      </w:r>
    </w:p>
  </w:endnote>
  <w:endnote w:type="continuationSeparator" w:id="0">
    <w:p w:rsidR="007A4043" w:rsidRDefault="007A4043" w:rsidP="007A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KozGoPr6N-ExtraLigh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115066"/>
      <w:docPartObj>
        <w:docPartGallery w:val="Page Numbers (Bottom of Page)"/>
        <w:docPartUnique/>
      </w:docPartObj>
    </w:sdtPr>
    <w:sdtEndPr>
      <w:rPr>
        <w:noProof/>
      </w:rPr>
    </w:sdtEndPr>
    <w:sdtContent>
      <w:p w:rsidR="007A4043" w:rsidRDefault="007A4043">
        <w:pPr>
          <w:pStyle w:val="a5"/>
          <w:jc w:val="center"/>
        </w:pPr>
        <w:r>
          <w:fldChar w:fldCharType="begin"/>
        </w:r>
        <w:r>
          <w:instrText xml:space="preserve"> PAGE   \* MERGEFORMAT </w:instrText>
        </w:r>
        <w:r>
          <w:fldChar w:fldCharType="separate"/>
        </w:r>
        <w:r w:rsidR="001D6DAF">
          <w:rPr>
            <w:noProof/>
          </w:rPr>
          <w:t>1</w:t>
        </w:r>
        <w:r>
          <w:rPr>
            <w:noProof/>
          </w:rPr>
          <w:fldChar w:fldCharType="end"/>
        </w:r>
      </w:p>
    </w:sdtContent>
  </w:sdt>
  <w:p w:rsidR="007A4043" w:rsidRDefault="007A404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043" w:rsidRDefault="007A4043" w:rsidP="007A4043">
      <w:pPr>
        <w:spacing w:after="0" w:line="240" w:lineRule="auto"/>
      </w:pPr>
      <w:r>
        <w:separator/>
      </w:r>
    </w:p>
  </w:footnote>
  <w:footnote w:type="continuationSeparator" w:id="0">
    <w:p w:rsidR="007A4043" w:rsidRDefault="007A4043" w:rsidP="007A4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3946"/>
    <w:multiLevelType w:val="hybridMultilevel"/>
    <w:tmpl w:val="A142D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73"/>
    <w:rsid w:val="00057591"/>
    <w:rsid w:val="000B6168"/>
    <w:rsid w:val="000D75E1"/>
    <w:rsid w:val="00112F46"/>
    <w:rsid w:val="001220DC"/>
    <w:rsid w:val="00132B39"/>
    <w:rsid w:val="001D4CF7"/>
    <w:rsid w:val="001D6DAF"/>
    <w:rsid w:val="00222C57"/>
    <w:rsid w:val="00240AFF"/>
    <w:rsid w:val="00283EAA"/>
    <w:rsid w:val="003B2D28"/>
    <w:rsid w:val="004B06AC"/>
    <w:rsid w:val="004C7646"/>
    <w:rsid w:val="005129DA"/>
    <w:rsid w:val="00535FF2"/>
    <w:rsid w:val="00546B96"/>
    <w:rsid w:val="00556550"/>
    <w:rsid w:val="00561099"/>
    <w:rsid w:val="006228D8"/>
    <w:rsid w:val="00653FB1"/>
    <w:rsid w:val="007A4043"/>
    <w:rsid w:val="007D7698"/>
    <w:rsid w:val="007E7ADC"/>
    <w:rsid w:val="007F6681"/>
    <w:rsid w:val="0088004A"/>
    <w:rsid w:val="008F0D8C"/>
    <w:rsid w:val="00911D1A"/>
    <w:rsid w:val="00954C14"/>
    <w:rsid w:val="009616A0"/>
    <w:rsid w:val="009B2420"/>
    <w:rsid w:val="00A8139B"/>
    <w:rsid w:val="00AD011A"/>
    <w:rsid w:val="00B56861"/>
    <w:rsid w:val="00BD539F"/>
    <w:rsid w:val="00C557E7"/>
    <w:rsid w:val="00CB5B2A"/>
    <w:rsid w:val="00CF4573"/>
    <w:rsid w:val="00D3400A"/>
    <w:rsid w:val="00D5782D"/>
    <w:rsid w:val="00DD474A"/>
    <w:rsid w:val="00E26443"/>
    <w:rsid w:val="00E704AE"/>
    <w:rsid w:val="00FD337C"/>
    <w:rsid w:val="00FE20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DF8BA5E0-4ACA-4998-94AB-4B9F27CF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043"/>
    <w:pPr>
      <w:tabs>
        <w:tab w:val="center" w:pos="4680"/>
        <w:tab w:val="right" w:pos="9360"/>
      </w:tabs>
      <w:spacing w:after="0" w:line="240" w:lineRule="auto"/>
    </w:pPr>
  </w:style>
  <w:style w:type="character" w:customStyle="1" w:styleId="a4">
    <w:name w:val="頁首 字元"/>
    <w:basedOn w:val="a0"/>
    <w:link w:val="a3"/>
    <w:uiPriority w:val="99"/>
    <w:rsid w:val="007A4043"/>
  </w:style>
  <w:style w:type="paragraph" w:styleId="a5">
    <w:name w:val="footer"/>
    <w:basedOn w:val="a"/>
    <w:link w:val="a6"/>
    <w:uiPriority w:val="99"/>
    <w:unhideWhenUsed/>
    <w:rsid w:val="007A4043"/>
    <w:pPr>
      <w:tabs>
        <w:tab w:val="center" w:pos="4680"/>
        <w:tab w:val="right" w:pos="9360"/>
      </w:tabs>
      <w:spacing w:after="0" w:line="240" w:lineRule="auto"/>
    </w:pPr>
  </w:style>
  <w:style w:type="character" w:customStyle="1" w:styleId="a6">
    <w:name w:val="頁尾 字元"/>
    <w:basedOn w:val="a0"/>
    <w:link w:val="a5"/>
    <w:uiPriority w:val="99"/>
    <w:rsid w:val="007A4043"/>
  </w:style>
  <w:style w:type="paragraph" w:styleId="a7">
    <w:name w:val="List Continue"/>
    <w:basedOn w:val="a"/>
    <w:rsid w:val="00B56861"/>
    <w:pPr>
      <w:spacing w:after="120" w:line="240" w:lineRule="auto"/>
      <w:ind w:left="360" w:hanging="360"/>
      <w:jc w:val="both"/>
    </w:pPr>
    <w:rPr>
      <w:rFonts w:ascii="Times New Roman" w:eastAsia="Times New Roman" w:hAnsi="Times New Roman" w:cs="Times New Roman"/>
      <w:sz w:val="24"/>
      <w:szCs w:val="24"/>
      <w:lang w:eastAsia="en-US"/>
    </w:rPr>
  </w:style>
  <w:style w:type="paragraph" w:customStyle="1" w:styleId="UnnumberedEQ">
    <w:name w:val="UnnumberedEQ"/>
    <w:basedOn w:val="a"/>
    <w:rsid w:val="00B56861"/>
    <w:pPr>
      <w:spacing w:before="120" w:after="120" w:line="240" w:lineRule="auto"/>
      <w:jc w:val="center"/>
    </w:pPr>
    <w:rPr>
      <w:rFonts w:ascii="Times New Roman" w:eastAsia="Times New Roman" w:hAnsi="Times New Roman" w:cs="Times New Roman"/>
      <w:sz w:val="24"/>
      <w:szCs w:val="24"/>
      <w:lang w:eastAsia="en-US"/>
    </w:rPr>
  </w:style>
  <w:style w:type="paragraph" w:styleId="a8">
    <w:name w:val="List Paragraph"/>
    <w:basedOn w:val="a"/>
    <w:uiPriority w:val="34"/>
    <w:qFormat/>
    <w:rsid w:val="00E704AE"/>
    <w:pPr>
      <w:spacing w:after="200" w:line="276" w:lineRule="auto"/>
      <w:ind w:left="720"/>
      <w:contextualSpacing/>
    </w:pPr>
    <w:rPr>
      <w:lang w:eastAsia="zh-CN"/>
    </w:rPr>
  </w:style>
  <w:style w:type="paragraph" w:customStyle="1" w:styleId="Default">
    <w:name w:val="Default"/>
    <w:rsid w:val="00E704AE"/>
    <w:pPr>
      <w:autoSpaceDE w:val="0"/>
      <w:autoSpaceDN w:val="0"/>
      <w:adjustRightInd w:val="0"/>
      <w:spacing w:after="0" w:line="240" w:lineRule="auto"/>
    </w:pPr>
    <w:rPr>
      <w:rFonts w:ascii="Times New Roman" w:hAnsi="Times New Roman" w:cs="Times New Roman"/>
      <w:color w:val="000000"/>
      <w:sz w:val="24"/>
      <w:szCs w:val="24"/>
      <w:lang w:eastAsia="zh-CN"/>
    </w:rPr>
  </w:style>
  <w:style w:type="table" w:styleId="a9">
    <w:name w:val="Table Grid"/>
    <w:basedOn w:val="a1"/>
    <w:uiPriority w:val="59"/>
    <w:rsid w:val="00E704AE"/>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ab"/>
    <w:uiPriority w:val="99"/>
    <w:semiHidden/>
    <w:unhideWhenUsed/>
    <w:rsid w:val="004C7646"/>
    <w:pPr>
      <w:jc w:val="right"/>
    </w:pPr>
  </w:style>
  <w:style w:type="character" w:customStyle="1" w:styleId="ab">
    <w:name w:val="日期 字元"/>
    <w:basedOn w:val="a0"/>
    <w:link w:val="aa"/>
    <w:uiPriority w:val="99"/>
    <w:semiHidden/>
    <w:rsid w:val="004C7646"/>
  </w:style>
  <w:style w:type="paragraph" w:styleId="2">
    <w:name w:val="List Continue 2"/>
    <w:basedOn w:val="a"/>
    <w:uiPriority w:val="99"/>
    <w:unhideWhenUsed/>
    <w:rsid w:val="00112F46"/>
    <w:pPr>
      <w:spacing w:after="120"/>
      <w:ind w:leftChars="400" w:left="960"/>
      <w:contextualSpacing/>
    </w:pPr>
  </w:style>
  <w:style w:type="paragraph" w:customStyle="1" w:styleId="TableText">
    <w:name w:val="Table Text"/>
    <w:basedOn w:val="a"/>
    <w:rsid w:val="00112F46"/>
    <w:pPr>
      <w:spacing w:before="60" w:after="60" w:line="240" w:lineRule="auto"/>
      <w:jc w:val="center"/>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Kwai Sun LEUNG</dc:creator>
  <cp:keywords/>
  <dc:description/>
  <cp:lastModifiedBy>Kwai Sun Leung</cp:lastModifiedBy>
  <cp:revision>4</cp:revision>
  <dcterms:created xsi:type="dcterms:W3CDTF">2018-09-24T03:55:00Z</dcterms:created>
  <dcterms:modified xsi:type="dcterms:W3CDTF">2018-09-25T07:15:00Z</dcterms:modified>
</cp:coreProperties>
</file>