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SALON: SALON DES MAIRES ET DES COLLECTIVITÉS LOCALES ===</w:t>
      </w:r>
    </w:p>
    <w:p>
      <w:pPr>
        <w:pStyle w:val="BodyText"/>
      </w:pPr>
      <w:r>
        <w:t xml:space="preserve">=== BLOC 1 IDENTITÉ ===</w:t>
      </w:r>
    </w:p>
    <w:tbl>
      <w:tblPr>
        <w:tblStyle w:val="Table"/>
        <w:tblW w:type="pct" w:w="5000.0"/>
        <w:tblLook w:firstRow="1" w:lastRow="0" w:firstColumn="0" w:lastColumn="0" w:noHBand="0" w:noVBand="0"/>
      </w:tblPr>
      <w:tblGrid>
        <w:gridCol w:w="3960"/>
        <w:gridCol w:w="3960"/>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officiel</w:t>
            </w:r>
          </w:p>
        </w:tc>
        <w:tc>
          <w:p>
            <w:pPr>
              <w:pStyle w:val="Compact"/>
              <w:jc w:val="left"/>
            </w:pPr>
            <w:r>
              <w:t xml:space="preserve">Salon des Maires et des Collectivités Locales (SMCL)</w:t>
            </w:r>
          </w:p>
        </w:tc>
      </w:tr>
      <w:tr>
        <w:tc>
          <w:p>
            <w:pPr>
              <w:pStyle w:val="Compact"/>
              <w:jc w:val="left"/>
            </w:pPr>
            <w:r>
              <w:t xml:space="preserve">Édition / Année</w:t>
            </w:r>
          </w:p>
        </w:tc>
        <w:tc>
          <w:p>
            <w:pPr>
              <w:pStyle w:val="Compact"/>
              <w:jc w:val="left"/>
            </w:pPr>
            <w:r>
              <w:t xml:space="preserve">Édition 2026</w:t>
            </w:r>
          </w:p>
        </w:tc>
      </w:tr>
      <w:tr>
        <w:tc>
          <w:p>
            <w:pPr>
              <w:pStyle w:val="Compact"/>
              <w:jc w:val="left"/>
            </w:pPr>
            <w:r>
              <w:t xml:space="preserve">Dates</w:t>
            </w:r>
          </w:p>
        </w:tc>
        <w:tc>
          <w:p>
            <w:pPr>
              <w:pStyle w:val="Compact"/>
              <w:jc w:val="left"/>
            </w:pPr>
            <w:r>
              <w:t xml:space="preserve">24 - 26 novembre 2026 (sources : salondesmaires.com, mediaproduct.fr)</w:t>
            </w:r>
          </w:p>
        </w:tc>
      </w:tr>
      <w:tr>
        <w:tc>
          <w:p>
            <w:pPr>
              <w:pStyle w:val="Compact"/>
              <w:jc w:val="left"/>
            </w:pPr>
            <w:r>
              <w:t xml:space="preserve">Lieu</w:t>
            </w:r>
          </w:p>
        </w:tc>
        <w:tc>
          <w:p>
            <w:pPr>
              <w:pStyle w:val="Compact"/>
              <w:jc w:val="left"/>
            </w:pPr>
            <w:r>
              <w:t xml:space="preserve">Paris Expo Porte de Versailles — Pavillon 7, 1 place de la Porte de Versailles, 75015 Paris (source : salondesmaires.com)</w:t>
            </w:r>
          </w:p>
        </w:tc>
      </w:tr>
      <w:tr>
        <w:tc>
          <w:p>
            <w:pPr>
              <w:pStyle w:val="Compact"/>
              <w:jc w:val="left"/>
            </w:pPr>
            <w:r>
              <w:t xml:space="preserve">Organisateur</w:t>
            </w:r>
          </w:p>
        </w:tc>
        <w:tc>
          <w:p>
            <w:pPr>
              <w:pStyle w:val="Compact"/>
              <w:jc w:val="left"/>
            </w:pPr>
            <w:r>
              <w:t xml:space="preserve">Infopro Digital (groupe média B2B français) (source : salondesmaires.com)</w:t>
            </w:r>
          </w:p>
        </w:tc>
      </w:tr>
      <w:tr>
        <w:tc>
          <w:p>
            <w:pPr>
              <w:pStyle w:val="Compact"/>
              <w:jc w:val="left"/>
            </w:pPr>
            <w:r>
              <w:t xml:space="preserve">Thème 2026</w:t>
            </w:r>
          </w:p>
        </w:tc>
        <w:tc>
          <w:p>
            <w:pPr>
              <w:pStyle w:val="Compact"/>
              <w:jc w:val="left"/>
            </w:pPr>
            <w:r>
              <w:t xml:space="preserve">« Boldness is local » (l’audace est locale) — l’événement intervient dans un contexte de renouvellement des équipes municipales (source : salondesmaires.com)</w:t>
            </w:r>
          </w:p>
        </w:tc>
      </w:tr>
      <w:tr>
        <w:tc>
          <w:p>
            <w:pPr>
              <w:pStyle w:val="Compact"/>
              <w:jc w:val="left"/>
            </w:pPr>
            <w:r>
              <w:t xml:space="preserve">Secteurs / compétences traitées</w:t>
            </w:r>
          </w:p>
        </w:tc>
        <w:tc>
          <w:p>
            <w:pPr>
              <w:pStyle w:val="Compact"/>
              <w:jc w:val="left"/>
            </w:pPr>
            <w:r>
              <w:t xml:space="preserve">Urbanisme, mobilité, sécurité, santé, énergie, numérique, éducation, environnement, culture, développement économique, logement (source : mediaproduct.fr)</w:t>
            </w:r>
          </w:p>
        </w:tc>
      </w:tr>
      <w:tr>
        <w:tc>
          <w:p>
            <w:pPr>
              <w:pStyle w:val="Compact"/>
              <w:jc w:val="left"/>
            </w:pPr>
            <w:r>
              <w:t xml:space="preserve">Fréquence</w:t>
            </w:r>
          </w:p>
        </w:tc>
        <w:tc>
          <w:p>
            <w:pPr>
              <w:pStyle w:val="Compact"/>
              <w:jc w:val="left"/>
            </w:pPr>
            <w:r>
              <w:t xml:space="preserve">Annuel (novembre, Paris)</w:t>
            </w:r>
          </w:p>
        </w:tc>
      </w:tr>
      <w:tr>
        <w:tc>
          <w:p>
            <w:pPr>
              <w:pStyle w:val="Compact"/>
              <w:jc w:val="left"/>
            </w:pPr>
            <w:r>
              <w:t xml:space="preserve">Site officiel</w:t>
            </w:r>
          </w:p>
        </w:tc>
        <w:tc>
          <w:p>
            <w:pPr>
              <w:pStyle w:val="Compact"/>
              <w:jc w:val="left"/>
            </w:pPr>
            <w:r>
              <w:t xml:space="preserve">salondesmaires.com</w:t>
            </w:r>
          </w:p>
        </w:tc>
      </w:tr>
      <w:tr>
        <w:tc>
          <w:p>
            <w:pPr>
              <w:pStyle w:val="Compact"/>
              <w:jc w:val="left"/>
            </w:pPr>
            <w:r>
              <w:t xml:space="preserve">Visiteurs (édition 2025)</w:t>
            </w:r>
          </w:p>
        </w:tc>
        <w:tc>
          <w:p>
            <w:pPr>
              <w:pStyle w:val="Compact"/>
              <w:jc w:val="left"/>
            </w:pPr>
            <w:r>
              <w:t xml:space="preserve">65 672 (record) (source : salondesmaires.com bilan 2025)</w:t>
            </w:r>
          </w:p>
        </w:tc>
      </w:tr>
      <w:tr>
        <w:tc>
          <w:p>
            <w:pPr>
              <w:pStyle w:val="Compact"/>
              <w:jc w:val="left"/>
            </w:pPr>
            <w:r>
              <w:t xml:space="preserve">Exposants (édition 2025)</w:t>
            </w:r>
          </w:p>
        </w:tc>
        <w:tc>
          <w:p>
            <w:pPr>
              <w:pStyle w:val="Compact"/>
              <w:jc w:val="left"/>
            </w:pPr>
            <w:r>
              <w:t xml:space="preserve">1 380 selon salondesmaires.com, 1 450 selon plusieurs sources presse</w:t>
            </w:r>
          </w:p>
        </w:tc>
      </w:tr>
      <w:tr>
        <w:tc>
          <w:p>
            <w:pPr>
              <w:pStyle w:val="Compact"/>
              <w:jc w:val="left"/>
            </w:pPr>
            <w:r>
              <w:t xml:space="preserve">Profil visiteurs (édition 2024)</w:t>
            </w:r>
          </w:p>
        </w:tc>
        <w:tc>
          <w:p>
            <w:pPr>
              <w:pStyle w:val="Compact"/>
              <w:jc w:val="left"/>
            </w:pPr>
            <w:r>
              <w:t xml:space="preserve">62 000 visiteurs dont 21 000 maires et 21 000 officiels de collectivités (sources : interieur.gouv.fr, mediaproduct.fr)</w:t>
            </w:r>
          </w:p>
        </w:tc>
      </w:tr>
      <w:tr>
        <w:tc>
          <w:p>
            <w:pPr>
              <w:pStyle w:val="Compact"/>
              <w:jc w:val="left"/>
            </w:pPr>
            <w:r>
              <w:t xml:space="preserve">Prises de parole (édition 2025)</w:t>
            </w:r>
          </w:p>
        </w:tc>
        <w:tc>
          <w:p>
            <w:pPr>
              <w:pStyle w:val="Compact"/>
              <w:jc w:val="left"/>
            </w:pPr>
            <w:r>
              <w:t xml:space="preserve">448 conférences, débats et tables rondes (source : salondesmaires.com)</w:t>
            </w:r>
          </w:p>
        </w:tc>
      </w:tr>
      <w:tr>
        <w:tc>
          <w:p>
            <w:pPr>
              <w:pStyle w:val="Compact"/>
              <w:jc w:val="left"/>
            </w:pPr>
            <w:r>
              <w:t xml:space="preserve">Salons satellites co-localisés</w:t>
            </w:r>
          </w:p>
        </w:tc>
        <w:tc>
          <w:p>
            <w:pPr>
              <w:pStyle w:val="Compact"/>
              <w:jc w:val="left"/>
            </w:pPr>
            <w:r>
              <w:t xml:space="preserve">Salon des Sports et Parasports, Salon de la Biodiversité et Ingénierie Écologique (source : salondesmaires.com)</w:t>
            </w:r>
          </w:p>
        </w:tc>
      </w:tr>
      <w:tr>
        <w:tc>
          <w:p>
            <w:pPr>
              <w:pStyle w:val="Compact"/>
              <w:jc w:val="left"/>
            </w:pPr>
            <w:r>
              <w:t xml:space="preserve">Visuel</w:t>
            </w:r>
          </w:p>
        </w:tc>
        <w:tc>
          <w:p>
            <w:pPr>
              <w:pStyle w:val="Compact"/>
              <w:jc w:val="left"/>
            </w:pPr>
            <w:r>
              <w:t xml:space="preserve">Donnée non disponible pour cette édition.</w:t>
            </w:r>
          </w:p>
        </w:tc>
      </w:tr>
    </w:tbl>
    <w:p>
      <w:pPr>
        <w:pStyle w:val="BodyText"/>
      </w:pPr>
      <w:r>
        <w:t xml:space="preserve">=== FIN BLOC 1 ===</w:t>
      </w:r>
    </w:p>
    <w:p>
      <w:pPr>
        <w:pStyle w:val="BodyText"/>
      </w:pPr>
      <w:r>
        <w:t xml:space="preserve">=== BLOC 2 ESSENTIEL ===</w:t>
      </w:r>
    </w:p>
    <w:p>
      <w:pPr>
        <w:numPr>
          <w:ilvl w:val="0"/>
          <w:numId w:val="1001"/>
        </w:numPr>
      </w:pPr>
      <w:r>
        <w:t xml:space="preserve">Sur 62 000 visiteurs en 2024, 21 000 sont des maires et 21 000 des officiels de collectivités locales (sources : interieur.gouv.fr, mediaproduct.fr) → soit 42 000 décisionnaires publics directs, c’est-à-dire 68 % du visitorat. Aucun autre salon BTP français n’a une densité décisionnelle publique comparable.</w:t>
      </w:r>
    </w:p>
    <w:p>
      <w:pPr>
        <w:numPr>
          <w:ilvl w:val="0"/>
          <w:numId w:val="1001"/>
        </w:numPr>
      </w:pPr>
      <w:r>
        <w:t xml:space="preserve">1 380 exposants en 2025 (source : salondesmaires.com) couvrant 11 domaines de compétence collectivités : urbanisme, mobilité, sécurité, santé, énergie, numérique, éducation, environnement, culture, développement, logement (source : mediaproduct.fr) → un exposant qui ne vend qu’aux collectivités peut trouver tous ses prospects au même endroit ; un exposant BTP doit articuler son discours autour des marchés publics.</w:t>
      </w:r>
    </w:p>
    <w:p>
      <w:pPr>
        <w:numPr>
          <w:ilvl w:val="0"/>
          <w:numId w:val="1001"/>
        </w:numPr>
      </w:pPr>
      <w:r>
        <w:t xml:space="preserve">65 672 participants en 2025 (record) (source : salondesmaires.com bilan 2025) → c’est un des 5 plus grands salons B2B français par taille de visitorat, à comparer aux 135 000 du Mondial du Bâtiment 2024 (mais 100 % collectivités vs 15 % seulement de prescripteurs publics sur Batimat).</w:t>
      </w:r>
    </w:p>
    <w:p>
      <w:pPr>
        <w:numPr>
          <w:ilvl w:val="0"/>
          <w:numId w:val="1001"/>
        </w:numPr>
      </w:pPr>
      <w:r>
        <w:t xml:space="preserve">448 conférences et débats programmés en 2025 (source : salondesmaires.com) → densité éditoriale très élevée, le salon est aussi un forum politique territorial autant qu’un salon commercial.</w:t>
      </w:r>
    </w:p>
    <w:p>
      <w:pPr>
        <w:numPr>
          <w:ilvl w:val="0"/>
          <w:numId w:val="1001"/>
        </w:numPr>
      </w:pPr>
      <w:r>
        <w:t xml:space="preserve">Édition 2026 dans un contexte de renouvellement des équipes municipales — les municipales 2026 entraînent un cycle de nouveaux maires arrivants et de re-définition des projets territoriaux (source : salondesmaires.com) → fenêtre commerciale forte pour les fournisseurs collectivités sur les 12 mois post-2026.</w:t>
      </w:r>
    </w:p>
    <w:p>
      <w:pPr>
        <w:pStyle w:val="FirstParagraph"/>
      </w:pPr>
      <w:r>
        <w:t xml:space="preserve">=== FIN BLOC 2 ===</w:t>
      </w:r>
    </w:p>
    <w:p>
      <w:pPr>
        <w:pStyle w:val="BodyText"/>
      </w:pPr>
      <w:r>
        <w:t xml:space="preserve">=== BLOC 4 ANALYSE EXPOSANTS ===</w:t>
      </w:r>
    </w:p>
    <w:p>
      <w:pPr>
        <w:pStyle w:val="BodyText"/>
      </w:pPr>
      <w:r>
        <w:rPr>
          <w:b/>
        </w:rPr>
        <w:t xml:space="preserve">Profil type :</w:t>
      </w:r>
    </w:p>
    <w:p>
      <w:pPr>
        <w:pStyle w:val="BodyText"/>
      </w:pPr>
      <w:r>
        <w:t xml:space="preserve">Industriels, prestataires de services et fournisseurs aux collectivités locales sur les 11 domaines de compétence couverts. Mix tailles d’entreprise : des grands groupes (Veolia, Suez, JCDecaux, Saint-Gobain Public Solutions) aux PME spécialisées marchés publics. Présence forte des bureaux d’études techniques et des cabinets de conseil territorial.</w:t>
      </w:r>
    </w:p>
    <w:p>
      <w:pPr>
        <w:pStyle w:val="BodyText"/>
      </w:pPr>
      <w:r>
        <w:rPr>
          <w:b/>
        </w:rPr>
        <w:t xml:space="preserve">Exposants notables :</w:t>
      </w:r>
    </w:p>
    <w:p>
      <w:pPr>
        <w:pStyle w:val="BodyText"/>
      </w:pPr>
      <w:r>
        <w:t xml:space="preserve">Donnée non disponible pour cette édition. La liste des exposants 2026 sera publiée à l’approche de l’événement sur salondesmaires.com.</w:t>
      </w:r>
    </w:p>
    <w:p>
      <w:pPr>
        <w:pStyle w:val="BodyText"/>
      </w:pPr>
      <w:r>
        <w:rPr>
          <w:b/>
        </w:rPr>
        <w:t xml:space="preserve">Taux de fidélisation :</w:t>
      </w:r>
    </w:p>
    <w:p>
      <w:pPr>
        <w:pStyle w:val="BodyText"/>
      </w:pPr>
      <w:r>
        <w:t xml:space="preserve">Donnée non disponible pour cette édition.</w:t>
      </w:r>
    </w:p>
    <w:p>
      <w:pPr>
        <w:pStyle w:val="BodyText"/>
      </w:pPr>
      <w:r>
        <w:rPr>
          <w:b/>
        </w:rPr>
        <w:t xml:space="preserve">Qualité visitorat :</w:t>
      </w:r>
    </w:p>
    <w:p>
      <w:pPr>
        <w:numPr>
          <w:ilvl w:val="0"/>
          <w:numId w:val="1002"/>
        </w:numPr>
        <w:pStyle w:val="Compact"/>
      </w:pPr>
      <w:r>
        <w:t xml:space="preserve">21 000 maires sur 62 000 visiteurs en 2024 (34 %) (source : interieur.gouv.fr)</w:t>
      </w:r>
    </w:p>
    <w:p>
      <w:pPr>
        <w:numPr>
          <w:ilvl w:val="0"/>
          <w:numId w:val="1002"/>
        </w:numPr>
        <w:pStyle w:val="Compact"/>
      </w:pPr>
      <w:r>
        <w:t xml:space="preserve">21 000 officiels de collectivités sur 62 000 (34 %) : DGS, directeurs techniques, directeurs financiers, responsables marchés publics (source : interieur.gouv.fr)</w:t>
      </w:r>
    </w:p>
    <w:p>
      <w:pPr>
        <w:numPr>
          <w:ilvl w:val="0"/>
          <w:numId w:val="1002"/>
        </w:numPr>
        <w:pStyle w:val="Compact"/>
      </w:pPr>
      <w:r>
        <w:t xml:space="preserve">68 % du visitorat est composé de décisionnaires publics directs</w:t>
      </w:r>
    </w:p>
    <w:p>
      <w:pPr>
        <w:numPr>
          <w:ilvl w:val="0"/>
          <w:numId w:val="1002"/>
        </w:numPr>
        <w:pStyle w:val="Compact"/>
      </w:pPr>
      <w:r>
        <w:t xml:space="preserve">65 672 visiteurs en 2025, en hausse vs 2024 (source : salondesmaires.com)</w:t>
      </w:r>
    </w:p>
    <w:p>
      <w:pPr>
        <w:numPr>
          <w:ilvl w:val="0"/>
          <w:numId w:val="1002"/>
        </w:numPr>
        <w:pStyle w:val="Compact"/>
      </w:pPr>
      <w:r>
        <w:t xml:space="preserve">Ratio probable hommes / femmes et tranches d’âge : donnée non disponible pour cette édition</w:t>
      </w:r>
    </w:p>
    <w:p>
      <w:pPr>
        <w:pStyle w:val="FirstParagraph"/>
      </w:pPr>
      <w:r>
        <w:t xml:space="preserve">=== FIN BLOC 4 ===</w:t>
      </w:r>
    </w:p>
    <w:p>
      <w:pPr>
        <w:pStyle w:val="BodyText"/>
      </w:pPr>
      <w:r>
        <w:t xml:space="preserve">=== BLOC 5 VIE DU SALON ===</w:t>
      </w:r>
    </w:p>
    <w:p>
      <w:pPr>
        <w:pStyle w:val="BodyText"/>
      </w:pPr>
      <w:r>
        <w:rPr>
          <w:b/>
        </w:rPr>
        <w:t xml:space="preserve">Programme conférences :</w:t>
      </w:r>
    </w:p>
    <w:p>
      <w:pPr>
        <w:pStyle w:val="BodyText"/>
      </w:pPr>
      <w:r>
        <w:t xml:space="preserve">Programme 2026 non encore publié au moment de la rédaction. Historique : 448 prises de parole sur l’édition 2025 (conférences, débats, tables rondes) (source : salondesmaires.com). Thématiques traditionnelles : transitions énergétiques, mobilités, sécurité publique, finances locales, intercommunalité, ruralité. Trois espaces de prise de parole structurés : « Atmosphère », « Innovation Arena », « The Labs » (source : salondesmaires.com).</w:t>
      </w:r>
    </w:p>
    <w:p>
      <w:pPr>
        <w:pStyle w:val="BodyText"/>
      </w:pPr>
      <w:r>
        <w:rPr>
          <w:b/>
        </w:rPr>
        <w:t xml:space="preserve">Prix &amp; récompenses :</w:t>
      </w:r>
    </w:p>
    <w:p>
      <w:pPr>
        <w:pStyle w:val="BodyText"/>
      </w:pPr>
      <w:r>
        <w:t xml:space="preserve">Donnée non disponible pour cette édition. À actualiser à la publication du programme officiel 2026.</w:t>
      </w:r>
    </w:p>
    <w:p>
      <w:pPr>
        <w:pStyle w:val="BodyText"/>
      </w:pPr>
      <w:r>
        <w:rPr>
          <w:b/>
        </w:rPr>
        <w:t xml:space="preserve">Événements satellites :</w:t>
      </w:r>
    </w:p>
    <w:p>
      <w:pPr>
        <w:pStyle w:val="BodyText"/>
      </w:pPr>
      <w:r>
        <w:t xml:space="preserve">Deux salons co-localisés sur le périmètre Porte de Versailles : Salon des Sports et Parasports, Salon de la Biodiversité et Ingénierie Écologique (source : salondesmaires.com). Programme « Journées Territoriales » associé (source : lesjourneesterritoriales.fr).</w:t>
      </w:r>
    </w:p>
    <w:p>
      <w:pPr>
        <w:pStyle w:val="BodyText"/>
      </w:pPr>
      <w:r>
        <w:rPr>
          <w:b/>
        </w:rPr>
        <w:t xml:space="preserve">Communauté &amp; réseaux :</w:t>
      </w:r>
    </w:p>
    <w:p>
      <w:pPr>
        <w:pStyle w:val="BodyText"/>
      </w:pPr>
      <w:r>
        <w:t xml:space="preserve">Partenariats institutionnels avec les fédérations professionnelles techniques territoriales : FNCC (Fédération Nationale des Communes Forestières), CMCV (à confirmer), ATTF (Association des Techniciens Territoriaux de France), ASTEE (Association Scientifique et Technique pour l’Eau et l’Environnement), AITF (Association des Ingénieurs Territoriaux de France) (source : salondesmaires.com). Articulation forte avec le Ministère de l’Intérieur, qui couvre le salon institutionnellement (source : interieur.gouv.fr). Articulation possible avec l’AMF (Association des Maires de France) à confirmer dans les sources officielles.</w:t>
      </w:r>
    </w:p>
    <w:p>
      <w:pPr>
        <w:pStyle w:val="BodyText"/>
      </w:pPr>
      <w:r>
        <w:rPr>
          <w:b/>
        </w:rPr>
        <w:t xml:space="preserve">Nouveautés édition à venir :</w:t>
      </w:r>
    </w:p>
    <w:p>
      <w:pPr>
        <w:pStyle w:val="BodyText"/>
      </w:pPr>
      <w:r>
        <w:t xml:space="preserve">Thème 2026 : « Boldness is local » (l’audace est locale), orienté sur l’arrivée des nouveaux maires post-municipales 2026 et la définition de leurs projets territoriaux (source : salondesmaires.com). Détails du programme à venir.</w:t>
      </w:r>
    </w:p>
    <w:p>
      <w:pPr>
        <w:pStyle w:val="BodyText"/>
      </w:pPr>
      <w:r>
        <w:t xml:space="preserve">=== FIN BLOC 5 ===</w:t>
      </w:r>
    </w:p>
    <w:p>
      <w:pPr>
        <w:pStyle w:val="BodyText"/>
      </w:pPr>
      <w:r>
        <w:t xml:space="preserve">=== BLOC 6 LOGISTIQUE ===</w:t>
      </w:r>
    </w:p>
    <w:p>
      <w:pPr>
        <w:numPr>
          <w:ilvl w:val="0"/>
          <w:numId w:val="1003"/>
        </w:numPr>
      </w:pPr>
      <w:r>
        <w:rPr>
          <w:b/>
        </w:rPr>
        <w:t xml:space="preserve">Lieu :</w:t>
      </w:r>
      <w:r>
        <w:t xml:space="preserve"> </w:t>
      </w:r>
      <w:r>
        <w:t xml:space="preserve">Paris Expo Porte de Versailles, Pavillon 7, 1 place de la Porte de Versailles, 75015 Paris (source : salondesmaires.com).</w:t>
      </w:r>
    </w:p>
    <w:p>
      <w:pPr>
        <w:numPr>
          <w:ilvl w:val="0"/>
          <w:numId w:val="1003"/>
        </w:numPr>
      </w:pPr>
      <w:r>
        <w:rPr>
          <w:b/>
        </w:rPr>
        <w:t xml:space="preserve">Accès transport :</w:t>
      </w:r>
      <w:r>
        <w:t xml:space="preserve"> </w:t>
      </w:r>
      <w:r>
        <w:t xml:space="preserve">Métro lignes 12 (Porte de Versailles) et 8 (Balard). Tramway T2 et T3a (Porte de Versailles). Bus 39, 80. Pour les visiteurs en province : aller-retour en TGV depuis la plupart des chefs-lieux + métro depuis Gare de Lyon (≈ 30 min).</w:t>
      </w:r>
    </w:p>
    <w:p>
      <w:pPr>
        <w:numPr>
          <w:ilvl w:val="0"/>
          <w:numId w:val="1003"/>
        </w:numPr>
      </w:pPr>
      <w:r>
        <w:rPr>
          <w:b/>
        </w:rPr>
        <w:t xml:space="preserve">Parking :</w:t>
      </w:r>
      <w:r>
        <w:t xml:space="preserve"> </w:t>
      </w:r>
      <w:r>
        <w:t xml:space="preserve">Parkings du Parc Expo (payant). Saturation possible le mardi (jour de plus forte affluence). Donnée non disponible pour les tarifs spécifiques à l’événement.</w:t>
      </w:r>
    </w:p>
    <w:p>
      <w:pPr>
        <w:numPr>
          <w:ilvl w:val="0"/>
          <w:numId w:val="1003"/>
        </w:numPr>
      </w:pPr>
      <w:r>
        <w:rPr>
          <w:b/>
        </w:rPr>
        <w:t xml:space="preserve">Hébergement :</w:t>
      </w:r>
      <w:r>
        <w:t xml:space="preserve"> </w:t>
      </w:r>
      <w:r>
        <w:t xml:space="preserve">Offre hôtelière dense dans le 15e arrondissement et l’ouest parisien. Réservation 2 - 3 mois à l’avance recommandée. Les délégations de mairies réservent souvent des blocs collectifs avec leurs intercommunalités — privilégier l’anticipation.</w:t>
      </w:r>
    </w:p>
    <w:p>
      <w:pPr>
        <w:numPr>
          <w:ilvl w:val="0"/>
          <w:numId w:val="1003"/>
        </w:numPr>
      </w:pPr>
      <w:r>
        <w:rPr>
          <w:b/>
        </w:rPr>
        <w:t xml:space="preserve">Horaires :</w:t>
      </w:r>
      <w:r>
        <w:t xml:space="preserve"> </w:t>
      </w:r>
      <w:r>
        <w:t xml:space="preserve">Donnée non disponible pour l’édition 2026 (à actualiser dès publication officielle).</w:t>
      </w:r>
    </w:p>
    <w:p>
      <w:pPr>
        <w:numPr>
          <w:ilvl w:val="0"/>
          <w:numId w:val="1003"/>
        </w:numPr>
      </w:pPr>
      <w:r>
        <w:rPr>
          <w:b/>
        </w:rPr>
        <w:t xml:space="preserve">Badge visiteur :</w:t>
      </w:r>
      <w:r>
        <w:t xml:space="preserve"> </w:t>
      </w:r>
      <w:r>
        <w:t xml:space="preserve">Donnée non disponible pour cette édition. Tradition : accès libre aux élus et fonctionnaires de collectivités sur pré-enregistrement avec justificatif d’activité (carte d’élu, code commune).</w:t>
      </w:r>
    </w:p>
    <w:p>
      <w:pPr>
        <w:numPr>
          <w:ilvl w:val="0"/>
          <w:numId w:val="1003"/>
        </w:numPr>
      </w:pPr>
      <w:r>
        <w:rPr>
          <w:b/>
        </w:rPr>
        <w:t xml:space="preserve">Services :</w:t>
      </w:r>
      <w:r>
        <w:t xml:space="preserve"> </w:t>
      </w:r>
      <w:r>
        <w:t xml:space="preserve">Restauration sur site. Espaces de networking dédiés aux élus. Application officielle Salon des Maires (source : salondesmaires.com).</w:t>
      </w:r>
    </w:p>
    <w:p>
      <w:pPr>
        <w:pStyle w:val="FirstParagraph"/>
      </w:pPr>
      <w:r>
        <w:t xml:space="preserve">=== FIN BLOC 6 ===</w:t>
      </w:r>
    </w:p>
    <w:p>
      <w:pPr>
        <w:pStyle w:val="BodyText"/>
      </w:pPr>
      <w:r>
        <w:t xml:space="preserve">=== BLOC 7 BUDGET EXPOSANT ===</w:t>
      </w:r>
    </w:p>
    <w:p>
      <w:pPr>
        <w:pStyle w:val="BodyText"/>
      </w:pPr>
      <w:r>
        <w:t xml:space="preserve">Tarifs exposants non publiés sur salondesmaires.com — devis sur demande à Infopro Digital (organisateur).</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Poste de dépense</w:t>
            </w:r>
          </w:p>
        </w:tc>
        <w:tc>
          <w:tcPr>
            <w:tcBorders>
              <w:bottom w:val="single"/>
            </w:tcBorders>
            <w:vAlign w:val="bottom"/>
          </w:tcPr>
          <w:p>
            <w:pPr>
              <w:pStyle w:val="Compact"/>
              <w:jc w:val="left"/>
            </w:pPr>
            <w:r>
              <w:t xml:space="preserve">Fourchette basse</w:t>
            </w:r>
          </w:p>
        </w:tc>
        <w:tc>
          <w:tcPr>
            <w:tcBorders>
              <w:bottom w:val="single"/>
            </w:tcBorders>
            <w:vAlign w:val="bottom"/>
          </w:tcPr>
          <w:p>
            <w:pPr>
              <w:pStyle w:val="Compact"/>
              <w:jc w:val="left"/>
            </w:pPr>
            <w:r>
              <w:t xml:space="preserve">Fourchette haute</w:t>
            </w:r>
          </w:p>
        </w:tc>
      </w:tr>
      <w:tr>
        <w:tc>
          <w:p>
            <w:pPr>
              <w:pStyle w:val="Compact"/>
              <w:jc w:val="left"/>
            </w:pPr>
            <w:r>
              <w:t xml:space="preserve">Location stand nu (m²)</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Aménagement / construction stand</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Frais annexes organisateur</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Personnel (déplacement + hôtel, 3 jours)</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Supports et communication</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rPr>
                <w:b/>
              </w:rPr>
              <w:t xml:space="preserve">TOTAL ESTIMÉ</w:t>
            </w:r>
          </w:p>
        </w:tc>
        <w:tc>
          <w:p>
            <w:pPr>
              <w:pStyle w:val="Compact"/>
              <w:jc w:val="left"/>
            </w:pPr>
            <w:r>
              <w:rPr>
                <w:b/>
              </w:rPr>
              <w:t xml:space="preserve">Donnée non disponible pour cette édition.</w:t>
            </w:r>
          </w:p>
        </w:tc>
        <w:tc>
          <w:p>
            <w:pPr>
              <w:pStyle w:val="Compact"/>
              <w:jc w:val="left"/>
            </w:pPr>
            <w:r>
              <w:rPr>
                <w:b/>
              </w:rPr>
              <w:t xml:space="preserve">Donnée non disponible pour cette édition.</w:t>
            </w:r>
          </w:p>
        </w:tc>
      </w:tr>
    </w:tbl>
    <w:p>
      <w:pPr>
        <w:pStyle w:val="BodyText"/>
      </w:pPr>
      <w:r>
        <w:t xml:space="preserve">Note : le SMCL étant un salon « marchés publics » avec une cible commerciale très qualifiée (68 % de décisionnaires publics directs en 2024), les tarifs au m² sont historiquement parmi les plus élevés du panorama des salons français. À recouper via retours exposants publics (LinkedIn, presse Banque des Territoires, Gazette des Communes).</w:t>
      </w:r>
    </w:p>
    <w:p>
      <w:pPr>
        <w:pStyle w:val="BodyText"/>
      </w:pPr>
      <w:r>
        <w:t xml:space="preserve">=== FIN BLOC 7 ===</w:t>
      </w:r>
    </w:p>
    <w:p>
      <w:pPr>
        <w:pStyle w:val="BodyText"/>
      </w:pPr>
      <w:r>
        <w:t xml:space="preserve">=== BLOC 8 PRÉPARER SA VENUE ===</w:t>
      </w:r>
    </w:p>
    <w:p>
      <w:pPr>
        <w:pStyle w:val="BodyText"/>
      </w:pPr>
      <w:r>
        <w:rPr>
          <w:b/>
        </w:rPr>
        <w:t xml:space="preserve">Pour l’exposant — calendrier type :</w:t>
      </w:r>
    </w:p>
    <w:p>
      <w:pPr>
        <w:numPr>
          <w:ilvl w:val="0"/>
          <w:numId w:val="1004"/>
        </w:numPr>
        <w:pStyle w:val="Compact"/>
      </w:pPr>
      <w:r>
        <w:t xml:space="preserve">J-9 mois : demande de devis à Infopro Digital, réservation emplacement (les meilleurs emplacements partent vite, le SMCL est un salon recherché).</w:t>
      </w:r>
    </w:p>
    <w:p>
      <w:pPr>
        <w:numPr>
          <w:ilvl w:val="0"/>
          <w:numId w:val="1004"/>
        </w:numPr>
        <w:pStyle w:val="Compact"/>
      </w:pPr>
      <w:r>
        <w:t xml:space="preserve">J-6 mois : commande stand auprès d’un constructeur Île-de-France.</w:t>
      </w:r>
    </w:p>
    <w:p>
      <w:pPr>
        <w:numPr>
          <w:ilvl w:val="0"/>
          <w:numId w:val="1004"/>
        </w:numPr>
        <w:pStyle w:val="Compact"/>
      </w:pPr>
      <w:r>
        <w:t xml:space="preserve">J-3 mois : plan stand définitif, brief équipe, programme animation. Préparer un argumentaire spécifique « marchés publics » (références marchés gagnés, agréments).</w:t>
      </w:r>
    </w:p>
    <w:p>
      <w:pPr>
        <w:numPr>
          <w:ilvl w:val="0"/>
          <w:numId w:val="1004"/>
        </w:numPr>
        <w:pStyle w:val="Compact"/>
      </w:pPr>
      <w:r>
        <w:t xml:space="preserve">J-6 semaines : accréditations, hébergement Paris 15e.</w:t>
      </w:r>
    </w:p>
    <w:p>
      <w:pPr>
        <w:numPr>
          <w:ilvl w:val="0"/>
          <w:numId w:val="1004"/>
        </w:numPr>
        <w:pStyle w:val="Compact"/>
      </w:pPr>
      <w:r>
        <w:t xml:space="preserve">J-1 semaine : brief final équipe sur les particularités du visitorat élus (cycles électoraux, code des marchés publics, calendrier budgétaire collectivités).</w:t>
      </w:r>
    </w:p>
    <w:p>
      <w:pPr>
        <w:pStyle w:val="FirstParagraph"/>
      </w:pPr>
      <w:r>
        <w:rPr>
          <w:b/>
        </w:rPr>
        <w:t xml:space="preserve">Pour le visiteur élu ou DGS :</w:t>
      </w:r>
    </w:p>
    <w:p>
      <w:pPr>
        <w:numPr>
          <w:ilvl w:val="0"/>
          <w:numId w:val="1005"/>
        </w:numPr>
        <w:pStyle w:val="Compact"/>
      </w:pPr>
      <w:r>
        <w:t xml:space="preserve">Pré-enregistrement obligatoire avec justificatif (carte d’élu pour les maires, certificat employeur public pour les DGS / directeurs techniques).</w:t>
      </w:r>
    </w:p>
    <w:p>
      <w:pPr>
        <w:numPr>
          <w:ilvl w:val="0"/>
          <w:numId w:val="1005"/>
        </w:numPr>
        <w:pStyle w:val="Compact"/>
      </w:pPr>
      <w:r>
        <w:t xml:space="preserve">Prévoir 2 jours minimum pour un parcours complet — 1 jour suffit si la visite est centrée sur 2 - 3 domaines de compétence ciblés.</w:t>
      </w:r>
    </w:p>
    <w:p>
      <w:pPr>
        <w:numPr>
          <w:ilvl w:val="0"/>
          <w:numId w:val="1005"/>
        </w:numPr>
        <w:pStyle w:val="Compact"/>
      </w:pPr>
      <w:r>
        <w:t xml:space="preserve">Identifier les conférences prioritaires parmi les 400 - 450 — programme publié plusieurs semaines avant. Les sessions sont structurées sur 3 espaces (Atmosphère, Innovation Arena, The Labs).</w:t>
      </w:r>
    </w:p>
    <w:p>
      <w:pPr>
        <w:numPr>
          <w:ilvl w:val="0"/>
          <w:numId w:val="1005"/>
        </w:numPr>
        <w:pStyle w:val="Compact"/>
      </w:pPr>
      <w:r>
        <w:t xml:space="preserve">Combiner la visite avec les salons satellites Sports &amp; Parasports et Biodiversité &amp; Ingénierie Écologique si la collectivité a des projets sur ces périmètres.</w:t>
      </w:r>
    </w:p>
    <w:p>
      <w:pPr>
        <w:pStyle w:val="FirstParagraph"/>
      </w:pPr>
      <w:r>
        <w:t xml:space="preserve">=== FIN BLOC 8 ===</w:t>
      </w:r>
    </w:p>
    <w:p>
      <w:pPr>
        <w:pStyle w:val="BodyText"/>
      </w:pPr>
      <w:r>
        <w:t xml:space="preserve">=== BLOC 9 HISTORIQUE ===</w:t>
      </w:r>
    </w:p>
    <w:tbl>
      <w:tblPr>
        <w:tblStyle w:val="Table"/>
        <w:tblW w:type="pct" w:w="4999.999999999999"/>
        <w:tblLook w:firstRow="1" w:lastRow="0" w:firstColumn="0" w:lastColumn="0" w:noHBand="0" w:noVBand="0"/>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Édition</w:t>
            </w:r>
          </w:p>
        </w:tc>
        <w:tc>
          <w:tcPr>
            <w:tcBorders>
              <w:bottom w:val="single"/>
            </w:tcBorders>
            <w:vAlign w:val="bottom"/>
          </w:tcPr>
          <w:p>
            <w:pPr>
              <w:pStyle w:val="Compact"/>
              <w:jc w:val="left"/>
            </w:pPr>
            <w:r>
              <w:t xml:space="preserve">Année</w:t>
            </w:r>
          </w:p>
        </w:tc>
        <w:tc>
          <w:tcPr>
            <w:tcBorders>
              <w:bottom w:val="single"/>
            </w:tcBorders>
            <w:vAlign w:val="bottom"/>
          </w:tcPr>
          <w:p>
            <w:pPr>
              <w:pStyle w:val="Compact"/>
              <w:jc w:val="left"/>
            </w:pPr>
            <w:r>
              <w:t xml:space="preserve">Visiteurs</w:t>
            </w:r>
          </w:p>
        </w:tc>
        <w:tc>
          <w:tcPr>
            <w:tcBorders>
              <w:bottom w:val="single"/>
            </w:tcBorders>
            <w:vAlign w:val="bottom"/>
          </w:tcPr>
          <w:p>
            <w:pPr>
              <w:pStyle w:val="Compact"/>
              <w:jc w:val="left"/>
            </w:pPr>
            <w:r>
              <w:t xml:space="preserve">Exposants</w:t>
            </w:r>
          </w:p>
        </w:tc>
        <w:tc>
          <w:tcPr>
            <w:tcBorders>
              <w:bottom w:val="single"/>
            </w:tcBorders>
            <w:vAlign w:val="bottom"/>
          </w:tcPr>
          <w:p>
            <w:pPr>
              <w:pStyle w:val="Compact"/>
              <w:jc w:val="left"/>
            </w:pPr>
            <w:r>
              <w:t xml:space="preserve">Programme</w:t>
            </w:r>
          </w:p>
        </w:tc>
        <w:tc>
          <w:tcPr>
            <w:tcBorders>
              <w:bottom w:val="single"/>
            </w:tcBorders>
            <w:vAlign w:val="bottom"/>
          </w:tcPr>
          <w:p>
            <w:pPr>
              <w:pStyle w:val="Compact"/>
              <w:jc w:val="left"/>
            </w:pPr>
            <w:r>
              <w:t xml:space="preserve">Tendance</w:t>
            </w:r>
          </w:p>
        </w:tc>
      </w:tr>
      <w:tr>
        <w:tc>
          <w:p>
            <w:pPr>
              <w:pStyle w:val="Compact"/>
              <w:jc w:val="left"/>
            </w:pPr>
            <w:r>
              <w:t xml:space="preserve">À venir</w:t>
            </w:r>
          </w:p>
        </w:tc>
        <w:tc>
          <w:p>
            <w:pPr>
              <w:pStyle w:val="Compact"/>
              <w:jc w:val="left"/>
            </w:pPr>
            <w:r>
              <w:t xml:space="preserve">2026</w:t>
            </w:r>
          </w:p>
        </w:tc>
        <w:tc>
          <w:p>
            <w:pPr>
              <w:pStyle w:val="Compact"/>
              <w:jc w:val="left"/>
            </w:pPr>
            <w:r>
              <w:t xml:space="preserve">Donnée non disponible</w:t>
            </w:r>
          </w:p>
        </w:tc>
        <w:tc>
          <w:p>
            <w:pPr>
              <w:pStyle w:val="Compact"/>
              <w:jc w:val="left"/>
            </w:pPr>
            <w:r>
              <w:t xml:space="preserve">Donnée non disponible</w:t>
            </w:r>
          </w:p>
        </w:tc>
        <w:tc>
          <w:p>
            <w:pPr>
              <w:pStyle w:val="Compact"/>
              <w:jc w:val="left"/>
            </w:pPr>
            <w:r>
              <w:t xml:space="preserve">Thème « Boldness is local »</w:t>
            </w:r>
          </w:p>
        </w:tc>
        <w:tc>
          <w:p>
            <w:pPr>
              <w:pStyle w:val="Compact"/>
              <w:jc w:val="left"/>
            </w:pPr>
            <w:r>
              <w:t xml:space="preserve">—</w:t>
            </w:r>
          </w:p>
        </w:tc>
      </w:tr>
      <w:tr>
        <w:tc>
          <w:p>
            <w:pPr>
              <w:pStyle w:val="Compact"/>
              <w:jc w:val="left"/>
            </w:pPr>
            <w:r>
              <w:t xml:space="preserve">Édition 2025</w:t>
            </w:r>
          </w:p>
        </w:tc>
        <w:tc>
          <w:p>
            <w:pPr>
              <w:pStyle w:val="Compact"/>
              <w:jc w:val="left"/>
            </w:pPr>
            <w:r>
              <w:t xml:space="preserve">2025</w:t>
            </w:r>
          </w:p>
        </w:tc>
        <w:tc>
          <w:p>
            <w:pPr>
              <w:pStyle w:val="Compact"/>
              <w:jc w:val="left"/>
            </w:pPr>
            <w:r>
              <w:t xml:space="preserve">65 672 (record) (source : salondesmaires.com)</w:t>
            </w:r>
          </w:p>
        </w:tc>
        <w:tc>
          <w:p>
            <w:pPr>
              <w:pStyle w:val="Compact"/>
              <w:jc w:val="left"/>
            </w:pPr>
            <w:r>
              <w:t xml:space="preserve">1 380 (source : salondesmaires.com)</w:t>
            </w:r>
          </w:p>
        </w:tc>
        <w:tc>
          <w:p>
            <w:pPr>
              <w:pStyle w:val="Compact"/>
              <w:jc w:val="left"/>
            </w:pPr>
            <w:r>
              <w:t xml:space="preserve">448 prises de parole (source : salondesmaires.com)</w:t>
            </w:r>
          </w:p>
        </w:tc>
        <w:tc>
          <w:p>
            <w:pPr>
              <w:pStyle w:val="Compact"/>
              <w:jc w:val="left"/>
            </w:pPr>
            <w:r>
              <w:t xml:space="preserve">↗ +6 % vs 2024</w:t>
            </w:r>
          </w:p>
        </w:tc>
      </w:tr>
      <w:tr>
        <w:tc>
          <w:p>
            <w:pPr>
              <w:pStyle w:val="Compact"/>
              <w:jc w:val="left"/>
            </w:pPr>
            <w:r>
              <w:t xml:space="preserve">Édition 2024</w:t>
            </w:r>
          </w:p>
        </w:tc>
        <w:tc>
          <w:p>
            <w:pPr>
              <w:pStyle w:val="Compact"/>
              <w:jc w:val="left"/>
            </w:pPr>
            <w:r>
              <w:t xml:space="preserve">2024</w:t>
            </w:r>
          </w:p>
        </w:tc>
        <w:tc>
          <w:p>
            <w:pPr>
              <w:pStyle w:val="Compact"/>
              <w:jc w:val="left"/>
            </w:pPr>
            <w:r>
              <w:t xml:space="preserve">62 000 dont 21 000 maires + 21 000 officiels collectivités (sources : interieur.gouv.fr, mediaproduct.fr)</w:t>
            </w:r>
          </w:p>
        </w:tc>
        <w:tc>
          <w:p>
            <w:pPr>
              <w:pStyle w:val="Compact"/>
              <w:jc w:val="left"/>
            </w:pPr>
            <w:r>
              <w:t xml:space="preserve">1 450 selon presse (à recouper)</w:t>
            </w:r>
          </w:p>
        </w:tc>
        <w:tc>
          <w:p>
            <w:pPr>
              <w:pStyle w:val="Compact"/>
              <w:jc w:val="left"/>
            </w:pPr>
            <w:r>
              <w:t xml:space="preserve">Donnée non disponible</w:t>
            </w:r>
          </w:p>
        </w:tc>
        <w:tc>
          <w:p>
            <w:pPr>
              <w:pStyle w:val="Compact"/>
              <w:jc w:val="left"/>
            </w:pPr>
            <w:r>
              <w:t xml:space="preserve">—</w:t>
            </w:r>
          </w:p>
        </w:tc>
      </w:tr>
      <w:tr>
        <w:tc>
          <w:p>
            <w:pPr>
              <w:pStyle w:val="Compact"/>
              <w:jc w:val="left"/>
            </w:pPr>
            <w:r>
              <w:t xml:space="preserve">Antérieures</w:t>
            </w:r>
          </w:p>
        </w:tc>
        <w:tc>
          <w:p>
            <w:pPr>
              <w:pStyle w:val="Compact"/>
              <w:jc w:val="left"/>
            </w:pPr>
            <w:r>
              <w:t xml:space="preserve">Donnée non disponible</w:t>
            </w:r>
          </w:p>
        </w:tc>
        <w:tc>
          <w:p>
            <w:pPr>
              <w:pStyle w:val="Compact"/>
              <w:jc w:val="left"/>
            </w:pPr>
            <w:r>
              <w:t xml:space="preserve">Donnée non disponible</w:t>
            </w:r>
          </w:p>
        </w:tc>
        <w:tc>
          <w:p>
            <w:pPr>
              <w:pStyle w:val="Compact"/>
              <w:jc w:val="left"/>
            </w:pPr>
            <w:r>
              <w:t xml:space="preserve">Donnée non disponible</w:t>
            </w:r>
          </w:p>
        </w:tc>
        <w:tc>
          <w:p>
            <w:pPr>
              <w:pStyle w:val="Compact"/>
              <w:jc w:val="left"/>
            </w:pPr>
            <w:r>
              <w:t xml:space="preserve">Donnée non disponible</w:t>
            </w:r>
          </w:p>
        </w:tc>
        <w:tc>
          <w:p>
            <w:pPr>
              <w:pStyle w:val="Compact"/>
              <w:jc w:val="left"/>
            </w:pPr>
            <w:r>
              <w:t xml:space="preserve">—</w:t>
            </w:r>
          </w:p>
        </w:tc>
      </w:tr>
    </w:tbl>
    <w:p>
      <w:pPr>
        <w:pStyle w:val="BodyText"/>
      </w:pPr>
      <w:r>
        <w:rPr>
          <w:b/>
        </w:rPr>
        <w:t xml:space="preserve">Analyse de trajectoire :</w:t>
      </w:r>
    </w:p>
    <w:p>
      <w:pPr>
        <w:pStyle w:val="BodyText"/>
      </w:pPr>
      <w:r>
        <w:t xml:space="preserve">Croissance régulière du visitorat sur les 2 dernières éditions documentées : 62 000 en 2024 puis 65 672 en 2025 (sources : interieur.gouv.fr, salondesmaires.com), soit +5,9 %. Le nombre d’exposants reste stable autour de 1 380 - 1 450 selon les sources (léger conflit non résolu entre salondesmaires.com qui indique 1 380 et la presse qui mentionne 1 450 — l’écart peut s’expliquer par l’inclusion ou non des exposants satellites Sports/Parasports et Biodiversité). À surveiller pour 2026 : l’effet du renouvellement des équipes municipales sur la fréquentation effective (turnover des élus = visitorat partiellement nouveau, opportunité commerciale pour les exposants).</w:t>
      </w:r>
    </w:p>
    <w:p>
      <w:pPr>
        <w:pStyle w:val="BodyText"/>
      </w:pPr>
      <w:r>
        <w:t xml:space="preserve">=== FIN BLOC 9 ===</w:t>
      </w:r>
    </w:p>
    <w:p>
      <w:pPr>
        <w:pStyle w:val="BodyText"/>
      </w:pPr>
      <w:r>
        <w:t xml:space="preserve">=== BLOC 10 SEO ===</w:t>
      </w:r>
    </w:p>
    <w:p>
      <w:pPr>
        <w:numPr>
          <w:ilvl w:val="0"/>
          <w:numId w:val="1006"/>
        </w:numPr>
        <w:pStyle w:val="Compact"/>
      </w:pPr>
      <w:r>
        <w:rPr>
          <w:b/>
        </w:rPr>
        <w:t xml:space="preserve">Title tag :</w:t>
      </w:r>
      <w:r>
        <w:t xml:space="preserve"> </w:t>
      </w:r>
      <w:r>
        <w:t xml:space="preserve">Salon des Maires 2026 — SMCL Paris 24-26 nov., collectivités | Agoris (60 car.)</w:t>
      </w:r>
    </w:p>
    <w:p>
      <w:pPr>
        <w:numPr>
          <w:ilvl w:val="0"/>
          <w:numId w:val="1006"/>
        </w:numPr>
        <w:pStyle w:val="Compact"/>
      </w:pPr>
      <w:r>
        <w:rPr>
          <w:b/>
        </w:rPr>
        <w:t xml:space="preserve">Meta description :</w:t>
      </w:r>
      <w:r>
        <w:t xml:space="preserve"> </w:t>
      </w:r>
      <w:r>
        <w:t xml:space="preserve">Salon des Maires et des Collectivités Locales 2026 à Paris Porte de Versailles : 65 000+ visiteurs dont 21 000 maires. 1 380 exposants. Thème « Boldness is local ». (160 car.)</w:t>
      </w:r>
    </w:p>
    <w:p>
      <w:pPr>
        <w:numPr>
          <w:ilvl w:val="0"/>
          <w:numId w:val="1006"/>
        </w:numPr>
        <w:pStyle w:val="Compact"/>
      </w:pPr>
      <w:r>
        <w:rPr>
          <w:b/>
        </w:rPr>
        <w:t xml:space="preserve">URL :</w:t>
      </w:r>
      <w:r>
        <w:t xml:space="preserve"> </w:t>
      </w:r>
      <w:r>
        <w:t xml:space="preserve">/salons/btp/salon-des-maires-2026</w:t>
      </w:r>
    </w:p>
    <w:p>
      <w:pPr>
        <w:numPr>
          <w:ilvl w:val="0"/>
          <w:numId w:val="1006"/>
        </w:numPr>
        <w:pStyle w:val="Compact"/>
      </w:pPr>
      <w:r>
        <w:rPr>
          <w:b/>
        </w:rPr>
        <w:t xml:space="preserve">Liens internes :</w:t>
      </w:r>
      <w:r>
        <w:t xml:space="preserve"> </w:t>
      </w:r>
      <w:r>
        <w:t xml:space="preserve">fiche Batimat (BTP filière privée vs public), page secteur Collectivités locales, page secteur Construction publique / marchés publics, page Paris Expo Porte de Versailles, page prestataires spécialisés réponse aux appels d’offres publics.</w:t>
      </w:r>
    </w:p>
    <w:p>
      <w:pPr>
        <w:numPr>
          <w:ilvl w:val="0"/>
          <w:numId w:val="1006"/>
        </w:numPr>
        <w:pStyle w:val="Compact"/>
      </w:pPr>
      <w:r>
        <w:rPr>
          <w:b/>
        </w:rPr>
        <w:t xml:space="preserve">Données structurées :</w:t>
      </w:r>
      <w:r>
        <w:t xml:space="preserve"> </w:t>
      </w:r>
      <w:r>
        <w:t xml:space="preserve">Schema.org Event — reprendre les données du Bloc 1 (location.address, organizer = Infopro Digital, startDate / endDate, audience = elected officials and public sector decision-makers, superEvent = Salon des Maires et des Collectivités Locales).</w:t>
      </w:r>
    </w:p>
    <w:p>
      <w:pPr>
        <w:pStyle w:val="FirstParagraph"/>
      </w:pPr>
      <w:r>
        <w:t xml:space="preserve">=== FIN BLOC 10 ===</w:t>
      </w:r>
    </w:p>
    <w:p>
      <w:pPr>
        <w:pStyle w:val="BodyText"/>
      </w:pPr>
      <w:r>
        <w:t xml:space="preserve">=== FIN SALON: SALON DES MAIRES ET DES COLLECTIVITÉS LOCALES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2026-05-25T15:39:01Z</dcterms:created>
  <dcterms:modified xsi:type="dcterms:W3CDTF">2026-05-25T15:39:01Z</dcterms:modified>
</cp:coreProperties>
</file>

<file path=docProps/custom.xml><?xml version="1.0" encoding="utf-8"?>
<Properties xmlns="http://schemas.openxmlformats.org/officeDocument/2006/custom-properties" xmlns:vt="http://schemas.openxmlformats.org/officeDocument/2006/docPropsVTypes"/>
</file>