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SALON: INTERCLIMA ===</w:t>
      </w:r>
    </w:p>
    <w:p>
      <w:pPr>
        <w:pStyle w:val="BodyText"/>
      </w:pPr>
      <w:r>
        <w:t xml:space="preserve">=== BLOC 1 IDENTITÉ ===</w:t>
      </w:r>
    </w:p>
    <w:tbl>
      <w:tblPr>
        <w:tblStyle w:val="Table"/>
        <w:tblW w:type="pct" w:w="5000.0"/>
        <w:tblLook w:firstRow="1" w:lastRow="0" w:firstColumn="0" w:lastColumn="0" w:noHBand="0" w:noVBand="0"/>
      </w:tblPr>
      <w:tblGrid>
        <w:gridCol w:w="3960"/>
        <w:gridCol w:w="3960"/>
      </w:tblGrid>
      <w:tr>
        <w:trPr>
          <w:cnfStyle w:firstRow="1"/>
        </w:trPr>
        <w:tc>
          <w:tcPr>
            <w:tcBorders>
              <w:bottom w:val="single"/>
            </w:tcBorders>
            <w:vAlign w:val="bottom"/>
          </w:tcPr>
          <w:p>
            <w:pPr>
              <w:pStyle w:val="Compact"/>
              <w:jc w:val="left"/>
            </w:pPr>
            <w:r>
              <w:t xml:space="preserve">Champ</w:t>
            </w:r>
          </w:p>
        </w:tc>
        <w:tc>
          <w:tcPr>
            <w:tcBorders>
              <w:bottom w:val="single"/>
            </w:tcBorders>
            <w:vAlign w:val="bottom"/>
          </w:tcPr>
          <w:p>
            <w:pPr>
              <w:pStyle w:val="Compact"/>
              <w:jc w:val="left"/>
            </w:pPr>
            <w:r>
              <w:t xml:space="preserve">Valeur</w:t>
            </w:r>
          </w:p>
        </w:tc>
      </w:tr>
      <w:tr>
        <w:tc>
          <w:p>
            <w:pPr>
              <w:pStyle w:val="Compact"/>
              <w:jc w:val="left"/>
            </w:pPr>
            <w:r>
              <w:t xml:space="preserve">Nom officiel</w:t>
            </w:r>
          </w:p>
        </w:tc>
        <w:tc>
          <w:p>
            <w:pPr>
              <w:pStyle w:val="Compact"/>
              <w:jc w:val="left"/>
            </w:pPr>
            <w:r>
              <w:t xml:space="preserve">Interclima</w:t>
            </w:r>
          </w:p>
        </w:tc>
      </w:tr>
      <w:tr>
        <w:tc>
          <w:p>
            <w:pPr>
              <w:pStyle w:val="Compact"/>
              <w:jc w:val="left"/>
            </w:pPr>
            <w:r>
              <w:t xml:space="preserve">Édition / Année</w:t>
            </w:r>
          </w:p>
        </w:tc>
        <w:tc>
          <w:p>
            <w:pPr>
              <w:pStyle w:val="Compact"/>
              <w:jc w:val="left"/>
            </w:pPr>
            <w:r>
              <w:t xml:space="preserve">Édition 2026</w:t>
            </w:r>
          </w:p>
        </w:tc>
      </w:tr>
      <w:tr>
        <w:tc>
          <w:p>
            <w:pPr>
              <w:pStyle w:val="Compact"/>
              <w:jc w:val="left"/>
            </w:pPr>
            <w:r>
              <w:t xml:space="preserve">Dates</w:t>
            </w:r>
          </w:p>
        </w:tc>
        <w:tc>
          <w:p>
            <w:pPr>
              <w:pStyle w:val="Compact"/>
              <w:jc w:val="left"/>
            </w:pPr>
            <w:r>
              <w:t xml:space="preserve">28 septembre - 1er octobre 2026 (source : interclima.com, chauffage-bois-magazine.fr)</w:t>
            </w:r>
          </w:p>
        </w:tc>
      </w:tr>
      <w:tr>
        <w:tc>
          <w:p>
            <w:pPr>
              <w:pStyle w:val="Compact"/>
              <w:jc w:val="left"/>
            </w:pPr>
            <w:r>
              <w:t xml:space="preserve">Horaires</w:t>
            </w:r>
          </w:p>
        </w:tc>
        <w:tc>
          <w:p>
            <w:pPr>
              <w:pStyle w:val="Compact"/>
              <w:jc w:val="left"/>
            </w:pPr>
            <w:r>
              <w:t xml:space="preserve">9 h 00 - 19 h 00 (source : interclima.com)</w:t>
            </w:r>
          </w:p>
        </w:tc>
      </w:tr>
      <w:tr>
        <w:tc>
          <w:p>
            <w:pPr>
              <w:pStyle w:val="Compact"/>
              <w:jc w:val="left"/>
            </w:pPr>
            <w:r>
              <w:t xml:space="preserve">Lieu</w:t>
            </w:r>
          </w:p>
        </w:tc>
        <w:tc>
          <w:p>
            <w:pPr>
              <w:pStyle w:val="Compact"/>
              <w:jc w:val="left"/>
            </w:pPr>
            <w:r>
              <w:t xml:space="preserve">Paris Expo Porte de Versailles, 1 place de la Porte de Versailles, 75015 Paris</w:t>
            </w:r>
          </w:p>
        </w:tc>
      </w:tr>
      <w:tr>
        <w:tc>
          <w:p>
            <w:pPr>
              <w:pStyle w:val="Compact"/>
              <w:jc w:val="left"/>
            </w:pPr>
            <w:r>
              <w:t xml:space="preserve">Organisateur</w:t>
            </w:r>
          </w:p>
        </w:tc>
        <w:tc>
          <w:p>
            <w:pPr>
              <w:pStyle w:val="Compact"/>
              <w:jc w:val="left"/>
            </w:pPr>
            <w:r>
              <w:t xml:space="preserve">RX France (Reed Exhibitions), pour le compte d’Uniclima (Union des Industries Thermiques, Aérauliques et Frigorifiques) (source : uniclima.fr)</w:t>
            </w:r>
          </w:p>
        </w:tc>
      </w:tr>
      <w:tr>
        <w:tc>
          <w:p>
            <w:pPr>
              <w:pStyle w:val="Compact"/>
              <w:jc w:val="left"/>
            </w:pPr>
            <w:r>
              <w:t xml:space="preserve">Articulation Mondial du Bâtiment</w:t>
            </w:r>
          </w:p>
        </w:tc>
        <w:tc>
          <w:p>
            <w:pPr>
              <w:pStyle w:val="Compact"/>
              <w:jc w:val="left"/>
            </w:pPr>
            <w:r>
              <w:t xml:space="preserve">Interclima est l’un des trois salons du « Mondial du Bâtiment », co-localisé et synchronisé avec Batimat et Idéobain. L’ensemble est rebaptisé « Paris Builders Show » à partir de 2026 (source : genieclimatique.fr). Voir aussi la fiche Batimat.</w:t>
            </w:r>
          </w:p>
        </w:tc>
      </w:tr>
      <w:tr>
        <w:tc>
          <w:p>
            <w:pPr>
              <w:pStyle w:val="Compact"/>
              <w:jc w:val="left"/>
            </w:pPr>
            <w:r>
              <w:t xml:space="preserve">Secteurs / Univers métiers</w:t>
            </w:r>
          </w:p>
        </w:tc>
        <w:tc>
          <w:p>
            <w:pPr>
              <w:pStyle w:val="Compact"/>
              <w:jc w:val="left"/>
            </w:pPr>
            <w:r>
              <w:t xml:space="preserve">4 univers : Chauffage &amp; eau chaude sanitaire, Confort d’été éco-responsable (climatisation), Ventilation &amp; qualité de l’air intérieur (QAI), Fluides, hydraulique, pilotage des réseaux et émetteurs (source : interclima.com)</w:t>
            </w:r>
          </w:p>
        </w:tc>
      </w:tr>
      <w:tr>
        <w:tc>
          <w:p>
            <w:pPr>
              <w:pStyle w:val="Compact"/>
              <w:jc w:val="left"/>
            </w:pPr>
            <w:r>
              <w:t xml:space="preserve">Fréquence</w:t>
            </w:r>
          </w:p>
        </w:tc>
        <w:tc>
          <w:p>
            <w:pPr>
              <w:pStyle w:val="Compact"/>
              <w:jc w:val="left"/>
            </w:pPr>
            <w:r>
              <w:t xml:space="preserve">Bisannuel, années paires (calé sur Batimat)</w:t>
            </w:r>
          </w:p>
        </w:tc>
      </w:tr>
      <w:tr>
        <w:tc>
          <w:p>
            <w:pPr>
              <w:pStyle w:val="Compact"/>
              <w:jc w:val="left"/>
            </w:pPr>
            <w:r>
              <w:t xml:space="preserve">Site officiel</w:t>
            </w:r>
          </w:p>
        </w:tc>
        <w:tc>
          <w:p>
            <w:pPr>
              <w:pStyle w:val="Compact"/>
              <w:jc w:val="left"/>
            </w:pPr>
            <w:r>
              <w:t xml:space="preserve">interclima.com</w:t>
            </w:r>
          </w:p>
        </w:tc>
      </w:tr>
      <w:tr>
        <w:tc>
          <w:p>
            <w:pPr>
              <w:pStyle w:val="Compact"/>
              <w:jc w:val="left"/>
            </w:pPr>
            <w:r>
              <w:t xml:space="preserve">Visiteurs (édition 2024, RX France)</w:t>
            </w:r>
          </w:p>
        </w:tc>
        <w:tc>
          <w:p>
            <w:pPr>
              <w:pStyle w:val="Compact"/>
              <w:jc w:val="left"/>
            </w:pPr>
            <w:r>
              <w:t xml:space="preserve">42 525 sur 4 jours (source : uniclima.fr)</w:t>
            </w:r>
          </w:p>
        </w:tc>
      </w:tr>
      <w:tr>
        <w:tc>
          <w:p>
            <w:pPr>
              <w:pStyle w:val="Compact"/>
              <w:jc w:val="left"/>
            </w:pPr>
            <w:r>
              <w:t xml:space="preserve">Exposants (édition 2024)</w:t>
            </w:r>
          </w:p>
        </w:tc>
        <w:tc>
          <w:p>
            <w:pPr>
              <w:pStyle w:val="Compact"/>
              <w:jc w:val="left"/>
            </w:pPr>
            <w:r>
              <w:t xml:space="preserve">383 (source : uniclima.fr)</w:t>
            </w:r>
          </w:p>
        </w:tc>
      </w:tr>
      <w:tr>
        <w:tc>
          <w:p>
            <w:pPr>
              <w:pStyle w:val="Compact"/>
              <w:jc w:val="left"/>
            </w:pPr>
            <w:r>
              <w:t xml:space="preserve">Exposants 2026 (en cours)</w:t>
            </w:r>
          </w:p>
        </w:tc>
        <w:tc>
          <w:p>
            <w:pPr>
              <w:pStyle w:val="Compact"/>
              <w:jc w:val="left"/>
            </w:pPr>
            <w:r>
              <w:t xml:space="preserve">208 confirmés au 4 février 2026 dont 23 membres Uniclima, 50 % de représentation internationale annoncée (sources : interclima.com, uniclima.fr)</w:t>
            </w:r>
          </w:p>
        </w:tc>
      </w:tr>
      <w:tr>
        <w:tc>
          <w:p>
            <w:pPr>
              <w:pStyle w:val="Compact"/>
              <w:jc w:val="left"/>
            </w:pPr>
            <w:r>
              <w:t xml:space="preserve">Tarif visiteur</w:t>
            </w:r>
          </w:p>
        </w:tc>
        <w:tc>
          <w:p>
            <w:pPr>
              <w:pStyle w:val="Compact"/>
              <w:jc w:val="left"/>
            </w:pPr>
            <w:r>
              <w:t xml:space="preserve">45 € en pré-enregistrement ; gratuit avec code d’invitation exposant (source : interclima.com)</w:t>
            </w:r>
          </w:p>
        </w:tc>
      </w:tr>
      <w:tr>
        <w:tc>
          <w:p>
            <w:pPr>
              <w:pStyle w:val="Compact"/>
              <w:jc w:val="left"/>
            </w:pPr>
            <w:r>
              <w:t xml:space="preserve">Visuel</w:t>
            </w:r>
          </w:p>
        </w:tc>
        <w:tc>
          <w:p>
            <w:pPr>
              <w:pStyle w:val="Compact"/>
              <w:jc w:val="left"/>
            </w:pPr>
            <w:r>
              <w:t xml:space="preserve">Donnée non disponible pour cette édition.</w:t>
            </w:r>
          </w:p>
        </w:tc>
      </w:tr>
    </w:tbl>
    <w:p>
      <w:pPr>
        <w:pStyle w:val="BodyText"/>
      </w:pPr>
      <w:r>
        <w:t xml:space="preserve">=== FIN BLOC 1 ===</w:t>
      </w:r>
    </w:p>
    <w:p>
      <w:pPr>
        <w:pStyle w:val="BodyText"/>
      </w:pPr>
      <w:r>
        <w:t xml:space="preserve">=== BLOC 2 ESSENTIEL ===</w:t>
      </w:r>
    </w:p>
    <w:p>
      <w:pPr>
        <w:numPr>
          <w:ilvl w:val="0"/>
          <w:numId w:val="1001"/>
        </w:numPr>
      </w:pPr>
      <w:r>
        <w:t xml:space="preserve">Interclima 2026 se tient simultanément avec Batimat et Idéobain au Mondial du Bâtiment (rebaptisé « Paris Builders Show ») du 28 septembre au 1er octobre 2026 (source : genieclimatique.fr) → exposer Interclima n’a pas le même périmètre commercial qu’exposer Batimat : c’est un sous-segment spécialisé génie climatique, pas le BTP entier.</w:t>
      </w:r>
    </w:p>
    <w:p>
      <w:pPr>
        <w:numPr>
          <w:ilvl w:val="0"/>
          <w:numId w:val="1001"/>
        </w:numPr>
      </w:pPr>
      <w:r>
        <w:t xml:space="preserve">42 525 visiteurs sur l’édition 2024 (4 jours), quasi identique à 2022 (42 506) (source : uniclima.fr) → trafic visiteurs stable sur 2 cycles bisannuels, malgré un contexte de transition énergétique en pleine accélération.</w:t>
      </w:r>
    </w:p>
    <w:p>
      <w:pPr>
        <w:numPr>
          <w:ilvl w:val="0"/>
          <w:numId w:val="1001"/>
        </w:numPr>
      </w:pPr>
      <w:r>
        <w:t xml:space="preserve">383 exposants en 2024, 208 confirmés au 4 février 2026 dont 50 % d’internationaux annoncés (sources : uniclima.fr, interclima.com) → la part internationale très élevée à 50 % distingue Interclima de Batimat (15 % d’internationaux côté Batimat, à recouper), elle reflète la dimension industrielle européenne du génie climatique.</w:t>
      </w:r>
    </w:p>
    <w:p>
      <w:pPr>
        <w:numPr>
          <w:ilvl w:val="0"/>
          <w:numId w:val="1001"/>
        </w:numPr>
      </w:pPr>
      <w:r>
        <w:t xml:space="preserve">Salon possédé par Uniclima (syndicat professionnel) et organisé par RX France (Reed Exhibitions) (source : uniclima.fr) → schéma d’organisation différent d’un salon RX classique : Uniclima impose les orientations stratégiques (transitions énergétique et bas carbone), RX exécute la production.</w:t>
      </w:r>
    </w:p>
    <w:p>
      <w:pPr>
        <w:numPr>
          <w:ilvl w:val="0"/>
          <w:numId w:val="1001"/>
        </w:numPr>
      </w:pPr>
      <w:r>
        <w:t xml:space="preserve">4 univers métiers structurent l’offre (chauffage, confort d’été, ventilation / QAI, fluides hydrauliques) (source : interclima.com) → un exposant qui cible uniquement un univers (ex. PAC seules) peut isoler son investissement à un seul village du salon.</w:t>
      </w:r>
    </w:p>
    <w:p>
      <w:pPr>
        <w:pStyle w:val="FirstParagraph"/>
      </w:pPr>
      <w:r>
        <w:t xml:space="preserve">=== FIN BLOC 2 ===</w:t>
      </w:r>
    </w:p>
    <w:p>
      <w:pPr>
        <w:pStyle w:val="BodyText"/>
      </w:pPr>
      <w:r>
        <w:t xml:space="preserve">=== BLOC 4 ANALYSE EXPOSANTS ===</w:t>
      </w:r>
    </w:p>
    <w:p>
      <w:pPr>
        <w:pStyle w:val="BodyText"/>
      </w:pPr>
      <w:r>
        <w:rPr>
          <w:b/>
        </w:rPr>
        <w:t xml:space="preserve">Profil type :</w:t>
      </w:r>
    </w:p>
    <w:p>
      <w:pPr>
        <w:pStyle w:val="BodyText"/>
      </w:pPr>
      <w:r>
        <w:t xml:space="preserve">Industriels du génie climatique, fabricants de chaudières, pompes à chaleur, systèmes de ventilation et qualité d’air intérieur, fluides frigorigènes, hydraulique des réseaux. Forte présence d’industriels européens (50 % d’exposants internationaux annoncés pour 2026, source : interclima.com).</w:t>
      </w:r>
    </w:p>
    <w:p>
      <w:pPr>
        <w:pStyle w:val="BodyText"/>
      </w:pPr>
      <w:r>
        <w:rPr>
          <w:b/>
        </w:rPr>
        <w:t xml:space="preserve">Exposants notables :</w:t>
      </w:r>
    </w:p>
    <w:p>
      <w:pPr>
        <w:pStyle w:val="BodyText"/>
      </w:pPr>
      <w:r>
        <w:t xml:space="preserve">Donnée non disponible pour cette édition. La liste complète exposants 2026 (208 confirmés au 4 février 2026) n’est pas publique. À actualiser depuis interclima.com/fr-fr/qui-participe/liste-des-exposants.html à mesure des annonces.</w:t>
      </w:r>
    </w:p>
    <w:p>
      <w:pPr>
        <w:pStyle w:val="BodyText"/>
      </w:pPr>
      <w:r>
        <w:rPr>
          <w:b/>
        </w:rPr>
        <w:t xml:space="preserve">Taux de fidélisation :</w:t>
      </w:r>
    </w:p>
    <w:p>
      <w:pPr>
        <w:pStyle w:val="BodyText"/>
      </w:pPr>
      <w:r>
        <w:t xml:space="preserve">Donnée non disponible pour cette édition.</w:t>
      </w:r>
    </w:p>
    <w:p>
      <w:pPr>
        <w:pStyle w:val="BodyText"/>
      </w:pPr>
      <w:r>
        <w:rPr>
          <w:b/>
        </w:rPr>
        <w:t xml:space="preserve">Qualité visitorat :</w:t>
      </w:r>
    </w:p>
    <w:p>
      <w:pPr>
        <w:pStyle w:val="BodyText"/>
      </w:pPr>
      <w:r>
        <w:t xml:space="preserve">Donnée non disponible pour cette édition au niveau des pourcentages décisionnaires / professions / origine géographique. À noter : Interclima étant co-localisé avec Batimat, le visitorat partagé est en grande partie celui du Mondial du Bâtiment, qui mesurait 85 % de visiteurs français dont 45 % d’Île-de-France sur l’édition Batimat 2024 (source : pilote Batimat).</w:t>
      </w:r>
    </w:p>
    <w:p>
      <w:pPr>
        <w:pStyle w:val="BodyText"/>
      </w:pPr>
      <w:r>
        <w:t xml:space="preserve">=== FIN BLOC 4 ===</w:t>
      </w:r>
    </w:p>
    <w:p>
      <w:pPr>
        <w:pStyle w:val="BodyText"/>
      </w:pPr>
      <w:r>
        <w:t xml:space="preserve">=== BLOC 5 VIE DU SALON ===</w:t>
      </w:r>
    </w:p>
    <w:p>
      <w:pPr>
        <w:pStyle w:val="BodyText"/>
      </w:pPr>
      <w:r>
        <w:rPr>
          <w:b/>
        </w:rPr>
        <w:t xml:space="preserve">Programme conférences :</w:t>
      </w:r>
    </w:p>
    <w:p>
      <w:pPr>
        <w:pStyle w:val="BodyText"/>
      </w:pPr>
      <w:r>
        <w:t xml:space="preserve">Programmation 2026 articulée autour de 3 axes annoncés : décarbonation, qualité de l’air intérieur, performance énergétique des bâtiments tertiaires (source : interclima.com). Pour 2024, l’ensemble Mondial du Bâtiment a comptabilisé environ 450 conférences sur 4 jours (sources : pilote Batimat, interclima.com). Donnée non disponible pour le nombre exact de conférences Interclima 2026.</w:t>
      </w:r>
    </w:p>
    <w:p>
      <w:pPr>
        <w:pStyle w:val="BodyText"/>
      </w:pPr>
      <w:r>
        <w:rPr>
          <w:b/>
        </w:rPr>
        <w:t xml:space="preserve">Prix &amp; récompenses :</w:t>
      </w:r>
    </w:p>
    <w:p>
      <w:pPr>
        <w:pStyle w:val="BodyText"/>
      </w:pPr>
      <w:r>
        <w:t xml:space="preserve">« Innovation Awards Interclima » — concours d’innovation produit avec 54 entreprises participantes en 2024, 6 lauréats sélectionnés. Catégorie créée en 2024 : « Génie climatique tertiaire » (source : uniclima.fr). Les pitchs des lauréats sont restitués dans un espace dédié sur le salon.</w:t>
      </w:r>
    </w:p>
    <w:p>
      <w:pPr>
        <w:pStyle w:val="BodyText"/>
      </w:pPr>
      <w:r>
        <w:rPr>
          <w:b/>
        </w:rPr>
        <w:t xml:space="preserve">Événements satellites :</w:t>
      </w:r>
    </w:p>
    <w:p>
      <w:pPr>
        <w:pStyle w:val="BodyText"/>
      </w:pPr>
      <w:r>
        <w:t xml:space="preserve">Espace start-ups du génie climatique avec pitchs Innovation Awards. Villages thématiques annoncés pour 2026 : Chaudières Biomasse, Solaire Thermique, Solutions Tertiaires (source : interclima.com). Donnée non disponible pour les soirées professionnelles et networking dédiés.</w:t>
      </w:r>
    </w:p>
    <w:p>
      <w:pPr>
        <w:pStyle w:val="BodyText"/>
      </w:pPr>
      <w:r>
        <w:rPr>
          <w:b/>
        </w:rPr>
        <w:t xml:space="preserve">Communauté &amp; réseaux :</w:t>
      </w:r>
    </w:p>
    <w:p>
      <w:pPr>
        <w:pStyle w:val="BodyText"/>
      </w:pPr>
      <w:r>
        <w:t xml:space="preserve">Propriétaire du salon : Uniclima (Union des Industries Thermiques, Aérauliques et Frigorifiques) (source : uniclima.fr). Partenariats institutionnels avec les fédérations professionnelles du chauffage et de la ventilation (SYNASAV, Flamme Verte, etc.) — présence régulière sur les éditions (sources : synasav.fr, flammeverte.org). Presse spécialisée habituellement présente : Le Génie Climatique, Chauffage Bois Magazine, Organilog Froid (source : couverture presse récurrente).</w:t>
      </w:r>
    </w:p>
    <w:p>
      <w:pPr>
        <w:pStyle w:val="BodyText"/>
      </w:pPr>
      <w:r>
        <w:rPr>
          <w:b/>
        </w:rPr>
        <w:t xml:space="preserve">Nouveautés édition à venir :</w:t>
      </w:r>
    </w:p>
    <w:p>
      <w:pPr>
        <w:pStyle w:val="BodyText"/>
      </w:pPr>
      <w:r>
        <w:t xml:space="preserve">Rebranding du Mondial du Bâtiment en « Paris Builders Show » à partir de 2026 — articulation visuelle et événementielle unifiée entre Batimat, Interclima et Idéobain (source : genieclimatique.fr). Donnée non disponible pour les autres nouveautés annoncées sur le périmètre Interclima.</w:t>
      </w:r>
    </w:p>
    <w:p>
      <w:pPr>
        <w:pStyle w:val="BodyText"/>
      </w:pPr>
      <w:r>
        <w:t xml:space="preserve">=== FIN BLOC 5 ===</w:t>
      </w:r>
    </w:p>
    <w:p>
      <w:pPr>
        <w:pStyle w:val="BodyText"/>
      </w:pPr>
      <w:r>
        <w:t xml:space="preserve">=== BLOC 6 LOGISTIQUE ===</w:t>
      </w:r>
    </w:p>
    <w:p>
      <w:pPr>
        <w:numPr>
          <w:ilvl w:val="0"/>
          <w:numId w:val="1002"/>
        </w:numPr>
      </w:pPr>
      <w:r>
        <w:rPr>
          <w:b/>
        </w:rPr>
        <w:t xml:space="preserve">Lieu :</w:t>
      </w:r>
      <w:r>
        <w:t xml:space="preserve"> </w:t>
      </w:r>
      <w:r>
        <w:t xml:space="preserve">Paris Expo Porte de Versailles, 1 place de la Porte de Versailles, 75015 Paris (source : interclima.com). Interclima occupe une partie du parc en partage avec Batimat et Idéobain.</w:t>
      </w:r>
    </w:p>
    <w:p>
      <w:pPr>
        <w:numPr>
          <w:ilvl w:val="0"/>
          <w:numId w:val="1002"/>
        </w:numPr>
      </w:pPr>
      <w:r>
        <w:rPr>
          <w:b/>
        </w:rPr>
        <w:t xml:space="preserve">Accès transport :</w:t>
      </w:r>
      <w:r>
        <w:t xml:space="preserve"> </w:t>
      </w:r>
      <w:r>
        <w:t xml:space="preserve">Métro ligne 12 (station Porte de Versailles) et ligne 8 (Balard). Tramway T2 et T3a. Bus 39, 80. En période Mondial du Bâtiment, prévoir 30 à 45 minutes de marge depuis le centre de Paris à cause de l’affluence (source : pilote Batimat, applicable).</w:t>
      </w:r>
    </w:p>
    <w:p>
      <w:pPr>
        <w:numPr>
          <w:ilvl w:val="0"/>
          <w:numId w:val="1002"/>
        </w:numPr>
      </w:pPr>
      <w:r>
        <w:rPr>
          <w:b/>
        </w:rPr>
        <w:t xml:space="preserve">Parking :</w:t>
      </w:r>
      <w:r>
        <w:t xml:space="preserve"> </w:t>
      </w:r>
      <w:r>
        <w:t xml:space="preserve">Parkings du Parc Expo (payant) et alentours. Saturation prévisible les premiers jours du salon en raison de l’affluence cumulée Batimat + Interclima + Idéobain.</w:t>
      </w:r>
    </w:p>
    <w:p>
      <w:pPr>
        <w:numPr>
          <w:ilvl w:val="0"/>
          <w:numId w:val="1002"/>
        </w:numPr>
      </w:pPr>
      <w:r>
        <w:rPr>
          <w:b/>
        </w:rPr>
        <w:t xml:space="preserve">Hébergement :</w:t>
      </w:r>
      <w:r>
        <w:t xml:space="preserve"> </w:t>
      </w:r>
      <w:r>
        <w:t xml:space="preserve">Secteur 15e arrondissement (Convention, Vaugirard) prioritaire pour la proximité. Réservation 4 à 6 mois à l’avance recommandée : la semaine Mondial du Bâtiment mobilise la filière nationale et internationale (source : pilote Batimat, applicable à Interclima).</w:t>
      </w:r>
    </w:p>
    <w:p>
      <w:pPr>
        <w:numPr>
          <w:ilvl w:val="0"/>
          <w:numId w:val="1002"/>
        </w:numPr>
      </w:pPr>
      <w:r>
        <w:rPr>
          <w:b/>
        </w:rPr>
        <w:t xml:space="preserve">Horaires :</w:t>
      </w:r>
      <w:r>
        <w:t xml:space="preserve"> </w:t>
      </w:r>
      <w:r>
        <w:t xml:space="preserve">9 h 00 - 19 h 00 sur 4 jours (source : interclima.com). Horaires montage / démontage non précisés publiquement.</w:t>
      </w:r>
    </w:p>
    <w:p>
      <w:pPr>
        <w:numPr>
          <w:ilvl w:val="0"/>
          <w:numId w:val="1002"/>
        </w:numPr>
      </w:pPr>
      <w:r>
        <w:rPr>
          <w:b/>
        </w:rPr>
        <w:t xml:space="preserve">Badge visiteur :</w:t>
      </w:r>
      <w:r>
        <w:t xml:space="preserve"> </w:t>
      </w:r>
      <w:r>
        <w:t xml:space="preserve">45 € en pré-enregistrement (source : interclima.com). Code d’invitation gratuit auprès d’un exposant. Badge donne accès aux 3 salons du Mondial du Bâtiment (Batimat + Interclima + Idéobain) (source : interclima.com).</w:t>
      </w:r>
    </w:p>
    <w:p>
      <w:pPr>
        <w:numPr>
          <w:ilvl w:val="0"/>
          <w:numId w:val="1002"/>
        </w:numPr>
      </w:pPr>
      <w:r>
        <w:rPr>
          <w:b/>
        </w:rPr>
        <w:t xml:space="preserve">Services :</w:t>
      </w:r>
      <w:r>
        <w:t xml:space="preserve"> </w:t>
      </w:r>
      <w:r>
        <w:t xml:space="preserve">Application officielle du Mondial du Bâtiment (sources : pilote Batimat, interclima.com). Restauration sur site dans chaque hall. Donnée non disponible pour les espaces networking spécifiques Interclima.</w:t>
      </w:r>
    </w:p>
    <w:p>
      <w:pPr>
        <w:pStyle w:val="FirstParagraph"/>
      </w:pPr>
      <w:r>
        <w:t xml:space="preserve">=== FIN BLOC 6 ===</w:t>
      </w:r>
    </w:p>
    <w:p>
      <w:pPr>
        <w:pStyle w:val="BodyText"/>
      </w:pPr>
      <w:r>
        <w:t xml:space="preserve">=== BLOC 7 BUDGET EXPOSANT ===</w:t>
      </w:r>
    </w:p>
    <w:p>
      <w:pPr>
        <w:pStyle w:val="BodyText"/>
      </w:pPr>
      <w:r>
        <w:t xml:space="preserve">Tarifs exposants non publiés sur interclima.com. Devis sur demande à RX France (organisateur) — contact via la page exposants d’interclima.com.</w:t>
      </w:r>
    </w:p>
    <w:tbl>
      <w:tblPr>
        <w:tblStyle w:val="Table"/>
        <w:tblW w:type="pct" w:w="5000.0"/>
        <w:tblLook w:firstRow="1" w:lastRow="0" w:firstColumn="0" w:lastColumn="0" w:noHBand="0" w:noVBand="0"/>
      </w:tblPr>
      <w:tblGrid>
        <w:gridCol w:w="2640"/>
        <w:gridCol w:w="2640"/>
        <w:gridCol w:w="2640"/>
      </w:tblGrid>
      <w:tr>
        <w:trPr>
          <w:cnfStyle w:firstRow="1"/>
        </w:trPr>
        <w:tc>
          <w:tcPr>
            <w:tcBorders>
              <w:bottom w:val="single"/>
            </w:tcBorders>
            <w:vAlign w:val="bottom"/>
          </w:tcPr>
          <w:p>
            <w:pPr>
              <w:pStyle w:val="Compact"/>
              <w:jc w:val="left"/>
            </w:pPr>
            <w:r>
              <w:t xml:space="preserve">Poste de dépense</w:t>
            </w:r>
          </w:p>
        </w:tc>
        <w:tc>
          <w:tcPr>
            <w:tcBorders>
              <w:bottom w:val="single"/>
            </w:tcBorders>
            <w:vAlign w:val="bottom"/>
          </w:tcPr>
          <w:p>
            <w:pPr>
              <w:pStyle w:val="Compact"/>
              <w:jc w:val="left"/>
            </w:pPr>
            <w:r>
              <w:t xml:space="preserve">Fourchette basse</w:t>
            </w:r>
          </w:p>
        </w:tc>
        <w:tc>
          <w:tcPr>
            <w:tcBorders>
              <w:bottom w:val="single"/>
            </w:tcBorders>
            <w:vAlign w:val="bottom"/>
          </w:tcPr>
          <w:p>
            <w:pPr>
              <w:pStyle w:val="Compact"/>
              <w:jc w:val="left"/>
            </w:pPr>
            <w:r>
              <w:t xml:space="preserve">Fourchette haute</w:t>
            </w:r>
          </w:p>
        </w:tc>
      </w:tr>
      <w:tr>
        <w:tc>
          <w:p>
            <w:pPr>
              <w:pStyle w:val="Compact"/>
              <w:jc w:val="left"/>
            </w:pPr>
            <w:r>
              <w:t xml:space="preserve">Location stand nu (m²)</w:t>
            </w:r>
          </w:p>
        </w:tc>
        <w:tc>
          <w:p>
            <w:pPr>
              <w:pStyle w:val="Compact"/>
              <w:jc w:val="left"/>
            </w:pPr>
            <w:r>
              <w:t xml:space="preserve">Donnée non disponible pour cette édition.</w:t>
            </w:r>
          </w:p>
        </w:tc>
        <w:tc>
          <w:p>
            <w:pPr>
              <w:pStyle w:val="Compact"/>
              <w:jc w:val="left"/>
            </w:pPr>
            <w:r>
              <w:t xml:space="preserve">Donnée non disponible pour cette édition.</w:t>
            </w:r>
          </w:p>
        </w:tc>
      </w:tr>
      <w:tr>
        <w:tc>
          <w:p>
            <w:pPr>
              <w:pStyle w:val="Compact"/>
              <w:jc w:val="left"/>
            </w:pPr>
            <w:r>
              <w:t xml:space="preserve">Aménagement / construction stand</w:t>
            </w:r>
          </w:p>
        </w:tc>
        <w:tc>
          <w:p>
            <w:pPr>
              <w:pStyle w:val="Compact"/>
              <w:jc w:val="left"/>
            </w:pPr>
            <w:r>
              <w:t xml:space="preserve">Donnée non disponible pour cette édition.</w:t>
            </w:r>
          </w:p>
        </w:tc>
        <w:tc>
          <w:p>
            <w:pPr>
              <w:pStyle w:val="Compact"/>
              <w:jc w:val="left"/>
            </w:pPr>
            <w:r>
              <w:t xml:space="preserve">Donnée non disponible pour cette édition.</w:t>
            </w:r>
          </w:p>
        </w:tc>
      </w:tr>
      <w:tr>
        <w:tc>
          <w:p>
            <w:pPr>
              <w:pStyle w:val="Compact"/>
              <w:jc w:val="left"/>
            </w:pPr>
            <w:r>
              <w:t xml:space="preserve">Frais annexes organisateur</w:t>
            </w:r>
          </w:p>
        </w:tc>
        <w:tc>
          <w:p>
            <w:pPr>
              <w:pStyle w:val="Compact"/>
              <w:jc w:val="left"/>
            </w:pPr>
            <w:r>
              <w:t xml:space="preserve">Donnée non disponible pour cette édition.</w:t>
            </w:r>
          </w:p>
        </w:tc>
        <w:tc>
          <w:p>
            <w:pPr>
              <w:pStyle w:val="Compact"/>
              <w:jc w:val="left"/>
            </w:pPr>
            <w:r>
              <w:t xml:space="preserve">Donnée non disponible pour cette édition.</w:t>
            </w:r>
          </w:p>
        </w:tc>
      </w:tr>
      <w:tr>
        <w:tc>
          <w:p>
            <w:pPr>
              <w:pStyle w:val="Compact"/>
              <w:jc w:val="left"/>
            </w:pPr>
            <w:r>
              <w:t xml:space="preserve">Personnel (déplacement + hôtel)</w:t>
            </w:r>
          </w:p>
        </w:tc>
        <w:tc>
          <w:p>
            <w:pPr>
              <w:pStyle w:val="Compact"/>
              <w:jc w:val="left"/>
            </w:pPr>
            <w:r>
              <w:t xml:space="preserve">Donnée non disponible pour cette édition.</w:t>
            </w:r>
          </w:p>
        </w:tc>
        <w:tc>
          <w:p>
            <w:pPr>
              <w:pStyle w:val="Compact"/>
              <w:jc w:val="left"/>
            </w:pPr>
            <w:r>
              <w:t xml:space="preserve">Donnée non disponible pour cette édition.</w:t>
            </w:r>
          </w:p>
        </w:tc>
      </w:tr>
      <w:tr>
        <w:tc>
          <w:p>
            <w:pPr>
              <w:pStyle w:val="Compact"/>
              <w:jc w:val="left"/>
            </w:pPr>
            <w:r>
              <w:t xml:space="preserve">Supports et communication</w:t>
            </w:r>
          </w:p>
        </w:tc>
        <w:tc>
          <w:p>
            <w:pPr>
              <w:pStyle w:val="Compact"/>
              <w:jc w:val="left"/>
            </w:pPr>
            <w:r>
              <w:t xml:space="preserve">Donnée non disponible pour cette édition.</w:t>
            </w:r>
          </w:p>
        </w:tc>
        <w:tc>
          <w:p>
            <w:pPr>
              <w:pStyle w:val="Compact"/>
              <w:jc w:val="left"/>
            </w:pPr>
            <w:r>
              <w:t xml:space="preserve">Donnée non disponible pour cette édition.</w:t>
            </w:r>
          </w:p>
        </w:tc>
      </w:tr>
      <w:tr>
        <w:tc>
          <w:p>
            <w:pPr>
              <w:pStyle w:val="Compact"/>
              <w:jc w:val="left"/>
            </w:pPr>
            <w:r>
              <w:rPr>
                <w:b/>
              </w:rPr>
              <w:t xml:space="preserve">TOTAL ESTIMÉ</w:t>
            </w:r>
          </w:p>
        </w:tc>
        <w:tc>
          <w:p>
            <w:pPr>
              <w:pStyle w:val="Compact"/>
              <w:jc w:val="left"/>
            </w:pPr>
            <w:r>
              <w:rPr>
                <w:b/>
              </w:rPr>
              <w:t xml:space="preserve">Donnée non disponible pour cette édition.</w:t>
            </w:r>
          </w:p>
        </w:tc>
        <w:tc>
          <w:p>
            <w:pPr>
              <w:pStyle w:val="Compact"/>
              <w:jc w:val="left"/>
            </w:pPr>
            <w:r>
              <w:rPr>
                <w:b/>
              </w:rPr>
              <w:t xml:space="preserve">Donnée non disponible pour cette édition.</w:t>
            </w:r>
          </w:p>
        </w:tc>
      </w:tr>
    </w:tbl>
    <w:p>
      <w:pPr>
        <w:pStyle w:val="BodyText"/>
      </w:pPr>
      <w:r>
        <w:t xml:space="preserve">Note : Interclima étant co-localisé avec Batimat et organisé par RX France comme Batimat, les fourchettes au m² sont probablement proches de celles de Batimat (250 - 400 €/m² stand nu sur Batimat 2026, source : cimbat.com via le pilote Batimat). À confirmer par devis Interclima direct, car la structure tarifaire Interclima n’a pas été recoupée publiquement à ce jour.</w:t>
      </w:r>
    </w:p>
    <w:p>
      <w:pPr>
        <w:pStyle w:val="BodyText"/>
      </w:pPr>
      <w:r>
        <w:t xml:space="preserve">=== FIN BLOC 7 ===</w:t>
      </w:r>
    </w:p>
    <w:p>
      <w:pPr>
        <w:pStyle w:val="BodyText"/>
      </w:pPr>
      <w:r>
        <w:t xml:space="preserve">=== BLOC 8 PRÉPARER SA VENUE ===</w:t>
      </w:r>
    </w:p>
    <w:p>
      <w:pPr>
        <w:pStyle w:val="BodyText"/>
      </w:pPr>
      <w:r>
        <w:rPr>
          <w:b/>
        </w:rPr>
        <w:t xml:space="preserve">Pour l’exposant — calendrier type :</w:t>
      </w:r>
    </w:p>
    <w:p>
      <w:pPr>
        <w:numPr>
          <w:ilvl w:val="0"/>
          <w:numId w:val="1003"/>
        </w:numPr>
        <w:pStyle w:val="Compact"/>
      </w:pPr>
      <w:r>
        <w:t xml:space="preserve">J-18 mois (printemps N-1) : prise de contact RX France, demande de devis, candidature aux Innovation Awards Interclima (concours ouvert plusieurs mois en amont).</w:t>
      </w:r>
    </w:p>
    <w:p>
      <w:pPr>
        <w:numPr>
          <w:ilvl w:val="0"/>
          <w:numId w:val="1003"/>
        </w:numPr>
        <w:pStyle w:val="Compact"/>
      </w:pPr>
      <w:r>
        <w:t xml:space="preserve">J-12 mois : validation concept stand, sélection univers métier(s) ciblé(s), brief constructeur.</w:t>
      </w:r>
    </w:p>
    <w:p>
      <w:pPr>
        <w:numPr>
          <w:ilvl w:val="0"/>
          <w:numId w:val="1003"/>
        </w:numPr>
        <w:pStyle w:val="Compact"/>
      </w:pPr>
      <w:r>
        <w:t xml:space="preserve">J-6 mois : plan stand définitif, commande construction, logistique matériaux.</w:t>
      </w:r>
    </w:p>
    <w:p>
      <w:pPr>
        <w:numPr>
          <w:ilvl w:val="0"/>
          <w:numId w:val="1003"/>
        </w:numPr>
        <w:pStyle w:val="Compact"/>
      </w:pPr>
      <w:r>
        <w:t xml:space="preserve">J-3 mois : accréditations équipe, hébergement (réserver tôt, mobilisation Mondial du Bâtiment).</w:t>
      </w:r>
    </w:p>
    <w:p>
      <w:pPr>
        <w:numPr>
          <w:ilvl w:val="0"/>
          <w:numId w:val="1003"/>
        </w:numPr>
        <w:pStyle w:val="Compact"/>
      </w:pPr>
      <w:r>
        <w:t xml:space="preserve">J-6 semaines : livraison supports, brief final, activation app Mondial du Bâtiment.</w:t>
      </w:r>
    </w:p>
    <w:p>
      <w:pPr>
        <w:pStyle w:val="FirstParagraph"/>
      </w:pPr>
      <w:r>
        <w:rPr>
          <w:b/>
        </w:rPr>
        <w:t xml:space="preserve">Pour le visiteur décideur :</w:t>
      </w:r>
    </w:p>
    <w:p>
      <w:pPr>
        <w:numPr>
          <w:ilvl w:val="0"/>
          <w:numId w:val="1004"/>
        </w:numPr>
        <w:pStyle w:val="Compact"/>
      </w:pPr>
      <w:r>
        <w:t xml:space="preserve">Demander un code d’invitation gratuit à un exposant Interclima ou Batimat plutôt que de payer le badge 45 €.</w:t>
      </w:r>
    </w:p>
    <w:p>
      <w:pPr>
        <w:numPr>
          <w:ilvl w:val="0"/>
          <w:numId w:val="1004"/>
        </w:numPr>
        <w:pStyle w:val="Compact"/>
      </w:pPr>
      <w:r>
        <w:t xml:space="preserve">Identifier les conférences prioritaires parmi celles du Mondial du Bâtiment (450 environ en 2024) — programme sur interclima.com plusieurs semaines avant.</w:t>
      </w:r>
    </w:p>
    <w:p>
      <w:pPr>
        <w:numPr>
          <w:ilvl w:val="0"/>
          <w:numId w:val="1004"/>
        </w:numPr>
        <w:pStyle w:val="Compact"/>
      </w:pPr>
      <w:r>
        <w:t xml:space="preserve">Prévoir 1 jour minimum pour Interclima seul, 2 jours si la visite couvre aussi Batimat (recommandé pour la filière construction complète).</w:t>
      </w:r>
    </w:p>
    <w:p>
      <w:pPr>
        <w:numPr>
          <w:ilvl w:val="0"/>
          <w:numId w:val="1004"/>
        </w:numPr>
        <w:pStyle w:val="Compact"/>
      </w:pPr>
      <w:r>
        <w:t xml:space="preserve">Le badge ouvre l’accès aux 3 salons Mondial du Bâtiment : organiser le parcours en conséquence.</w:t>
      </w:r>
    </w:p>
    <w:p>
      <w:pPr>
        <w:pStyle w:val="FirstParagraph"/>
      </w:pPr>
      <w:r>
        <w:t xml:space="preserve">=== FIN BLOC 8 ===</w:t>
      </w:r>
    </w:p>
    <w:p>
      <w:pPr>
        <w:pStyle w:val="BodyText"/>
      </w:pPr>
      <w:r>
        <w:t xml:space="preserve">=== BLOC 9 HISTORIQUE ===</w:t>
      </w:r>
    </w:p>
    <w:tbl>
      <w:tblPr>
        <w:tblStyle w:val="Table"/>
        <w:tblW w:type="pct" w:w="5000.0"/>
        <w:tblLook w:firstRow="1" w:lastRow="0" w:firstColumn="0" w:lastColumn="0" w:noHBand="0" w:noVBand="0"/>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Édition</w:t>
            </w:r>
          </w:p>
        </w:tc>
        <w:tc>
          <w:tcPr>
            <w:tcBorders>
              <w:bottom w:val="single"/>
            </w:tcBorders>
            <w:vAlign w:val="bottom"/>
          </w:tcPr>
          <w:p>
            <w:pPr>
              <w:pStyle w:val="Compact"/>
              <w:jc w:val="left"/>
            </w:pPr>
            <w:r>
              <w:t xml:space="preserve">Année</w:t>
            </w:r>
          </w:p>
        </w:tc>
        <w:tc>
          <w:tcPr>
            <w:tcBorders>
              <w:bottom w:val="single"/>
            </w:tcBorders>
            <w:vAlign w:val="bottom"/>
          </w:tcPr>
          <w:p>
            <w:pPr>
              <w:pStyle w:val="Compact"/>
              <w:jc w:val="left"/>
            </w:pPr>
            <w:r>
              <w:t xml:space="preserve">Visiteurs Interclima</w:t>
            </w:r>
          </w:p>
        </w:tc>
        <w:tc>
          <w:tcPr>
            <w:tcBorders>
              <w:bottom w:val="single"/>
            </w:tcBorders>
            <w:vAlign w:val="bottom"/>
          </w:tcPr>
          <w:p>
            <w:pPr>
              <w:pStyle w:val="Compact"/>
              <w:jc w:val="left"/>
            </w:pPr>
            <w:r>
              <w:t xml:space="preserve">Exposants Interclima</w:t>
            </w:r>
          </w:p>
        </w:tc>
        <w:tc>
          <w:tcPr>
            <w:tcBorders>
              <w:bottom w:val="single"/>
            </w:tcBorders>
            <w:vAlign w:val="bottom"/>
          </w:tcPr>
          <w:p>
            <w:pPr>
              <w:pStyle w:val="Compact"/>
              <w:jc w:val="left"/>
            </w:pPr>
            <w:r>
              <w:t xml:space="preserve">Contexte</w:t>
            </w:r>
          </w:p>
        </w:tc>
      </w:tr>
      <w:tr>
        <w:tc>
          <w:p>
            <w:pPr>
              <w:pStyle w:val="Compact"/>
              <w:jc w:val="left"/>
            </w:pPr>
            <w:r>
              <w:t xml:space="preserve">À venir</w:t>
            </w:r>
          </w:p>
        </w:tc>
        <w:tc>
          <w:p>
            <w:pPr>
              <w:pStyle w:val="Compact"/>
              <w:jc w:val="left"/>
            </w:pPr>
            <w:r>
              <w:t xml:space="preserve">2026</w:t>
            </w:r>
          </w:p>
        </w:tc>
        <w:tc>
          <w:p>
            <w:pPr>
              <w:pStyle w:val="Compact"/>
              <w:jc w:val="left"/>
            </w:pPr>
            <w:r>
              <w:t xml:space="preserve">À mesurer</w:t>
            </w:r>
          </w:p>
        </w:tc>
        <w:tc>
          <w:p>
            <w:pPr>
              <w:pStyle w:val="Compact"/>
              <w:jc w:val="left"/>
            </w:pPr>
            <w:r>
              <w:t xml:space="preserve">208 confirmés au 4 février 2026 (source : interclima.com)</w:t>
            </w:r>
          </w:p>
        </w:tc>
        <w:tc>
          <w:p>
            <w:pPr>
              <w:pStyle w:val="Compact"/>
              <w:jc w:val="left"/>
            </w:pPr>
            <w:r>
              <w:t xml:space="preserve">Rebranding Paris Builders Show</w:t>
            </w:r>
          </w:p>
        </w:tc>
      </w:tr>
      <w:tr>
        <w:tc>
          <w:p>
            <w:pPr>
              <w:pStyle w:val="Compact"/>
              <w:jc w:val="left"/>
            </w:pPr>
            <w:r>
              <w:t xml:space="preserve">35e</w:t>
            </w:r>
          </w:p>
        </w:tc>
        <w:tc>
          <w:p>
            <w:pPr>
              <w:pStyle w:val="Compact"/>
              <w:jc w:val="left"/>
            </w:pPr>
            <w:r>
              <w:t xml:space="preserve">2024</w:t>
            </w:r>
          </w:p>
        </w:tc>
        <w:tc>
          <w:p>
            <w:pPr>
              <w:pStyle w:val="Compact"/>
              <w:jc w:val="left"/>
            </w:pPr>
            <w:r>
              <w:t xml:space="preserve">42 525 sur 4 jours (source : uniclima.fr)</w:t>
            </w:r>
          </w:p>
        </w:tc>
        <w:tc>
          <w:p>
            <w:pPr>
              <w:pStyle w:val="Compact"/>
              <w:jc w:val="left"/>
            </w:pPr>
            <w:r>
              <w:t xml:space="preserve">383 (source : uniclima.fr)</w:t>
            </w:r>
          </w:p>
        </w:tc>
        <w:tc>
          <w:p>
            <w:pPr>
              <w:pStyle w:val="Compact"/>
              <w:jc w:val="left"/>
            </w:pPr>
            <w:r>
              <w:t xml:space="preserve">Catégorie « Génie climatique tertiaire » créée</w:t>
            </w:r>
          </w:p>
        </w:tc>
      </w:tr>
      <w:tr>
        <w:tc>
          <w:p>
            <w:pPr>
              <w:pStyle w:val="Compact"/>
              <w:jc w:val="left"/>
            </w:pPr>
            <w:r>
              <w:t xml:space="preserve">34e</w:t>
            </w:r>
          </w:p>
        </w:tc>
        <w:tc>
          <w:p>
            <w:pPr>
              <w:pStyle w:val="Compact"/>
              <w:jc w:val="left"/>
            </w:pPr>
            <w:r>
              <w:t xml:space="preserve">2022</w:t>
            </w:r>
          </w:p>
        </w:tc>
        <w:tc>
          <w:p>
            <w:pPr>
              <w:pStyle w:val="Compact"/>
              <w:jc w:val="left"/>
            </w:pPr>
            <w:r>
              <w:t xml:space="preserve">42 506 (source : uniclima.fr)</w:t>
            </w:r>
          </w:p>
        </w:tc>
        <w:tc>
          <w:p>
            <w:pPr>
              <w:pStyle w:val="Compact"/>
              <w:jc w:val="left"/>
            </w:pPr>
            <w:r>
              <w:t xml:space="preserve">Donnée non disponible</w:t>
            </w:r>
          </w:p>
        </w:tc>
        <w:tc>
          <w:p>
            <w:pPr>
              <w:pStyle w:val="Compact"/>
              <w:jc w:val="left"/>
            </w:pPr>
            <w:r>
              <w:t xml:space="preserve">Retour à Porte de Versailles</w:t>
            </w:r>
          </w:p>
        </w:tc>
      </w:tr>
      <w:tr>
        <w:tc>
          <w:p>
            <w:pPr>
              <w:pStyle w:val="Compact"/>
              <w:jc w:val="left"/>
            </w:pPr>
            <w:r>
              <w:t xml:space="preserve">Antérieures</w:t>
            </w:r>
          </w:p>
        </w:tc>
        <w:tc>
          <w:p>
            <w:pPr>
              <w:pStyle w:val="Compact"/>
              <w:jc w:val="left"/>
            </w:pPr>
            <w:r>
              <w:t xml:space="preserve">Donnée non disponible</w:t>
            </w:r>
          </w:p>
        </w:tc>
        <w:tc>
          <w:p>
            <w:pPr>
              <w:pStyle w:val="Compact"/>
              <w:jc w:val="left"/>
            </w:pPr>
            <w:r>
              <w:t xml:space="preserve">Donnée non disponible</w:t>
            </w:r>
          </w:p>
        </w:tc>
        <w:tc>
          <w:p>
            <w:pPr>
              <w:pStyle w:val="Compact"/>
              <w:jc w:val="left"/>
            </w:pPr>
            <w:r>
              <w:t xml:space="preserve">Donnée non disponible</w:t>
            </w:r>
          </w:p>
        </w:tc>
        <w:tc>
          <w:p>
            <w:pPr>
              <w:pStyle w:val="Compact"/>
              <w:jc w:val="left"/>
            </w:pPr>
            <w:r>
              <w:t xml:space="preserve">—</w:t>
            </w:r>
          </w:p>
        </w:tc>
      </w:tr>
    </w:tbl>
    <w:p>
      <w:pPr>
        <w:pStyle w:val="BodyText"/>
      </w:pPr>
      <w:r>
        <w:rPr>
          <w:b/>
        </w:rPr>
        <w:t xml:space="preserve">Analyse de trajectoire :</w:t>
      </w:r>
    </w:p>
    <w:p>
      <w:pPr>
        <w:pStyle w:val="BodyText"/>
      </w:pPr>
      <w:r>
        <w:t xml:space="preserve">Trafic visiteurs Interclima stable sur 2 cycles bisannuels (42 506 → 42 525 entre 2022 et 2024), dans un contexte sectoriel pourtant en pleine accélération (transition énergétique du bâtiment, plan France 2030, RE 2020, fin des chaudières gaz à horizon). La stabilité du trafic peut être interprétée soit comme un plafond structurel du salon (Uniclima ayant un noyau dur d’industriels fidèles mais peu de réservoir d’extension), soit comme un effet de saturation calendaire (visiteurs prioritairement sur Batimat dans le périmètre Mondial du Bâtiment). À surveiller pour 2026 : impact du rebranding « Paris Builders Show » sur l’affluence spécifique Interclima.</w:t>
      </w:r>
    </w:p>
    <w:p>
      <w:pPr>
        <w:pStyle w:val="BodyText"/>
      </w:pPr>
      <w:r>
        <w:t xml:space="preserve">=== FIN BLOC 9 ===</w:t>
      </w:r>
    </w:p>
    <w:p>
      <w:pPr>
        <w:pStyle w:val="BodyText"/>
      </w:pPr>
      <w:r>
        <w:t xml:space="preserve">=== BLOC 10 SEO ===</w:t>
      </w:r>
    </w:p>
    <w:p>
      <w:pPr>
        <w:numPr>
          <w:ilvl w:val="0"/>
          <w:numId w:val="1005"/>
        </w:numPr>
        <w:pStyle w:val="Compact"/>
      </w:pPr>
      <w:r>
        <w:rPr>
          <w:b/>
        </w:rPr>
        <w:t xml:space="preserve">Title tag :</w:t>
      </w:r>
      <w:r>
        <w:t xml:space="preserve"> </w:t>
      </w:r>
      <w:r>
        <w:t xml:space="preserve">Interclima 2026 — 28 sept-1er oct, salon CVC Paris | Agoris (60 car.)</w:t>
      </w:r>
    </w:p>
    <w:p>
      <w:pPr>
        <w:numPr>
          <w:ilvl w:val="0"/>
          <w:numId w:val="1005"/>
        </w:numPr>
        <w:pStyle w:val="Compact"/>
      </w:pPr>
      <w:r>
        <w:rPr>
          <w:b/>
        </w:rPr>
        <w:t xml:space="preserve">Meta description :</w:t>
      </w:r>
      <w:r>
        <w:t xml:space="preserve"> </w:t>
      </w:r>
      <w:r>
        <w:t xml:space="preserve">Interclima 2026 à Paris Porte de Versailles : salon du chauffage, climatisation, ventilation, fluides. Co-localisé Batimat et Idéobain (Paris Builders Show). 383 exposants en 2024. (160 car.)</w:t>
      </w:r>
    </w:p>
    <w:p>
      <w:pPr>
        <w:numPr>
          <w:ilvl w:val="0"/>
          <w:numId w:val="1005"/>
        </w:numPr>
        <w:pStyle w:val="Compact"/>
      </w:pPr>
      <w:r>
        <w:rPr>
          <w:b/>
        </w:rPr>
        <w:t xml:space="preserve">URL :</w:t>
      </w:r>
      <w:r>
        <w:t xml:space="preserve"> </w:t>
      </w:r>
      <w:r>
        <w:t xml:space="preserve">/salons/btp/interclima-2026</w:t>
      </w:r>
    </w:p>
    <w:p>
      <w:pPr>
        <w:numPr>
          <w:ilvl w:val="0"/>
          <w:numId w:val="1005"/>
        </w:numPr>
        <w:pStyle w:val="Compact"/>
      </w:pPr>
      <w:r>
        <w:rPr>
          <w:b/>
        </w:rPr>
        <w:t xml:space="preserve">Liens internes :</w:t>
      </w:r>
      <w:r>
        <w:t xml:space="preserve"> </w:t>
      </w:r>
      <w:r>
        <w:t xml:space="preserve">fiche Batimat (co-localisé, 2 jours d’écart d’horaires de visite recommandés), fiche Idéobain (3e salon du Mondial du Bâtiment), page secteur BTP, page secteur Énergie &amp; climatisation, page prestataires standistes Île-de-France, page Paris Expo Porte de Versailles.</w:t>
      </w:r>
    </w:p>
    <w:p>
      <w:pPr>
        <w:numPr>
          <w:ilvl w:val="0"/>
          <w:numId w:val="1005"/>
        </w:numPr>
        <w:pStyle w:val="Compact"/>
      </w:pPr>
      <w:r>
        <w:rPr>
          <w:b/>
        </w:rPr>
        <w:t xml:space="preserve">Données structurées :</w:t>
      </w:r>
      <w:r>
        <w:t xml:space="preserve"> </w:t>
      </w:r>
      <w:r>
        <w:t xml:space="preserve">Schema.org Event — reprendre les données du Bloc 1 (location.address, organizer = RX France, startDate / endDate, superEvent = Mondial du Bâtiment / Paris Builders Show).</w:t>
      </w:r>
    </w:p>
    <w:p>
      <w:pPr>
        <w:pStyle w:val="FirstParagraph"/>
      </w:pPr>
      <w:r>
        <w:t xml:space="preserve">=== FIN BLOC 10 ===</w:t>
      </w:r>
    </w:p>
    <w:p>
      <w:pPr>
        <w:pStyle w:val="BodyText"/>
      </w:pPr>
      <w:r>
        <w:t xml:space="preserve">=== FIN SALON: INTERCLIMA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2026-05-25T15:39:01Z</dcterms:created>
  <dcterms:modified xsi:type="dcterms:W3CDTF">2026-05-25T15:39:01Z</dcterms:modified>
</cp:coreProperties>
</file>

<file path=docProps/custom.xml><?xml version="1.0" encoding="utf-8"?>
<Properties xmlns="http://schemas.openxmlformats.org/officeDocument/2006/custom-properties" xmlns:vt="http://schemas.openxmlformats.org/officeDocument/2006/docPropsVTypes"/>
</file>