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77777777" w:rsidR="004D6A77" w:rsidRPr="004D6A77" w:rsidRDefault="004D6A77">
      <w:pPr>
        <w:rPr>
          <w:rFonts w:ascii="Times New Roman" w:hAnsi="Times New Roman" w:cs="Times New Roman"/>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p>
    <w:p w14:paraId="287D2A35" w14:textId="77777777" w:rsidR="004D6A77" w:rsidRPr="008D74B2"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64C90D04"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1.2.1 </w:t>
      </w:r>
      <w:r w:rsidR="00FD6EB9" w:rsidRPr="008D74B2">
        <w:rPr>
          <w:rFonts w:ascii="Times New Roman" w:hAnsi="Times New Roman" w:cs="Times New Roman"/>
          <w:b/>
          <w:sz w:val="24"/>
        </w:rPr>
        <w:t>Agents</w:t>
      </w:r>
    </w:p>
    <w:p w14:paraId="10054386" w14:textId="77777777" w:rsidR="00FA73CA" w:rsidRDefault="00FA73CA">
      <w:pPr>
        <w:rPr>
          <w:rFonts w:ascii="Times New Roman" w:hAnsi="Times New Roman" w:cs="Times New Roman" w:hint="eastAsia"/>
          <w:sz w:val="24"/>
        </w:rPr>
      </w:pPr>
      <w:r>
        <w:rPr>
          <w:rFonts w:ascii="Times New Roman" w:hAnsi="Times New Roman" w:cs="Times New Roman"/>
          <w:sz w:val="24"/>
        </w:rPr>
        <w:t xml:space="preserve">The model contains </w:t>
      </w:r>
      <w:r w:rsidR="00FA7483">
        <w:rPr>
          <w:rFonts w:ascii="Times New Roman" w:hAnsi="Times New Roman" w:cs="Times New Roman"/>
          <w:sz w:val="24"/>
        </w:rPr>
        <w:t xml:space="preserve">five </w:t>
      </w:r>
      <w:r>
        <w:rPr>
          <w:rFonts w:ascii="Times New Roman" w:hAnsi="Times New Roman" w:cs="Times New Roman"/>
          <w:sz w:val="24"/>
        </w:rPr>
        <w:t xml:space="preserve">types of agents: transit agencies, solutions, opportunities and problems. </w:t>
      </w:r>
      <w:r w:rsidR="00FD6EB9">
        <w:rPr>
          <w:rFonts w:ascii="Times New Roman" w:hAnsi="Times New Roman" w:cs="Times New Roman"/>
          <w:sz w:val="24"/>
        </w:rPr>
        <w:t xml:space="preserve">The main entities in the model are transit agencies. </w:t>
      </w:r>
      <w:r>
        <w:rPr>
          <w:rFonts w:ascii="Times New Roman" w:hAnsi="Times New Roman" w:cs="Times New Roman"/>
          <w:sz w:val="24"/>
        </w:rPr>
        <w:t>Agencies</w:t>
      </w:r>
      <w:r w:rsidR="006E00ED">
        <w:rPr>
          <w:rFonts w:ascii="Times New Roman" w:hAnsi="Times New Roman" w:cs="Times New Roman"/>
          <w:sz w:val="24"/>
        </w:rPr>
        <w:t xml:space="preserve"> have a set of state variables relating to their experience with extreme weather, their perception of risks given the weather experience, their capacity to implement certain solutions. </w:t>
      </w:r>
      <w:r>
        <w:rPr>
          <w:rFonts w:ascii="Times New Roman" w:hAnsi="Times New Roman" w:cs="Times New Roman"/>
          <w:sz w:val="24"/>
        </w:rPr>
        <w:t>The solution agents represent the alternative solutions available to the agencies through their search or innovation process. They are characterized by cost of implementation, efficiency for problem solving as well as a dummy coded type variable to distinguish adaptation-based solutions from other solutions. The problem agents represent the weather-induced problem an organization faces</w:t>
      </w:r>
      <w:r w:rsidR="00BC4AAB">
        <w:rPr>
          <w:rFonts w:ascii="Times New Roman" w:hAnsi="Times New Roman" w:cs="Times New Roman"/>
          <w:sz w:val="24"/>
        </w:rPr>
        <w:t xml:space="preserve">. Characterized by the level of difficulty, the problem </w:t>
      </w:r>
      <w:r>
        <w:rPr>
          <w:rFonts w:ascii="Times New Roman" w:hAnsi="Times New Roman" w:cs="Times New Roman"/>
          <w:sz w:val="24"/>
        </w:rPr>
        <w:t xml:space="preserve">is a function of its past exposure to and impact from extreme weather events. The opportunity agents capture the rare occurrences of weather disasters, which have the potential to open a window of opportunity for the confluence of </w:t>
      </w:r>
      <w:r w:rsidR="002C317E">
        <w:rPr>
          <w:rFonts w:ascii="Times New Roman" w:hAnsi="Times New Roman" w:cs="Times New Roman"/>
          <w:sz w:val="24"/>
        </w:rPr>
        <w:t xml:space="preserve">solutions, agencies and problems for problem solving. Finally, the link agents have one attribute category to distinguish network ties with agencies in the same region and agencies from different regions. </w:t>
      </w:r>
    </w:p>
    <w:p w14:paraId="34FC22D4" w14:textId="77777777" w:rsidR="003779D3" w:rsidRDefault="006E00ED">
      <w:pPr>
        <w:rPr>
          <w:rFonts w:ascii="Times New Roman" w:hAnsi="Times New Roman" w:cs="Times New Roman"/>
          <w:sz w:val="24"/>
        </w:rPr>
      </w:pPr>
      <w:r>
        <w:rPr>
          <w:rFonts w:ascii="Times New Roman" w:hAnsi="Times New Roman" w:cs="Times New Roman"/>
          <w:sz w:val="24"/>
        </w:rPr>
        <w:t xml:space="preserve">All </w:t>
      </w:r>
      <w:r w:rsidR="00FA73CA">
        <w:rPr>
          <w:rFonts w:ascii="Times New Roman" w:hAnsi="Times New Roman" w:cs="Times New Roman"/>
          <w:sz w:val="24"/>
        </w:rPr>
        <w:t xml:space="preserve">agent </w:t>
      </w:r>
      <w:r>
        <w:rPr>
          <w:rFonts w:ascii="Times New Roman" w:hAnsi="Times New Roman" w:cs="Times New Roman"/>
          <w:sz w:val="24"/>
        </w:rPr>
        <w:t xml:space="preserve">attributes are provided in Table 1, including the </w:t>
      </w:r>
      <w:r w:rsidR="00FB0A95">
        <w:rPr>
          <w:rFonts w:ascii="Times New Roman" w:hAnsi="Times New Roman" w:cs="Times New Roman"/>
          <w:sz w:val="24"/>
        </w:rPr>
        <w:t xml:space="preserve">description and parameterization of each state variable. </w:t>
      </w:r>
    </w:p>
    <w:p w14:paraId="47D0ECDE" w14:textId="77777777" w:rsidR="00A70E50" w:rsidRDefault="00A70E50">
      <w:pPr>
        <w:rPr>
          <w:rFonts w:ascii="Times New Roman" w:hAnsi="Times New Roman" w:cs="Times New Roman"/>
          <w:sz w:val="24"/>
        </w:rPr>
      </w:pPr>
      <w:r>
        <w:rPr>
          <w:rFonts w:ascii="Times New Roman" w:hAnsi="Times New Roman" w:cs="Times New Roman"/>
          <w:sz w:val="24"/>
        </w:rPr>
        <w:t xml:space="preserve">Table 1. Agent attributes </w:t>
      </w:r>
    </w:p>
    <w:tbl>
      <w:tblPr>
        <w:tblW w:w="5000" w:type="pct"/>
        <w:tblLook w:val="04A0" w:firstRow="1" w:lastRow="0" w:firstColumn="1" w:lastColumn="0" w:noHBand="0" w:noVBand="1"/>
      </w:tblPr>
      <w:tblGrid>
        <w:gridCol w:w="2515"/>
        <w:gridCol w:w="5316"/>
        <w:gridCol w:w="1529"/>
      </w:tblGrid>
      <w:tr w:rsidR="00967CFE" w:rsidRPr="00967CFE" w14:paraId="4268FB74" w14:textId="77777777" w:rsidTr="002124C9">
        <w:trPr>
          <w:trHeight w:val="288"/>
        </w:trPr>
        <w:tc>
          <w:tcPr>
            <w:tcW w:w="1343" w:type="pct"/>
            <w:tcBorders>
              <w:top w:val="single" w:sz="8" w:space="0" w:color="auto"/>
              <w:left w:val="nil"/>
              <w:bottom w:val="single" w:sz="4" w:space="0" w:color="auto"/>
              <w:right w:val="single" w:sz="4" w:space="0" w:color="auto"/>
            </w:tcBorders>
            <w:shd w:val="clear" w:color="auto" w:fill="auto"/>
            <w:noWrap/>
            <w:vAlign w:val="bottom"/>
            <w:hideMark/>
          </w:tcPr>
          <w:p w14:paraId="351BCFEC"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Variable</w:t>
            </w:r>
          </w:p>
        </w:tc>
        <w:tc>
          <w:tcPr>
            <w:tcW w:w="2839" w:type="pct"/>
            <w:tcBorders>
              <w:top w:val="single" w:sz="8" w:space="0" w:color="auto"/>
              <w:left w:val="single" w:sz="4" w:space="0" w:color="auto"/>
              <w:bottom w:val="single" w:sz="4" w:space="0" w:color="auto"/>
              <w:right w:val="single" w:sz="4" w:space="0" w:color="auto"/>
            </w:tcBorders>
            <w:shd w:val="clear" w:color="auto" w:fill="auto"/>
            <w:vAlign w:val="bottom"/>
            <w:hideMark/>
          </w:tcPr>
          <w:p w14:paraId="07047152"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Description</w:t>
            </w:r>
          </w:p>
        </w:tc>
        <w:tc>
          <w:tcPr>
            <w:tcW w:w="817" w:type="pct"/>
            <w:tcBorders>
              <w:top w:val="single" w:sz="8" w:space="0" w:color="auto"/>
              <w:left w:val="single" w:sz="4" w:space="0" w:color="auto"/>
              <w:bottom w:val="single" w:sz="4" w:space="0" w:color="auto"/>
              <w:right w:val="nil"/>
            </w:tcBorders>
            <w:shd w:val="clear" w:color="auto" w:fill="auto"/>
            <w:noWrap/>
            <w:vAlign w:val="bottom"/>
            <w:hideMark/>
          </w:tcPr>
          <w:p w14:paraId="507C0F6F"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Initial value</w:t>
            </w:r>
          </w:p>
        </w:tc>
      </w:tr>
      <w:tr w:rsidR="00967CFE" w:rsidRPr="00967CFE" w14:paraId="39836E81"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0835AB8"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Agencies</w:t>
            </w:r>
          </w:p>
        </w:tc>
        <w:tc>
          <w:tcPr>
            <w:tcW w:w="2839" w:type="pct"/>
            <w:tcBorders>
              <w:top w:val="nil"/>
              <w:left w:val="nil"/>
              <w:bottom w:val="single" w:sz="4" w:space="0" w:color="auto"/>
              <w:right w:val="single" w:sz="4" w:space="0" w:color="auto"/>
            </w:tcBorders>
            <w:shd w:val="clear" w:color="auto" w:fill="auto"/>
            <w:vAlign w:val="bottom"/>
            <w:hideMark/>
          </w:tcPr>
          <w:p w14:paraId="5A3C2CE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519418A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12F1EBC3"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33138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Weather Intensity </w:t>
            </w:r>
          </w:p>
        </w:tc>
        <w:tc>
          <w:tcPr>
            <w:tcW w:w="2839" w:type="pct"/>
            <w:tcBorders>
              <w:top w:val="nil"/>
              <w:left w:val="nil"/>
              <w:bottom w:val="single" w:sz="4" w:space="0" w:color="auto"/>
              <w:right w:val="single" w:sz="4" w:space="0" w:color="auto"/>
            </w:tcBorders>
            <w:shd w:val="clear" w:color="auto" w:fill="auto"/>
            <w:vAlign w:val="bottom"/>
            <w:hideMark/>
          </w:tcPr>
          <w:p w14:paraId="7C819CA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Intensity of weather conditions</w:t>
            </w:r>
          </w:p>
        </w:tc>
        <w:tc>
          <w:tcPr>
            <w:tcW w:w="817" w:type="pct"/>
            <w:tcBorders>
              <w:top w:val="nil"/>
              <w:left w:val="nil"/>
              <w:bottom w:val="single" w:sz="4" w:space="0" w:color="auto"/>
              <w:right w:val="nil"/>
            </w:tcBorders>
            <w:shd w:val="clear" w:color="auto" w:fill="auto"/>
            <w:noWrap/>
            <w:vAlign w:val="bottom"/>
            <w:hideMark/>
          </w:tcPr>
          <w:p w14:paraId="1364893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2F32A6E"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65EE625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Resilience</w:t>
            </w:r>
          </w:p>
        </w:tc>
        <w:tc>
          <w:tcPr>
            <w:tcW w:w="2839" w:type="pct"/>
            <w:tcBorders>
              <w:top w:val="nil"/>
              <w:left w:val="nil"/>
              <w:bottom w:val="single" w:sz="4" w:space="0" w:color="auto"/>
              <w:right w:val="single" w:sz="4" w:space="0" w:color="auto"/>
            </w:tcBorders>
            <w:shd w:val="clear" w:color="auto" w:fill="auto"/>
            <w:vAlign w:val="bottom"/>
            <w:hideMark/>
          </w:tcPr>
          <w:p w14:paraId="053EAC6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to absorb and withstand weather shocks without incurring impacts</w:t>
            </w:r>
          </w:p>
        </w:tc>
        <w:tc>
          <w:tcPr>
            <w:tcW w:w="817" w:type="pct"/>
            <w:tcBorders>
              <w:top w:val="nil"/>
              <w:left w:val="nil"/>
              <w:bottom w:val="single" w:sz="4" w:space="0" w:color="auto"/>
              <w:right w:val="nil"/>
            </w:tcBorders>
            <w:shd w:val="clear" w:color="auto" w:fill="auto"/>
            <w:noWrap/>
            <w:vAlign w:val="bottom"/>
            <w:hideMark/>
          </w:tcPr>
          <w:p w14:paraId="506878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506B971"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5AFA91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w:t>
            </w:r>
          </w:p>
        </w:tc>
        <w:tc>
          <w:tcPr>
            <w:tcW w:w="2839" w:type="pct"/>
            <w:tcBorders>
              <w:top w:val="nil"/>
              <w:left w:val="nil"/>
              <w:bottom w:val="single" w:sz="4" w:space="0" w:color="auto"/>
              <w:right w:val="single" w:sz="4" w:space="0" w:color="auto"/>
            </w:tcBorders>
            <w:shd w:val="clear" w:color="auto" w:fill="auto"/>
            <w:vAlign w:val="bottom"/>
            <w:hideMark/>
          </w:tcPr>
          <w:p w14:paraId="4EF7674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based on resource endowment and system characteristics to implement a certain solution</w:t>
            </w:r>
          </w:p>
        </w:tc>
        <w:tc>
          <w:tcPr>
            <w:tcW w:w="817" w:type="pct"/>
            <w:tcBorders>
              <w:top w:val="nil"/>
              <w:left w:val="nil"/>
              <w:bottom w:val="single" w:sz="4" w:space="0" w:color="auto"/>
              <w:right w:val="nil"/>
            </w:tcBorders>
            <w:shd w:val="clear" w:color="auto" w:fill="auto"/>
            <w:noWrap/>
            <w:vAlign w:val="bottom"/>
            <w:hideMark/>
          </w:tcPr>
          <w:p w14:paraId="0441A29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07D4ED7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E050E4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Extreme Weather Frequency</w:t>
            </w:r>
          </w:p>
        </w:tc>
        <w:tc>
          <w:tcPr>
            <w:tcW w:w="2839" w:type="pct"/>
            <w:tcBorders>
              <w:top w:val="nil"/>
              <w:left w:val="nil"/>
              <w:bottom w:val="single" w:sz="4" w:space="0" w:color="auto"/>
              <w:right w:val="single" w:sz="4" w:space="0" w:color="auto"/>
            </w:tcBorders>
            <w:shd w:val="clear" w:color="auto" w:fill="auto"/>
            <w:vAlign w:val="bottom"/>
            <w:hideMark/>
          </w:tcPr>
          <w:p w14:paraId="3302692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Number of extreme weather events</w:t>
            </w:r>
          </w:p>
        </w:tc>
        <w:tc>
          <w:tcPr>
            <w:tcW w:w="817" w:type="pct"/>
            <w:tcBorders>
              <w:top w:val="nil"/>
              <w:left w:val="nil"/>
              <w:bottom w:val="single" w:sz="4" w:space="0" w:color="auto"/>
              <w:right w:val="nil"/>
            </w:tcBorders>
            <w:shd w:val="clear" w:color="auto" w:fill="auto"/>
            <w:noWrap/>
            <w:vAlign w:val="bottom"/>
            <w:hideMark/>
          </w:tcPr>
          <w:p w14:paraId="7E89CEF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A679B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EA68FB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Impact per weather event</w:t>
            </w:r>
          </w:p>
        </w:tc>
        <w:tc>
          <w:tcPr>
            <w:tcW w:w="2839" w:type="pct"/>
            <w:tcBorders>
              <w:top w:val="nil"/>
              <w:left w:val="nil"/>
              <w:bottom w:val="single" w:sz="4" w:space="0" w:color="auto"/>
              <w:right w:val="single" w:sz="4" w:space="0" w:color="auto"/>
            </w:tcBorders>
            <w:shd w:val="clear" w:color="auto" w:fill="auto"/>
            <w:vAlign w:val="bottom"/>
            <w:hideMark/>
          </w:tcPr>
          <w:p w14:paraId="26E48D7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impact of each extreme weather event on an agency</w:t>
            </w:r>
          </w:p>
        </w:tc>
        <w:tc>
          <w:tcPr>
            <w:tcW w:w="817" w:type="pct"/>
            <w:tcBorders>
              <w:top w:val="nil"/>
              <w:left w:val="nil"/>
              <w:bottom w:val="single" w:sz="4" w:space="0" w:color="auto"/>
              <w:right w:val="nil"/>
            </w:tcBorders>
            <w:shd w:val="clear" w:color="auto" w:fill="auto"/>
            <w:noWrap/>
            <w:vAlign w:val="bottom"/>
            <w:hideMark/>
          </w:tcPr>
          <w:p w14:paraId="2913DF3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09978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3C43D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Cumulative weather impact</w:t>
            </w:r>
          </w:p>
        </w:tc>
        <w:tc>
          <w:tcPr>
            <w:tcW w:w="2839" w:type="pct"/>
            <w:tcBorders>
              <w:top w:val="nil"/>
              <w:left w:val="nil"/>
              <w:bottom w:val="single" w:sz="4" w:space="0" w:color="auto"/>
              <w:right w:val="single" w:sz="4" w:space="0" w:color="auto"/>
            </w:tcBorders>
            <w:shd w:val="clear" w:color="auto" w:fill="auto"/>
            <w:vAlign w:val="bottom"/>
            <w:hideMark/>
          </w:tcPr>
          <w:p w14:paraId="4A87DC1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cumulative impacts from multiple extreme weather events</w:t>
            </w:r>
          </w:p>
        </w:tc>
        <w:tc>
          <w:tcPr>
            <w:tcW w:w="817" w:type="pct"/>
            <w:tcBorders>
              <w:top w:val="nil"/>
              <w:left w:val="nil"/>
              <w:bottom w:val="single" w:sz="4" w:space="0" w:color="auto"/>
              <w:right w:val="nil"/>
            </w:tcBorders>
            <w:shd w:val="clear" w:color="auto" w:fill="auto"/>
            <w:noWrap/>
            <w:vAlign w:val="bottom"/>
            <w:hideMark/>
          </w:tcPr>
          <w:p w14:paraId="59139DC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312186D"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7AAF79D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Risk perception</w:t>
            </w:r>
          </w:p>
        </w:tc>
        <w:tc>
          <w:tcPr>
            <w:tcW w:w="2839" w:type="pct"/>
            <w:tcBorders>
              <w:top w:val="nil"/>
              <w:left w:val="nil"/>
              <w:bottom w:val="single" w:sz="4" w:space="0" w:color="auto"/>
              <w:right w:val="single" w:sz="4" w:space="0" w:color="auto"/>
            </w:tcBorders>
            <w:shd w:val="clear" w:color="auto" w:fill="auto"/>
            <w:vAlign w:val="bottom"/>
            <w:hideMark/>
          </w:tcPr>
          <w:p w14:paraId="38E3378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extent to which an organization perceives the risk related to extreme weather</w:t>
            </w:r>
          </w:p>
        </w:tc>
        <w:tc>
          <w:tcPr>
            <w:tcW w:w="817" w:type="pct"/>
            <w:tcBorders>
              <w:top w:val="nil"/>
              <w:left w:val="nil"/>
              <w:bottom w:val="single" w:sz="4" w:space="0" w:color="auto"/>
              <w:right w:val="nil"/>
            </w:tcBorders>
            <w:shd w:val="clear" w:color="auto" w:fill="auto"/>
            <w:noWrap/>
            <w:vAlign w:val="bottom"/>
            <w:hideMark/>
          </w:tcPr>
          <w:p w14:paraId="7FD615D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E61E9E5"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83FF6B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lastRenderedPageBreak/>
              <w:t>Cumulative risk perception</w:t>
            </w:r>
          </w:p>
        </w:tc>
        <w:tc>
          <w:tcPr>
            <w:tcW w:w="2839" w:type="pct"/>
            <w:tcBorders>
              <w:top w:val="nil"/>
              <w:left w:val="nil"/>
              <w:bottom w:val="single" w:sz="4" w:space="0" w:color="auto"/>
              <w:right w:val="single" w:sz="4" w:space="0" w:color="auto"/>
            </w:tcBorders>
            <w:shd w:val="clear" w:color="auto" w:fill="auto"/>
            <w:vAlign w:val="bottom"/>
            <w:hideMark/>
          </w:tcPr>
          <w:p w14:paraId="48E8EAF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Risk perception cumulated over a certain period of time </w:t>
            </w:r>
          </w:p>
        </w:tc>
        <w:tc>
          <w:tcPr>
            <w:tcW w:w="817" w:type="pct"/>
            <w:tcBorders>
              <w:top w:val="nil"/>
              <w:left w:val="nil"/>
              <w:bottom w:val="single" w:sz="4" w:space="0" w:color="auto"/>
              <w:right w:val="nil"/>
            </w:tcBorders>
            <w:shd w:val="clear" w:color="auto" w:fill="auto"/>
            <w:noWrap/>
            <w:vAlign w:val="bottom"/>
            <w:hideMark/>
          </w:tcPr>
          <w:p w14:paraId="2A8B55A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8E40BB7"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D56C431"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Solution</w:t>
            </w:r>
          </w:p>
        </w:tc>
        <w:tc>
          <w:tcPr>
            <w:tcW w:w="2839" w:type="pct"/>
            <w:tcBorders>
              <w:top w:val="nil"/>
              <w:left w:val="nil"/>
              <w:bottom w:val="single" w:sz="4" w:space="0" w:color="auto"/>
              <w:right w:val="single" w:sz="4" w:space="0" w:color="auto"/>
            </w:tcBorders>
            <w:shd w:val="clear" w:color="auto" w:fill="auto"/>
            <w:vAlign w:val="bottom"/>
            <w:hideMark/>
          </w:tcPr>
          <w:p w14:paraId="14B1690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7516706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97406A8"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FA27113"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Efficiency</w:t>
            </w:r>
          </w:p>
        </w:tc>
        <w:tc>
          <w:tcPr>
            <w:tcW w:w="2839" w:type="pct"/>
            <w:tcBorders>
              <w:top w:val="nil"/>
              <w:left w:val="nil"/>
              <w:bottom w:val="single" w:sz="4" w:space="0" w:color="auto"/>
              <w:right w:val="single" w:sz="4" w:space="0" w:color="auto"/>
            </w:tcBorders>
            <w:shd w:val="clear" w:color="auto" w:fill="auto"/>
            <w:vAlign w:val="bottom"/>
            <w:hideMark/>
          </w:tcPr>
          <w:p w14:paraId="75D8E10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suitability and effectiveness of a solution for problem solving </w:t>
            </w:r>
          </w:p>
        </w:tc>
        <w:tc>
          <w:tcPr>
            <w:tcW w:w="817" w:type="pct"/>
            <w:tcBorders>
              <w:top w:val="nil"/>
              <w:left w:val="nil"/>
              <w:bottom w:val="single" w:sz="4" w:space="0" w:color="auto"/>
              <w:right w:val="nil"/>
            </w:tcBorders>
            <w:shd w:val="clear" w:color="auto" w:fill="auto"/>
            <w:noWrap/>
            <w:vAlign w:val="bottom"/>
            <w:hideMark/>
          </w:tcPr>
          <w:p w14:paraId="1C3CF4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4BD151E"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2330441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Cost</w:t>
            </w:r>
          </w:p>
        </w:tc>
        <w:tc>
          <w:tcPr>
            <w:tcW w:w="2839" w:type="pct"/>
            <w:tcBorders>
              <w:top w:val="nil"/>
              <w:left w:val="nil"/>
              <w:bottom w:val="single" w:sz="4" w:space="0" w:color="auto"/>
              <w:right w:val="single" w:sz="4" w:space="0" w:color="auto"/>
            </w:tcBorders>
            <w:shd w:val="clear" w:color="auto" w:fill="auto"/>
            <w:vAlign w:val="bottom"/>
            <w:hideMark/>
          </w:tcPr>
          <w:p w14:paraId="0DB0A66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cost involved in implementing a certain solution </w:t>
            </w:r>
          </w:p>
        </w:tc>
        <w:tc>
          <w:tcPr>
            <w:tcW w:w="817" w:type="pct"/>
            <w:tcBorders>
              <w:top w:val="nil"/>
              <w:left w:val="nil"/>
              <w:bottom w:val="single" w:sz="4" w:space="0" w:color="auto"/>
              <w:right w:val="nil"/>
            </w:tcBorders>
            <w:shd w:val="clear" w:color="auto" w:fill="auto"/>
            <w:noWrap/>
            <w:vAlign w:val="bottom"/>
            <w:hideMark/>
          </w:tcPr>
          <w:p w14:paraId="4CEDAAC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492653F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4DFF9A9"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Problem</w:t>
            </w:r>
          </w:p>
        </w:tc>
        <w:tc>
          <w:tcPr>
            <w:tcW w:w="2839" w:type="pct"/>
            <w:tcBorders>
              <w:top w:val="nil"/>
              <w:left w:val="nil"/>
              <w:bottom w:val="single" w:sz="4" w:space="0" w:color="auto"/>
              <w:right w:val="single" w:sz="4" w:space="0" w:color="auto"/>
            </w:tcBorders>
            <w:shd w:val="clear" w:color="auto" w:fill="auto"/>
            <w:vAlign w:val="bottom"/>
            <w:hideMark/>
          </w:tcPr>
          <w:p w14:paraId="4F79B9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0BCCC17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2F3792E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E6FCF8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Difficulty</w:t>
            </w:r>
          </w:p>
        </w:tc>
        <w:tc>
          <w:tcPr>
            <w:tcW w:w="2839" w:type="pct"/>
            <w:tcBorders>
              <w:top w:val="nil"/>
              <w:left w:val="nil"/>
              <w:bottom w:val="single" w:sz="4" w:space="0" w:color="auto"/>
              <w:right w:val="single" w:sz="4" w:space="0" w:color="auto"/>
            </w:tcBorders>
            <w:shd w:val="clear" w:color="auto" w:fill="auto"/>
            <w:vAlign w:val="bottom"/>
            <w:hideMark/>
          </w:tcPr>
          <w:p w14:paraId="027902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inherent complexity of the problem</w:t>
            </w:r>
          </w:p>
        </w:tc>
        <w:tc>
          <w:tcPr>
            <w:tcW w:w="817" w:type="pct"/>
            <w:tcBorders>
              <w:top w:val="nil"/>
              <w:left w:val="nil"/>
              <w:bottom w:val="single" w:sz="4" w:space="0" w:color="auto"/>
              <w:right w:val="nil"/>
            </w:tcBorders>
            <w:shd w:val="clear" w:color="auto" w:fill="auto"/>
            <w:noWrap/>
            <w:vAlign w:val="bottom"/>
            <w:hideMark/>
          </w:tcPr>
          <w:p w14:paraId="775912E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5FFF34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0B3DBA"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Links</w:t>
            </w:r>
          </w:p>
        </w:tc>
        <w:tc>
          <w:tcPr>
            <w:tcW w:w="2839" w:type="pct"/>
            <w:tcBorders>
              <w:top w:val="nil"/>
              <w:left w:val="nil"/>
              <w:bottom w:val="single" w:sz="4" w:space="0" w:color="auto"/>
              <w:right w:val="single" w:sz="4" w:space="0" w:color="auto"/>
            </w:tcBorders>
            <w:shd w:val="clear" w:color="auto" w:fill="auto"/>
            <w:vAlign w:val="bottom"/>
            <w:hideMark/>
          </w:tcPr>
          <w:p w14:paraId="044BB69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67A81379"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A24E76D" w14:textId="77777777" w:rsidTr="002124C9">
        <w:trPr>
          <w:trHeight w:val="288"/>
        </w:trPr>
        <w:tc>
          <w:tcPr>
            <w:tcW w:w="1343" w:type="pct"/>
            <w:tcBorders>
              <w:top w:val="single" w:sz="4" w:space="0" w:color="auto"/>
              <w:left w:val="nil"/>
              <w:bottom w:val="single" w:sz="8" w:space="0" w:color="auto"/>
              <w:right w:val="single" w:sz="4" w:space="0" w:color="auto"/>
            </w:tcBorders>
            <w:shd w:val="clear" w:color="auto" w:fill="auto"/>
            <w:noWrap/>
            <w:vAlign w:val="bottom"/>
            <w:hideMark/>
          </w:tcPr>
          <w:p w14:paraId="3724855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Category</w:t>
            </w:r>
          </w:p>
        </w:tc>
        <w:tc>
          <w:tcPr>
            <w:tcW w:w="2839" w:type="pct"/>
            <w:tcBorders>
              <w:top w:val="single" w:sz="4" w:space="0" w:color="auto"/>
              <w:left w:val="single" w:sz="4" w:space="0" w:color="auto"/>
              <w:bottom w:val="single" w:sz="8" w:space="0" w:color="auto"/>
              <w:right w:val="single" w:sz="4" w:space="0" w:color="auto"/>
            </w:tcBorders>
            <w:shd w:val="clear" w:color="auto" w:fill="auto"/>
            <w:vAlign w:val="bottom"/>
            <w:hideMark/>
          </w:tcPr>
          <w:p w14:paraId="0F1B59C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Used to distinguish types of network ties</w:t>
            </w:r>
          </w:p>
        </w:tc>
        <w:tc>
          <w:tcPr>
            <w:tcW w:w="817" w:type="pct"/>
            <w:tcBorders>
              <w:top w:val="single" w:sz="4" w:space="0" w:color="auto"/>
              <w:left w:val="single" w:sz="4" w:space="0" w:color="auto"/>
              <w:bottom w:val="single" w:sz="8" w:space="0" w:color="auto"/>
              <w:right w:val="nil"/>
            </w:tcBorders>
            <w:shd w:val="clear" w:color="auto" w:fill="auto"/>
            <w:noWrap/>
            <w:vAlign w:val="bottom"/>
            <w:hideMark/>
          </w:tcPr>
          <w:p w14:paraId="275104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bl>
    <w:p w14:paraId="24CF2228" w14:textId="77777777" w:rsidR="00A70E50" w:rsidRDefault="00A70E50">
      <w:pPr>
        <w:rPr>
          <w:rFonts w:ascii="Times New Roman" w:hAnsi="Times New Roman" w:cs="Times New Roman"/>
          <w:sz w:val="24"/>
        </w:rPr>
      </w:pPr>
    </w:p>
    <w:p w14:paraId="395E1F0A"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1.2.2 </w:t>
      </w:r>
      <w:r w:rsidR="00FB0A95" w:rsidRPr="008D74B2">
        <w:rPr>
          <w:rFonts w:ascii="Times New Roman" w:hAnsi="Times New Roman" w:cs="Times New Roman"/>
          <w:b/>
          <w:sz w:val="24"/>
        </w:rPr>
        <w:t>Environment</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 xml:space="preserve">The landscape is represented as a grid of four cells, each cell representing one of the four Census regions in the United States. The organizations are distributed in the four regions drawing on the 2016 survey data. </w:t>
      </w:r>
      <w:r>
        <w:rPr>
          <w:rFonts w:ascii="Times New Roman" w:hAnsi="Times New Roman" w:cs="Times New Roman"/>
          <w:sz w:val="24"/>
        </w:rPr>
        <w:t>The agencies are linked by two networks: 1) networks with agencies in the same region; 2) networks with agencies in other regions.</w:t>
      </w:r>
    </w:p>
    <w:p w14:paraId="38E484AC" w14:textId="77777777" w:rsidR="004D6A77" w:rsidRPr="004D6A77"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e scanning range which determines an agency’s scope of search for alternative solutions for problem solving.</w:t>
      </w:r>
    </w:p>
    <w:p w14:paraId="31C29B38"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1.2.3 </w:t>
      </w:r>
      <w:r w:rsidR="003779D3" w:rsidRPr="008D74B2">
        <w:rPr>
          <w:rFonts w:ascii="Times New Roman" w:hAnsi="Times New Roman" w:cs="Times New Roman"/>
          <w:b/>
          <w:sz w:val="24"/>
        </w:rPr>
        <w:t>Temporal dimension</w:t>
      </w:r>
    </w:p>
    <w:p w14:paraId="11C979EE" w14:textId="77777777" w:rsidR="003779D3" w:rsidRDefault="003779D3">
      <w:pPr>
        <w:rPr>
          <w:rFonts w:ascii="Times New Roman" w:hAnsi="Times New Roman" w:cs="Times New Roman"/>
          <w:sz w:val="24"/>
        </w:rPr>
      </w:pPr>
      <w:r>
        <w:rPr>
          <w:rFonts w:ascii="Times New Roman" w:hAnsi="Times New Roman" w:cs="Times New Roman"/>
          <w:sz w:val="24"/>
        </w:rPr>
        <w:t xml:space="preserve">The model is run 20 years with each tick representing a month. </w:t>
      </w:r>
    </w:p>
    <w:p w14:paraId="795756FB"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1.2.4 </w:t>
      </w:r>
      <w:r w:rsidR="003779D3" w:rsidRPr="008D74B2">
        <w:rPr>
          <w:rFonts w:ascii="Times New Roman" w:hAnsi="Times New Roman" w:cs="Times New Roman"/>
          <w:b/>
          <w:sz w:val="24"/>
        </w:rPr>
        <w:t xml:space="preserve">Exogenous drivers </w:t>
      </w:r>
    </w:p>
    <w:p w14:paraId="26B0CBE1" w14:textId="77777777" w:rsidR="00F878F2" w:rsidRDefault="003779D3">
      <w:pPr>
        <w:rPr>
          <w:rFonts w:ascii="Times New Roman" w:hAnsi="Times New Roman" w:cs="Times New Roman" w:hint="eastAsia"/>
          <w:sz w:val="24"/>
        </w:rPr>
      </w:pPr>
      <w:r>
        <w:rPr>
          <w:rFonts w:ascii="Times New Roman" w:hAnsi="Times New Roman" w:cs="Times New Roman"/>
          <w:sz w:val="24"/>
        </w:rPr>
        <w:t xml:space="preserve">The main exogenous drivers in this model are extreme weather events, defined as the events that deviate from historical norm, </w:t>
      </w:r>
      <w:r w:rsidR="00F878F2">
        <w:rPr>
          <w:rFonts w:ascii="Times New Roman" w:hAnsi="Times New Roman" w:cs="Times New Roman"/>
          <w:sz w:val="24"/>
        </w:rPr>
        <w:t xml:space="preserve">exceed the local, regional or national threshold and generate impacts. The frequency of the extreme weather events is agency-specific, the data being drawn from the 2016 national survey on transit agencies. With rare chances, there are major extreme weather events leading to weather disasters. </w:t>
      </w:r>
    </w:p>
    <w:p w14:paraId="678A3168" w14:textId="77777777" w:rsidR="00F878F2" w:rsidRDefault="00F878F2">
      <w:pPr>
        <w:rPr>
          <w:rFonts w:ascii="Times New Roman" w:hAnsi="Times New Roman" w:cs="Times New Roman"/>
          <w:sz w:val="24"/>
        </w:rPr>
      </w:pPr>
    </w:p>
    <w:p w14:paraId="3B96453D" w14:textId="77777777" w:rsidR="003779D3" w:rsidRPr="008D74B2" w:rsidRDefault="008D74B2"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Process Overview and Schedule </w:t>
      </w:r>
    </w:p>
    <w:p w14:paraId="0EEB0290" w14:textId="77777777" w:rsidR="000D7B1D" w:rsidRDefault="000D7B1D" w:rsidP="000D7B1D">
      <w:pPr>
        <w:rPr>
          <w:rFonts w:ascii="Times New Roman" w:hAnsi="Times New Roman" w:cs="Times New Roman"/>
          <w:sz w:val="24"/>
        </w:rPr>
      </w:pPr>
      <w:r>
        <w:rPr>
          <w:rFonts w:ascii="Times New Roman" w:hAnsi="Times New Roman" w:cs="Times New Roman"/>
          <w:sz w:val="24"/>
        </w:rPr>
        <w:t xml:space="preserve">Each time tick represents 1 month. Simulations are run for 240 ticks for 20 years. </w:t>
      </w:r>
      <w:r w:rsidR="008D74B2">
        <w:rPr>
          <w:rFonts w:ascii="Times New Roman" w:hAnsi="Times New Roman" w:cs="Times New Roman"/>
          <w:sz w:val="24"/>
        </w:rPr>
        <w:t>At each time step, the following process</w:t>
      </w:r>
      <w:r w:rsidR="00B3711A">
        <w:rPr>
          <w:rFonts w:ascii="Times New Roman" w:hAnsi="Times New Roman" w:cs="Times New Roman"/>
          <w:sz w:val="24"/>
        </w:rPr>
        <w:t xml:space="preserve">es occur in the given order: </w:t>
      </w:r>
    </w:p>
    <w:p w14:paraId="68CE1A23"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current weather intensity. If the weather intensity goes beyond a certain level, the weather is modelled as extreme weather. The simulation starts the next tick if no extreme weather occurs. </w:t>
      </w:r>
    </w:p>
    <w:p w14:paraId="45CDAA06"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Track weather impact. When extreme weather occurs, an agency suffers from weather impacts, the level of which is moderated by its resilience. The higher the resilience, the lower the impact. The minimum impact is zero when an agency’s resilience </w:t>
      </w:r>
    </w:p>
    <w:p w14:paraId="7E0084F0" w14:textId="77777777" w:rsidR="00A651B8" w:rsidRDefault="000D7B1D"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Perceive the risk. Each extreme weather event is accompanied by an organization’s update of its risk perception. </w:t>
      </w:r>
    </w:p>
    <w:p w14:paraId="74F8E671" w14:textId="77777777" w:rsidR="000D7B1D" w:rsidRDefault="00A651B8" w:rsidP="00A651B8">
      <w:pPr>
        <w:pStyle w:val="ListParagraph"/>
        <w:numPr>
          <w:ilvl w:val="0"/>
          <w:numId w:val="8"/>
        </w:numPr>
        <w:rPr>
          <w:rFonts w:ascii="Times New Roman" w:hAnsi="Times New Roman" w:cs="Times New Roman"/>
          <w:sz w:val="24"/>
        </w:rPr>
      </w:pPr>
      <w:r w:rsidRPr="00A651B8">
        <w:rPr>
          <w:rFonts w:ascii="Times New Roman" w:hAnsi="Times New Roman" w:cs="Times New Roman"/>
          <w:sz w:val="24"/>
        </w:rPr>
        <w:t>Calculate</w:t>
      </w:r>
      <w:r w:rsidR="000D7B1D" w:rsidRPr="00A651B8">
        <w:rPr>
          <w:rFonts w:ascii="Times New Roman" w:hAnsi="Times New Roman" w:cs="Times New Roman"/>
          <w:sz w:val="24"/>
        </w:rPr>
        <w:t xml:space="preserve"> cumulative risk perception over a defined period of time. An agency’s risk perception builds up. </w:t>
      </w:r>
    </w:p>
    <w:p w14:paraId="0BAD759D" w14:textId="77777777" w:rsidR="00A651B8" w:rsidRDefault="00A651B8" w:rsidP="00A651B8">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if perception goes beyond a certain threshold, search for solution </w:t>
      </w:r>
    </w:p>
    <w:p w14:paraId="1885C58E" w14:textId="77777777" w:rsidR="00A651B8" w:rsidRDefault="00A651B8"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When searching for an alternative solution, the agencies randomly select from the four strategies: 1) Search nearby areas for a solution; 2) Search solutions from their network ties from the same region; 3) Search solutions from the network ties regardless of their geographical location; 4) Innovate on their own</w:t>
      </w:r>
      <w:r w:rsidR="00713260">
        <w:rPr>
          <w:rFonts w:ascii="Times New Roman" w:hAnsi="Times New Roman" w:cs="Times New Roman"/>
          <w:sz w:val="24"/>
        </w:rPr>
        <w:t xml:space="preserve">; 5) learn from industry leaders; </w:t>
      </w:r>
      <w:commentRangeStart w:id="0"/>
      <w:r w:rsidR="00713260">
        <w:rPr>
          <w:rFonts w:ascii="Times New Roman" w:hAnsi="Times New Roman" w:cs="Times New Roman"/>
          <w:sz w:val="24"/>
        </w:rPr>
        <w:t>6) learn from the majority</w:t>
      </w:r>
      <w:r w:rsidR="008E1CEC">
        <w:rPr>
          <w:rFonts w:ascii="Times New Roman" w:hAnsi="Times New Roman" w:cs="Times New Roman"/>
          <w:sz w:val="24"/>
        </w:rPr>
        <w:t xml:space="preserve"> (but this won’t be obvious until everyone has implemented solution)</w:t>
      </w:r>
      <w:commentRangeEnd w:id="0"/>
      <w:r w:rsidR="008B3D94">
        <w:rPr>
          <w:rStyle w:val="CommentReference"/>
        </w:rPr>
        <w:commentReference w:id="0"/>
      </w:r>
    </w:p>
    <w:p w14:paraId="5EF890EE" w14:textId="77777777" w:rsidR="00A651B8" w:rsidRPr="00A651B8" w:rsidRDefault="00A651B8" w:rsidP="00A651B8">
      <w:pPr>
        <w:pStyle w:val="ListParagraph"/>
        <w:rPr>
          <w:rFonts w:ascii="Times New Roman" w:hAnsi="Times New Roman" w:cs="Times New Roman"/>
          <w:sz w:val="24"/>
        </w:rPr>
      </w:pPr>
    </w:p>
    <w:p w14:paraId="00DCEB15" w14:textId="77777777" w:rsidR="00B3711A" w:rsidRDefault="00B3711A" w:rsidP="008D74B2">
      <w:pPr>
        <w:rPr>
          <w:rFonts w:ascii="Times New Roman" w:hAnsi="Times New Roman" w:cs="Times New Roman"/>
          <w:sz w:val="24"/>
        </w:rPr>
      </w:pPr>
    </w:p>
    <w:p w14:paraId="36333855" w14:textId="77777777" w:rsidR="00B3711A" w:rsidRDefault="00B3711A" w:rsidP="008D74B2">
      <w:pPr>
        <w:rPr>
          <w:rFonts w:ascii="Times New Roman" w:hAnsi="Times New Roman" w:cs="Times New Roman"/>
          <w:sz w:val="24"/>
        </w:rPr>
      </w:pPr>
    </w:p>
    <w:p w14:paraId="6604D517" w14:textId="77777777" w:rsidR="008D74B2" w:rsidRPr="008D74B2" w:rsidRDefault="008D74B2" w:rsidP="008D74B2">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ngxiu Zhang" w:date="2018-12-19T01:44:00Z" w:initials="FZ">
    <w:p w14:paraId="6E83DDD8" w14:textId="77777777" w:rsidR="008B3D94" w:rsidRDefault="008B3D94">
      <w:pPr>
        <w:pStyle w:val="CommentText"/>
      </w:pPr>
      <w:r>
        <w:rPr>
          <w:rStyle w:val="CommentReference"/>
        </w:rPr>
        <w:annotationRef/>
      </w:r>
      <w:r>
        <w:t>I did not include this one because right now the majority of transit agencies are keeping the status quo, really not doing much different than they do as usual, such as responding to extreme weather through post hoc emergency management.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3D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3DDD8" w16cid:durableId="1FC42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7"/>
  </w:num>
  <w:num w:numId="6">
    <w:abstractNumId w:val="1"/>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xiu Zhang">
    <w15:presenceInfo w15:providerId="Windows Live" w15:userId="2d3e1568cf98a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82D4D"/>
    <w:rsid w:val="000D7B1D"/>
    <w:rsid w:val="001824C7"/>
    <w:rsid w:val="002124C9"/>
    <w:rsid w:val="002C317E"/>
    <w:rsid w:val="003779D3"/>
    <w:rsid w:val="004245AD"/>
    <w:rsid w:val="004D6A77"/>
    <w:rsid w:val="005103BB"/>
    <w:rsid w:val="006E00ED"/>
    <w:rsid w:val="00713260"/>
    <w:rsid w:val="00877794"/>
    <w:rsid w:val="008B3D94"/>
    <w:rsid w:val="008D74B2"/>
    <w:rsid w:val="008E1CEC"/>
    <w:rsid w:val="00967CFE"/>
    <w:rsid w:val="00A651B8"/>
    <w:rsid w:val="00A70E50"/>
    <w:rsid w:val="00B3711A"/>
    <w:rsid w:val="00BC4AAB"/>
    <w:rsid w:val="00E67D67"/>
    <w:rsid w:val="00F74473"/>
    <w:rsid w:val="00F878F2"/>
    <w:rsid w:val="00FA73CA"/>
    <w:rsid w:val="00FA7483"/>
    <w:rsid w:val="00FB0A95"/>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2</cp:revision>
  <dcterms:created xsi:type="dcterms:W3CDTF">2018-12-19T08:49:00Z</dcterms:created>
  <dcterms:modified xsi:type="dcterms:W3CDTF">2018-12-19T08:49:00Z</dcterms:modified>
</cp:coreProperties>
</file>