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4B78F" w14:textId="77777777" w:rsidR="005103BB" w:rsidRPr="00FD6EB9" w:rsidRDefault="004D6A77" w:rsidP="00FD6EB9">
      <w:pPr>
        <w:jc w:val="center"/>
        <w:rPr>
          <w:rFonts w:ascii="Times New Roman" w:hAnsi="Times New Roman" w:cs="Times New Roman"/>
          <w:b/>
          <w:sz w:val="28"/>
        </w:rPr>
      </w:pPr>
      <w:r w:rsidRPr="00FD6EB9">
        <w:rPr>
          <w:rFonts w:ascii="Times New Roman" w:hAnsi="Times New Roman" w:cs="Times New Roman"/>
          <w:b/>
          <w:sz w:val="28"/>
        </w:rPr>
        <w:t>The ODD protocol</w:t>
      </w:r>
    </w:p>
    <w:p w14:paraId="53B2D1D9" w14:textId="77777777" w:rsidR="008D74B2" w:rsidRDefault="004D6A77">
      <w:pPr>
        <w:rPr>
          <w:rFonts w:ascii="Times New Roman" w:hAnsi="Times New Roman" w:cs="Times New Roman"/>
          <w:sz w:val="24"/>
        </w:rPr>
      </w:pPr>
      <w:r w:rsidRPr="004D6A77">
        <w:rPr>
          <w:rFonts w:ascii="Times New Roman" w:hAnsi="Times New Roman" w:cs="Times New Roman"/>
          <w:sz w:val="24"/>
        </w:rPr>
        <w:t>This model description follows the ODD (Overview, Design, Concepts and Details) protocol by Grimm (2010,2006) to facilitate the reproducibility of agent</w:t>
      </w:r>
      <w:r w:rsidR="00FD6EB9">
        <w:rPr>
          <w:rFonts w:ascii="Times New Roman" w:hAnsi="Times New Roman" w:cs="Times New Roman"/>
          <w:sz w:val="24"/>
        </w:rPr>
        <w:t>-</w:t>
      </w:r>
      <w:r w:rsidRPr="004D6A77">
        <w:rPr>
          <w:rFonts w:ascii="Times New Roman" w:hAnsi="Times New Roman" w:cs="Times New Roman"/>
          <w:sz w:val="24"/>
        </w:rPr>
        <w:t>based models.</w:t>
      </w:r>
    </w:p>
    <w:p w14:paraId="0E295710" w14:textId="77777777" w:rsidR="008D74B2" w:rsidRDefault="008D74B2" w:rsidP="008D74B2">
      <w:pPr>
        <w:pStyle w:val="ListParagraph"/>
        <w:numPr>
          <w:ilvl w:val="0"/>
          <w:numId w:val="1"/>
        </w:numPr>
        <w:rPr>
          <w:rFonts w:ascii="Times New Roman" w:hAnsi="Times New Roman" w:cs="Times New Roman"/>
          <w:b/>
          <w:sz w:val="24"/>
        </w:rPr>
      </w:pPr>
      <w:r w:rsidRPr="008D74B2">
        <w:rPr>
          <w:rFonts w:ascii="Times New Roman" w:hAnsi="Times New Roman" w:cs="Times New Roman"/>
          <w:b/>
          <w:sz w:val="28"/>
        </w:rPr>
        <w:t xml:space="preserve">Overview </w:t>
      </w:r>
      <w:r w:rsidR="004D6A77" w:rsidRPr="008D74B2">
        <w:rPr>
          <w:rFonts w:ascii="Times New Roman" w:hAnsi="Times New Roman" w:cs="Times New Roman"/>
          <w:b/>
          <w:sz w:val="24"/>
        </w:rPr>
        <w:t xml:space="preserve"> </w:t>
      </w:r>
    </w:p>
    <w:p w14:paraId="62FDC37F" w14:textId="77777777" w:rsidR="008D74B2" w:rsidRPr="008D74B2" w:rsidRDefault="008D74B2" w:rsidP="008D74B2">
      <w:pPr>
        <w:pStyle w:val="ListParagraph"/>
        <w:ind w:left="360"/>
        <w:rPr>
          <w:rFonts w:ascii="Times New Roman" w:hAnsi="Times New Roman" w:cs="Times New Roman"/>
          <w:b/>
          <w:sz w:val="24"/>
        </w:rPr>
      </w:pPr>
    </w:p>
    <w:p w14:paraId="3C41D24D" w14:textId="77777777" w:rsidR="004D6A77" w:rsidRPr="008D74B2" w:rsidRDefault="004D6A77" w:rsidP="008D74B2">
      <w:pPr>
        <w:pStyle w:val="ListParagraph"/>
        <w:numPr>
          <w:ilvl w:val="1"/>
          <w:numId w:val="1"/>
        </w:numPr>
        <w:rPr>
          <w:rFonts w:ascii="Times New Roman" w:hAnsi="Times New Roman" w:cs="Times New Roman"/>
          <w:b/>
          <w:sz w:val="24"/>
        </w:rPr>
      </w:pPr>
      <w:r w:rsidRPr="008D74B2">
        <w:rPr>
          <w:rFonts w:ascii="Times New Roman" w:hAnsi="Times New Roman" w:cs="Times New Roman"/>
          <w:b/>
          <w:sz w:val="24"/>
        </w:rPr>
        <w:t>Purpose</w:t>
      </w:r>
    </w:p>
    <w:p w14:paraId="442DB4C8" w14:textId="223DD931" w:rsidR="004D6A77" w:rsidRPr="004D6A77" w:rsidRDefault="004D6A77">
      <w:pPr>
        <w:rPr>
          <w:rFonts w:ascii="Times New Roman" w:hAnsi="Times New Roman" w:cs="Times New Roman"/>
          <w:sz w:val="24"/>
        </w:rPr>
      </w:pPr>
      <w:r w:rsidRPr="004D6A77">
        <w:rPr>
          <w:rFonts w:ascii="Times New Roman" w:hAnsi="Times New Roman" w:cs="Times New Roman"/>
          <w:sz w:val="24"/>
        </w:rPr>
        <w:t xml:space="preserve">This purpose of this agent-based model is to understand the micro-level processes contributing to the emerging yet limited diffusion of adaptation practices among transit agencies. </w:t>
      </w:r>
      <w:r w:rsidR="0056098F">
        <w:rPr>
          <w:rFonts w:ascii="Times New Roman" w:hAnsi="Times New Roman" w:cs="Times New Roman"/>
          <w:sz w:val="24"/>
        </w:rPr>
        <w:t>It uses the empirical setting of transit agencies adapting to extreme weather events through resilience-enhancing capital investment against extreme weather impacts.</w:t>
      </w:r>
    </w:p>
    <w:p w14:paraId="287D2A35" w14:textId="69D7B778" w:rsidR="004D6A77" w:rsidRDefault="00FD6EB9" w:rsidP="008D74B2">
      <w:pPr>
        <w:pStyle w:val="ListParagraph"/>
        <w:numPr>
          <w:ilvl w:val="1"/>
          <w:numId w:val="1"/>
        </w:numPr>
        <w:rPr>
          <w:rFonts w:ascii="Times New Roman" w:hAnsi="Times New Roman" w:cs="Times New Roman"/>
          <w:b/>
          <w:sz w:val="24"/>
        </w:rPr>
      </w:pPr>
      <w:r w:rsidRPr="008D74B2">
        <w:rPr>
          <w:rFonts w:ascii="Times New Roman" w:hAnsi="Times New Roman" w:cs="Times New Roman"/>
          <w:b/>
          <w:sz w:val="24"/>
        </w:rPr>
        <w:t xml:space="preserve">Entities, state variables and scales </w:t>
      </w:r>
    </w:p>
    <w:p w14:paraId="13A66078" w14:textId="68580768" w:rsidR="000519E0" w:rsidRPr="000519E0" w:rsidRDefault="000519E0" w:rsidP="000519E0">
      <w:pPr>
        <w:rPr>
          <w:rFonts w:ascii="Times New Roman" w:hAnsi="Times New Roman" w:cs="Times New Roman"/>
          <w:sz w:val="24"/>
        </w:rPr>
      </w:pPr>
      <w:r w:rsidRPr="000519E0">
        <w:rPr>
          <w:rFonts w:ascii="Times New Roman" w:hAnsi="Times New Roman" w:cs="Times New Roman"/>
          <w:sz w:val="24"/>
        </w:rPr>
        <w:t xml:space="preserve">This </w:t>
      </w:r>
      <w:r>
        <w:rPr>
          <w:rFonts w:ascii="Times New Roman" w:hAnsi="Times New Roman" w:cs="Times New Roman"/>
          <w:sz w:val="24"/>
        </w:rPr>
        <w:t xml:space="preserve">section describes the agent in the model, by defining the state variables and attributes that characterize the agents. It also elaborates the </w:t>
      </w:r>
      <w:r w:rsidR="00F27388">
        <w:rPr>
          <w:rFonts w:ascii="Times New Roman" w:hAnsi="Times New Roman" w:cs="Times New Roman" w:hint="eastAsia"/>
          <w:sz w:val="24"/>
        </w:rPr>
        <w:t>environment</w:t>
      </w:r>
      <w:r w:rsidR="00F27388">
        <w:rPr>
          <w:rFonts w:ascii="Times New Roman" w:hAnsi="Times New Roman" w:cs="Times New Roman"/>
          <w:sz w:val="24"/>
        </w:rPr>
        <w:t xml:space="preserve"> </w:t>
      </w:r>
      <w:r>
        <w:rPr>
          <w:rFonts w:ascii="Times New Roman" w:hAnsi="Times New Roman" w:cs="Times New Roman"/>
          <w:sz w:val="24"/>
        </w:rPr>
        <w:t>and temporal extents of the model.</w:t>
      </w:r>
    </w:p>
    <w:p w14:paraId="60BCB352" w14:textId="2694B2F1" w:rsidR="0056098F" w:rsidRPr="0056098F" w:rsidRDefault="0056098F" w:rsidP="0056098F">
      <w:pPr>
        <w:pStyle w:val="ListParagraph"/>
        <w:numPr>
          <w:ilvl w:val="2"/>
          <w:numId w:val="1"/>
        </w:numPr>
        <w:rPr>
          <w:rFonts w:ascii="Times New Roman" w:hAnsi="Times New Roman" w:cs="Times New Roman"/>
          <w:b/>
          <w:sz w:val="24"/>
        </w:rPr>
      </w:pPr>
      <w:r>
        <w:rPr>
          <w:rFonts w:ascii="Times New Roman" w:hAnsi="Times New Roman" w:cs="Times New Roman"/>
          <w:b/>
          <w:sz w:val="24"/>
        </w:rPr>
        <w:t>Agents</w:t>
      </w:r>
    </w:p>
    <w:p w14:paraId="1FD0757A" w14:textId="42439104" w:rsidR="0056098F" w:rsidRDefault="00FA73CA">
      <w:pPr>
        <w:rPr>
          <w:rFonts w:ascii="Times New Roman" w:hAnsi="Times New Roman" w:cs="Times New Roman"/>
          <w:sz w:val="24"/>
        </w:rPr>
      </w:pPr>
      <w:r>
        <w:rPr>
          <w:rFonts w:ascii="Times New Roman" w:hAnsi="Times New Roman" w:cs="Times New Roman"/>
          <w:sz w:val="24"/>
        </w:rPr>
        <w:t xml:space="preserve">The model </w:t>
      </w:r>
      <w:r w:rsidR="0056098F">
        <w:rPr>
          <w:rFonts w:ascii="Times New Roman" w:hAnsi="Times New Roman" w:cs="Times New Roman"/>
          <w:sz w:val="24"/>
        </w:rPr>
        <w:t>contains two types of agents: transit agencie</w:t>
      </w:r>
      <w:r w:rsidR="003613BB">
        <w:rPr>
          <w:rFonts w:ascii="Times New Roman" w:hAnsi="Times New Roman" w:cs="Times New Roman"/>
          <w:sz w:val="24"/>
        </w:rPr>
        <w:t>s, solutions and regional office of Federal Transit Administration (FTA)</w:t>
      </w:r>
      <w:r w:rsidR="0056098F">
        <w:rPr>
          <w:rFonts w:ascii="Times New Roman" w:hAnsi="Times New Roman" w:cs="Times New Roman"/>
          <w:sz w:val="24"/>
        </w:rPr>
        <w:t xml:space="preserve">. </w:t>
      </w:r>
      <w:r w:rsidR="00F81BB3">
        <w:rPr>
          <w:rFonts w:ascii="Times New Roman" w:hAnsi="Times New Roman" w:cs="Times New Roman"/>
          <w:sz w:val="24"/>
        </w:rPr>
        <w:t xml:space="preserve">From the very beginning, each of transit agencies are attached to a solution which copes the immediate impacts of extreme weather events. Adaptation solutions are randomly distributed across </w:t>
      </w:r>
      <w:r w:rsidR="004F6DA0">
        <w:rPr>
          <w:rFonts w:ascii="Times New Roman" w:hAnsi="Times New Roman" w:cs="Times New Roman"/>
          <w:sz w:val="24"/>
        </w:rPr>
        <w:t>modeling space</w:t>
      </w:r>
      <w:r w:rsidR="00F81BB3">
        <w:rPr>
          <w:rFonts w:ascii="Times New Roman" w:hAnsi="Times New Roman" w:cs="Times New Roman"/>
          <w:sz w:val="24"/>
        </w:rPr>
        <w:t xml:space="preserve">, with a higher efficacy value than the coping solutions. </w:t>
      </w:r>
      <w:r w:rsidR="008C4910">
        <w:rPr>
          <w:rFonts w:ascii="Times New Roman" w:hAnsi="Times New Roman" w:cs="Times New Roman"/>
          <w:sz w:val="24"/>
        </w:rPr>
        <w:t>Agents are heterogenous in their capacity,</w:t>
      </w:r>
      <w:r w:rsidR="00B435BF">
        <w:rPr>
          <w:rFonts w:ascii="Times New Roman" w:hAnsi="Times New Roman" w:cs="Times New Roman"/>
          <w:sz w:val="24"/>
        </w:rPr>
        <w:t xml:space="preserve"> </w:t>
      </w:r>
      <w:r w:rsidR="008C4910">
        <w:rPr>
          <w:rFonts w:ascii="Times New Roman" w:hAnsi="Times New Roman" w:cs="Times New Roman"/>
          <w:sz w:val="24"/>
        </w:rPr>
        <w:t>their natural environment</w:t>
      </w:r>
      <w:r w:rsidR="00B435BF">
        <w:rPr>
          <w:rFonts w:ascii="Times New Roman" w:hAnsi="Times New Roman" w:cs="Times New Roman"/>
          <w:sz w:val="24"/>
        </w:rPr>
        <w:t xml:space="preserve">, </w:t>
      </w:r>
      <w:r w:rsidR="008C4910">
        <w:rPr>
          <w:rFonts w:ascii="Times New Roman" w:hAnsi="Times New Roman" w:cs="Times New Roman"/>
          <w:sz w:val="24"/>
        </w:rPr>
        <w:t>the level of accepted risk</w:t>
      </w:r>
      <w:r w:rsidR="00B435BF">
        <w:rPr>
          <w:rFonts w:ascii="Times New Roman" w:hAnsi="Times New Roman" w:cs="Times New Roman"/>
          <w:sz w:val="24"/>
        </w:rPr>
        <w:t xml:space="preserve"> and the number of windows they have access to</w:t>
      </w:r>
      <w:r w:rsidR="008C4910">
        <w:rPr>
          <w:rFonts w:ascii="Times New Roman" w:hAnsi="Times New Roman" w:cs="Times New Roman"/>
          <w:sz w:val="24"/>
        </w:rPr>
        <w:t xml:space="preserve">. </w:t>
      </w:r>
      <w:r w:rsidR="00B435BF">
        <w:rPr>
          <w:rFonts w:ascii="Times New Roman" w:hAnsi="Times New Roman" w:cs="Times New Roman"/>
          <w:sz w:val="24"/>
        </w:rPr>
        <w:t xml:space="preserve">There are two types of solutions, indicated by a Boolean attribute of the solutions. The solutions differ in efficacy and costs, based on their type. </w:t>
      </w:r>
    </w:p>
    <w:p w14:paraId="3A69F3A2" w14:textId="77777777" w:rsidR="00B608D2" w:rsidRPr="00B608D2" w:rsidRDefault="00B608D2" w:rsidP="00B608D2">
      <w:pPr>
        <w:rPr>
          <w:rFonts w:ascii="Times New Roman" w:hAnsi="Times New Roman" w:cs="Times New Roman"/>
          <w:sz w:val="24"/>
        </w:rPr>
      </w:pPr>
      <w:r w:rsidRPr="00B608D2">
        <w:rPr>
          <w:rFonts w:ascii="Times New Roman" w:hAnsi="Times New Roman" w:cs="Times New Roman"/>
          <w:sz w:val="24"/>
        </w:rPr>
        <w:t xml:space="preserve">The model includes three ways for an agency to form network connections : 1) with agencies in the same region; 2) with agencies located in difficult regions; 3) with its FTA regional offices. In initiating an agency’s connected with other organizations within and across regions, the model applies the lottery algorithm in Netlogo (Wilensky, 1999) to reflect the fact that biggest agencies are typically more connected within and outside their region. </w:t>
      </w:r>
    </w:p>
    <w:p w14:paraId="3ABE0F6E" w14:textId="77777777" w:rsidR="00B608D2" w:rsidRDefault="00B608D2" w:rsidP="00B608D2">
      <w:pPr>
        <w:rPr>
          <w:rFonts w:ascii="Times New Roman" w:hAnsi="Times New Roman" w:cs="Times New Roman"/>
          <w:sz w:val="24"/>
        </w:rPr>
      </w:pPr>
      <w:r w:rsidRPr="00B608D2">
        <w:rPr>
          <w:rFonts w:ascii="Times New Roman" w:hAnsi="Times New Roman" w:cs="Times New Roman"/>
          <w:sz w:val="24"/>
        </w:rPr>
        <w:t xml:space="preserve">The links do not have attributes and are only used in agencies’ search for adaptation solutions. Specifically, when looking out for alternative approaches, an agency can formally access solutions through their network ties within their region, or informally through network ties outside their region. The regional FTA office serves as a hub to garner information about resilience-enhancing capital investment in the region, which they either distribute to member transit agencies in a regular basis or share with agencies upon requests. The current model does not distinguish the various mechanisms and the speed thereof through which an agency can access information and choices among their three networks. </w:t>
      </w:r>
    </w:p>
    <w:p w14:paraId="790D597E" w14:textId="5926A613" w:rsidR="0098685F" w:rsidRDefault="0098685F" w:rsidP="00B608D2">
      <w:pPr>
        <w:rPr>
          <w:rFonts w:ascii="Times New Roman" w:hAnsi="Times New Roman" w:cs="Times New Roman"/>
          <w:sz w:val="24"/>
        </w:rPr>
      </w:pPr>
      <w:r>
        <w:rPr>
          <w:rFonts w:ascii="Times New Roman" w:hAnsi="Times New Roman" w:cs="Times New Roman"/>
          <w:sz w:val="24"/>
        </w:rPr>
        <w:t xml:space="preserve">The model includes a few global settings to specify the number of initial solutions distributed over the modeling space, the scanning range an agency can reach out to in searching for new </w:t>
      </w:r>
      <w:r>
        <w:rPr>
          <w:rFonts w:ascii="Times New Roman" w:hAnsi="Times New Roman" w:cs="Times New Roman"/>
          <w:sz w:val="24"/>
        </w:rPr>
        <w:lastRenderedPageBreak/>
        <w:t xml:space="preserve">solutions, the maximum number of windows an agency can access and the maximum extent to which an organization can mitigate expected impacts from bad weather events through improving coping measure focused on reacting to the immediate impacts in the aftermath of an extreme weather events and recovery to the pre-event status. All agent attributes and their state variables are provided in Table 1, including the description and parameterization of each state variable. </w:t>
      </w:r>
    </w:p>
    <w:p w14:paraId="544F160A" w14:textId="77777777" w:rsidR="0098685F" w:rsidRDefault="0098685F">
      <w:pPr>
        <w:rPr>
          <w:rFonts w:ascii="Times New Roman" w:hAnsi="Times New Roman" w:cs="Times New Roman"/>
          <w:sz w:val="24"/>
        </w:rPr>
      </w:pPr>
    </w:p>
    <w:p w14:paraId="238E0097" w14:textId="77777777" w:rsidR="00266F71" w:rsidRPr="00716A28" w:rsidRDefault="00266F71" w:rsidP="00266F71">
      <w:pPr>
        <w:rPr>
          <w:rFonts w:ascii="Times New Roman" w:hAnsi="Times New Roman" w:cs="Times New Roman"/>
          <w:b/>
          <w:sz w:val="24"/>
        </w:rPr>
      </w:pPr>
      <w:r w:rsidRPr="00716A28">
        <w:rPr>
          <w:rFonts w:ascii="Times New Roman" w:hAnsi="Times New Roman" w:cs="Times New Roman"/>
          <w:b/>
          <w:sz w:val="24"/>
        </w:rPr>
        <w:t xml:space="preserve">Table 1. Agent attributes </w:t>
      </w:r>
    </w:p>
    <w:tbl>
      <w:tblPr>
        <w:tblW w:w="5000" w:type="pct"/>
        <w:tblLook w:val="04A0" w:firstRow="1" w:lastRow="0" w:firstColumn="1" w:lastColumn="0" w:noHBand="0" w:noVBand="1"/>
      </w:tblPr>
      <w:tblGrid>
        <w:gridCol w:w="1896"/>
        <w:gridCol w:w="3206"/>
        <w:gridCol w:w="4258"/>
      </w:tblGrid>
      <w:tr w:rsidR="008E78B4" w:rsidRPr="008E78B4" w14:paraId="6FFB544B" w14:textId="77777777" w:rsidTr="008E78B4">
        <w:trPr>
          <w:trHeight w:val="396"/>
        </w:trPr>
        <w:tc>
          <w:tcPr>
            <w:tcW w:w="967" w:type="pct"/>
            <w:tcBorders>
              <w:top w:val="single" w:sz="8" w:space="0" w:color="auto"/>
              <w:left w:val="nil"/>
              <w:bottom w:val="single" w:sz="8" w:space="0" w:color="auto"/>
              <w:right w:val="nil"/>
            </w:tcBorders>
            <w:shd w:val="clear" w:color="auto" w:fill="auto"/>
            <w:noWrap/>
            <w:vAlign w:val="center"/>
            <w:hideMark/>
          </w:tcPr>
          <w:p w14:paraId="6D04CF09" w14:textId="77777777" w:rsidR="008E78B4" w:rsidRPr="008E78B4" w:rsidRDefault="008E78B4" w:rsidP="008E78B4">
            <w:pPr>
              <w:spacing w:after="0" w:line="240" w:lineRule="auto"/>
              <w:rPr>
                <w:rFonts w:ascii="Times New Roman" w:eastAsia="Times New Roman" w:hAnsi="Times New Roman" w:cs="Times New Roman"/>
                <w:b/>
                <w:bCs/>
                <w:color w:val="000000"/>
                <w:sz w:val="20"/>
                <w:szCs w:val="20"/>
              </w:rPr>
            </w:pPr>
            <w:r w:rsidRPr="008E78B4">
              <w:rPr>
                <w:rFonts w:ascii="Times New Roman" w:eastAsia="Times New Roman" w:hAnsi="Times New Roman" w:cs="Times New Roman"/>
                <w:b/>
                <w:bCs/>
                <w:color w:val="000000"/>
                <w:sz w:val="20"/>
                <w:szCs w:val="20"/>
              </w:rPr>
              <w:t>Attributes</w:t>
            </w:r>
          </w:p>
        </w:tc>
        <w:tc>
          <w:tcPr>
            <w:tcW w:w="171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C878068" w14:textId="77777777" w:rsidR="008E78B4" w:rsidRPr="008E78B4" w:rsidRDefault="008E78B4" w:rsidP="008E78B4">
            <w:pPr>
              <w:spacing w:after="0" w:line="240" w:lineRule="auto"/>
              <w:rPr>
                <w:rFonts w:ascii="Times New Roman" w:eastAsia="Times New Roman" w:hAnsi="Times New Roman" w:cs="Times New Roman"/>
                <w:b/>
                <w:bCs/>
                <w:color w:val="000000"/>
                <w:sz w:val="20"/>
                <w:szCs w:val="20"/>
              </w:rPr>
            </w:pPr>
            <w:r w:rsidRPr="008E78B4">
              <w:rPr>
                <w:rFonts w:ascii="Times New Roman" w:eastAsia="Times New Roman" w:hAnsi="Times New Roman" w:cs="Times New Roman"/>
                <w:b/>
                <w:bCs/>
                <w:color w:val="000000"/>
                <w:sz w:val="20"/>
                <w:szCs w:val="20"/>
              </w:rPr>
              <w:t>Description</w:t>
            </w:r>
          </w:p>
        </w:tc>
        <w:tc>
          <w:tcPr>
            <w:tcW w:w="2317" w:type="pct"/>
            <w:tcBorders>
              <w:top w:val="single" w:sz="8" w:space="0" w:color="auto"/>
              <w:left w:val="nil"/>
              <w:bottom w:val="single" w:sz="8" w:space="0" w:color="auto"/>
              <w:right w:val="nil"/>
            </w:tcBorders>
            <w:shd w:val="clear" w:color="auto" w:fill="auto"/>
            <w:noWrap/>
            <w:vAlign w:val="center"/>
            <w:hideMark/>
          </w:tcPr>
          <w:p w14:paraId="2556049A" w14:textId="77777777" w:rsidR="008E78B4" w:rsidRPr="008E78B4" w:rsidRDefault="008E78B4" w:rsidP="008E78B4">
            <w:pPr>
              <w:spacing w:after="0" w:line="240" w:lineRule="auto"/>
              <w:rPr>
                <w:rFonts w:ascii="Times New Roman" w:eastAsia="Times New Roman" w:hAnsi="Times New Roman" w:cs="Times New Roman"/>
                <w:b/>
                <w:bCs/>
                <w:color w:val="000000"/>
                <w:sz w:val="20"/>
                <w:szCs w:val="20"/>
              </w:rPr>
            </w:pPr>
            <w:r w:rsidRPr="008E78B4">
              <w:rPr>
                <w:rFonts w:ascii="Times New Roman" w:eastAsia="Times New Roman" w:hAnsi="Times New Roman" w:cs="Times New Roman"/>
                <w:b/>
                <w:bCs/>
                <w:color w:val="000000"/>
                <w:sz w:val="20"/>
                <w:szCs w:val="20"/>
              </w:rPr>
              <w:t>Initial value</w:t>
            </w:r>
          </w:p>
        </w:tc>
      </w:tr>
      <w:tr w:rsidR="008E78B4" w:rsidRPr="008E78B4" w14:paraId="1D8387C6" w14:textId="77777777" w:rsidTr="008E78B4">
        <w:trPr>
          <w:trHeight w:val="396"/>
        </w:trPr>
        <w:tc>
          <w:tcPr>
            <w:tcW w:w="2683" w:type="pct"/>
            <w:gridSpan w:val="2"/>
            <w:tcBorders>
              <w:top w:val="single" w:sz="8" w:space="0" w:color="auto"/>
              <w:left w:val="nil"/>
              <w:bottom w:val="single" w:sz="8" w:space="0" w:color="auto"/>
              <w:right w:val="nil"/>
            </w:tcBorders>
            <w:shd w:val="clear" w:color="auto" w:fill="auto"/>
            <w:noWrap/>
            <w:vAlign w:val="center"/>
            <w:hideMark/>
          </w:tcPr>
          <w:p w14:paraId="17DDC4F9" w14:textId="77777777" w:rsidR="008E78B4" w:rsidRPr="008E78B4" w:rsidRDefault="008E78B4" w:rsidP="008E78B4">
            <w:pPr>
              <w:spacing w:after="0" w:line="240" w:lineRule="auto"/>
              <w:rPr>
                <w:rFonts w:ascii="Times New Roman" w:eastAsia="Times New Roman" w:hAnsi="Times New Roman" w:cs="Times New Roman"/>
                <w:b/>
                <w:bCs/>
                <w:color w:val="000000"/>
                <w:sz w:val="20"/>
                <w:szCs w:val="20"/>
              </w:rPr>
            </w:pPr>
            <w:r w:rsidRPr="008E78B4">
              <w:rPr>
                <w:rFonts w:ascii="Times New Roman" w:eastAsia="Times New Roman" w:hAnsi="Times New Roman" w:cs="Times New Roman"/>
                <w:b/>
                <w:bCs/>
                <w:color w:val="000000"/>
                <w:sz w:val="20"/>
                <w:szCs w:val="20"/>
              </w:rPr>
              <w:t>Transit agency</w:t>
            </w:r>
          </w:p>
        </w:tc>
        <w:tc>
          <w:tcPr>
            <w:tcW w:w="2317" w:type="pct"/>
            <w:tcBorders>
              <w:top w:val="nil"/>
              <w:left w:val="nil"/>
              <w:bottom w:val="single" w:sz="8" w:space="0" w:color="auto"/>
              <w:right w:val="nil"/>
            </w:tcBorders>
            <w:shd w:val="clear" w:color="auto" w:fill="auto"/>
            <w:noWrap/>
            <w:vAlign w:val="center"/>
            <w:hideMark/>
          </w:tcPr>
          <w:p w14:paraId="31DA4486"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 </w:t>
            </w:r>
          </w:p>
        </w:tc>
      </w:tr>
      <w:tr w:rsidR="008E78B4" w:rsidRPr="008E78B4" w14:paraId="7C03298C" w14:textId="77777777" w:rsidTr="008E78B4">
        <w:trPr>
          <w:trHeight w:val="396"/>
        </w:trPr>
        <w:tc>
          <w:tcPr>
            <w:tcW w:w="967" w:type="pct"/>
            <w:tcBorders>
              <w:top w:val="nil"/>
              <w:left w:val="nil"/>
              <w:bottom w:val="single" w:sz="8" w:space="0" w:color="auto"/>
              <w:right w:val="single" w:sz="8" w:space="0" w:color="auto"/>
            </w:tcBorders>
            <w:shd w:val="clear" w:color="auto" w:fill="auto"/>
            <w:noWrap/>
            <w:vAlign w:val="center"/>
            <w:hideMark/>
          </w:tcPr>
          <w:p w14:paraId="59FC6828"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Extreme weather probability</w:t>
            </w:r>
          </w:p>
        </w:tc>
        <w:tc>
          <w:tcPr>
            <w:tcW w:w="1716" w:type="pct"/>
            <w:tcBorders>
              <w:top w:val="nil"/>
              <w:left w:val="nil"/>
              <w:bottom w:val="single" w:sz="8" w:space="0" w:color="auto"/>
              <w:right w:val="single" w:sz="8" w:space="0" w:color="auto"/>
            </w:tcBorders>
            <w:shd w:val="clear" w:color="auto" w:fill="auto"/>
            <w:vAlign w:val="center"/>
            <w:hideMark/>
          </w:tcPr>
          <w:p w14:paraId="4334AD55"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The probability of having an extreme weather event in a given tick</w:t>
            </w:r>
          </w:p>
        </w:tc>
        <w:tc>
          <w:tcPr>
            <w:tcW w:w="2317" w:type="pct"/>
            <w:tcBorders>
              <w:top w:val="nil"/>
              <w:left w:val="nil"/>
              <w:bottom w:val="single" w:sz="8" w:space="0" w:color="auto"/>
              <w:right w:val="nil"/>
            </w:tcBorders>
            <w:shd w:val="clear" w:color="auto" w:fill="auto"/>
            <w:noWrap/>
            <w:vAlign w:val="center"/>
            <w:hideMark/>
          </w:tcPr>
          <w:p w14:paraId="56EA77CF"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Floating point ranges from 0 to 0.145.</w:t>
            </w:r>
          </w:p>
        </w:tc>
      </w:tr>
      <w:tr w:rsidR="008E78B4" w:rsidRPr="008E78B4" w14:paraId="1EEB2623" w14:textId="77777777" w:rsidTr="008E78B4">
        <w:trPr>
          <w:trHeight w:val="396"/>
        </w:trPr>
        <w:tc>
          <w:tcPr>
            <w:tcW w:w="967" w:type="pct"/>
            <w:tcBorders>
              <w:top w:val="nil"/>
              <w:left w:val="nil"/>
              <w:bottom w:val="single" w:sz="8" w:space="0" w:color="auto"/>
              <w:right w:val="single" w:sz="8" w:space="0" w:color="auto"/>
            </w:tcBorders>
            <w:shd w:val="clear" w:color="auto" w:fill="auto"/>
            <w:noWrap/>
            <w:vAlign w:val="center"/>
            <w:hideMark/>
          </w:tcPr>
          <w:p w14:paraId="205DC889"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Expected extreme weather probability</w:t>
            </w:r>
          </w:p>
        </w:tc>
        <w:tc>
          <w:tcPr>
            <w:tcW w:w="1716" w:type="pct"/>
            <w:tcBorders>
              <w:top w:val="nil"/>
              <w:left w:val="nil"/>
              <w:bottom w:val="single" w:sz="8" w:space="0" w:color="auto"/>
              <w:right w:val="single" w:sz="8" w:space="0" w:color="auto"/>
            </w:tcBorders>
            <w:shd w:val="clear" w:color="auto" w:fill="auto"/>
            <w:vAlign w:val="center"/>
            <w:hideMark/>
          </w:tcPr>
          <w:p w14:paraId="48E3002B"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The probability at which an agency expects to have an extreme weather event</w:t>
            </w:r>
          </w:p>
        </w:tc>
        <w:tc>
          <w:tcPr>
            <w:tcW w:w="2317" w:type="pct"/>
            <w:tcBorders>
              <w:top w:val="nil"/>
              <w:left w:val="nil"/>
              <w:bottom w:val="single" w:sz="8" w:space="0" w:color="auto"/>
              <w:right w:val="nil"/>
            </w:tcBorders>
            <w:shd w:val="clear" w:color="auto" w:fill="auto"/>
            <w:noWrap/>
            <w:vAlign w:val="center"/>
            <w:hideMark/>
          </w:tcPr>
          <w:p w14:paraId="478A47A3"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Initial value equals the objective extreme weather probability</w:t>
            </w:r>
          </w:p>
        </w:tc>
      </w:tr>
      <w:tr w:rsidR="008E78B4" w:rsidRPr="008E78B4" w14:paraId="7BA32504" w14:textId="77777777" w:rsidTr="008E78B4">
        <w:trPr>
          <w:trHeight w:val="396"/>
        </w:trPr>
        <w:tc>
          <w:tcPr>
            <w:tcW w:w="967" w:type="pct"/>
            <w:tcBorders>
              <w:top w:val="nil"/>
              <w:left w:val="nil"/>
              <w:bottom w:val="single" w:sz="8" w:space="0" w:color="auto"/>
              <w:right w:val="single" w:sz="8" w:space="0" w:color="auto"/>
            </w:tcBorders>
            <w:shd w:val="clear" w:color="auto" w:fill="auto"/>
            <w:noWrap/>
            <w:vAlign w:val="center"/>
            <w:hideMark/>
          </w:tcPr>
          <w:p w14:paraId="3E22D219"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Disaster probability</w:t>
            </w:r>
          </w:p>
        </w:tc>
        <w:tc>
          <w:tcPr>
            <w:tcW w:w="1716" w:type="pct"/>
            <w:tcBorders>
              <w:top w:val="nil"/>
              <w:left w:val="nil"/>
              <w:bottom w:val="single" w:sz="8" w:space="0" w:color="auto"/>
              <w:right w:val="single" w:sz="8" w:space="0" w:color="auto"/>
            </w:tcBorders>
            <w:shd w:val="clear" w:color="auto" w:fill="auto"/>
            <w:vAlign w:val="center"/>
            <w:hideMark/>
          </w:tcPr>
          <w:p w14:paraId="58E2EA90"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The probability of having a weather disaster in a given tick</w:t>
            </w:r>
          </w:p>
        </w:tc>
        <w:tc>
          <w:tcPr>
            <w:tcW w:w="2317" w:type="pct"/>
            <w:tcBorders>
              <w:top w:val="nil"/>
              <w:left w:val="nil"/>
              <w:bottom w:val="single" w:sz="8" w:space="0" w:color="auto"/>
              <w:right w:val="nil"/>
            </w:tcBorders>
            <w:shd w:val="clear" w:color="auto" w:fill="auto"/>
            <w:noWrap/>
            <w:vAlign w:val="center"/>
            <w:hideMark/>
          </w:tcPr>
          <w:p w14:paraId="144D7C38"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Floating point ranging from 0 to 0.111</w:t>
            </w:r>
          </w:p>
        </w:tc>
      </w:tr>
      <w:tr w:rsidR="008E78B4" w:rsidRPr="008E78B4" w14:paraId="0DC854D5" w14:textId="77777777" w:rsidTr="008E78B4">
        <w:trPr>
          <w:trHeight w:val="396"/>
        </w:trPr>
        <w:tc>
          <w:tcPr>
            <w:tcW w:w="967" w:type="pct"/>
            <w:tcBorders>
              <w:top w:val="nil"/>
              <w:left w:val="nil"/>
              <w:bottom w:val="single" w:sz="8" w:space="0" w:color="auto"/>
              <w:right w:val="single" w:sz="8" w:space="0" w:color="auto"/>
            </w:tcBorders>
            <w:shd w:val="clear" w:color="auto" w:fill="auto"/>
            <w:noWrap/>
            <w:vAlign w:val="center"/>
            <w:hideMark/>
          </w:tcPr>
          <w:p w14:paraId="3CCFFEE4"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Declaration rate</w:t>
            </w:r>
          </w:p>
        </w:tc>
        <w:tc>
          <w:tcPr>
            <w:tcW w:w="1716" w:type="pct"/>
            <w:tcBorders>
              <w:top w:val="nil"/>
              <w:left w:val="nil"/>
              <w:bottom w:val="single" w:sz="8" w:space="0" w:color="auto"/>
              <w:right w:val="single" w:sz="8" w:space="0" w:color="auto"/>
            </w:tcBorders>
            <w:shd w:val="clear" w:color="auto" w:fill="auto"/>
            <w:vAlign w:val="center"/>
            <w:hideMark/>
          </w:tcPr>
          <w:p w14:paraId="12725529"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 xml:space="preserve">The ratio of disasters that are officially declared </w:t>
            </w:r>
          </w:p>
        </w:tc>
        <w:tc>
          <w:tcPr>
            <w:tcW w:w="2317" w:type="pct"/>
            <w:tcBorders>
              <w:top w:val="nil"/>
              <w:left w:val="nil"/>
              <w:bottom w:val="single" w:sz="8" w:space="0" w:color="auto"/>
              <w:right w:val="nil"/>
            </w:tcBorders>
            <w:shd w:val="clear" w:color="auto" w:fill="auto"/>
            <w:noWrap/>
            <w:vAlign w:val="center"/>
            <w:hideMark/>
          </w:tcPr>
          <w:p w14:paraId="4739C1B0"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Floating point ranging from 0 to 0.076</w:t>
            </w:r>
          </w:p>
        </w:tc>
      </w:tr>
      <w:tr w:rsidR="008E78B4" w:rsidRPr="008E78B4" w14:paraId="33D758B8" w14:textId="77777777" w:rsidTr="008E78B4">
        <w:trPr>
          <w:trHeight w:val="396"/>
        </w:trPr>
        <w:tc>
          <w:tcPr>
            <w:tcW w:w="967" w:type="pct"/>
            <w:tcBorders>
              <w:top w:val="nil"/>
              <w:left w:val="nil"/>
              <w:bottom w:val="single" w:sz="8" w:space="0" w:color="auto"/>
              <w:right w:val="single" w:sz="8" w:space="0" w:color="auto"/>
            </w:tcBorders>
            <w:shd w:val="clear" w:color="auto" w:fill="auto"/>
            <w:noWrap/>
            <w:vAlign w:val="center"/>
            <w:hideMark/>
          </w:tcPr>
          <w:p w14:paraId="596B2553"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Capacity</w:t>
            </w:r>
          </w:p>
        </w:tc>
        <w:tc>
          <w:tcPr>
            <w:tcW w:w="1716" w:type="pct"/>
            <w:tcBorders>
              <w:top w:val="nil"/>
              <w:left w:val="nil"/>
              <w:bottom w:val="single" w:sz="8" w:space="0" w:color="auto"/>
              <w:right w:val="single" w:sz="8" w:space="0" w:color="auto"/>
            </w:tcBorders>
            <w:shd w:val="clear" w:color="auto" w:fill="auto"/>
            <w:vAlign w:val="center"/>
            <w:hideMark/>
          </w:tcPr>
          <w:p w14:paraId="7E83D8F6"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Capacity based on resource endowment and system characteristics to implement a certain solution</w:t>
            </w:r>
          </w:p>
        </w:tc>
        <w:tc>
          <w:tcPr>
            <w:tcW w:w="2317" w:type="pct"/>
            <w:tcBorders>
              <w:top w:val="nil"/>
              <w:left w:val="nil"/>
              <w:bottom w:val="single" w:sz="8" w:space="0" w:color="auto"/>
              <w:right w:val="nil"/>
            </w:tcBorders>
            <w:shd w:val="clear" w:color="auto" w:fill="auto"/>
            <w:noWrap/>
            <w:vAlign w:val="center"/>
            <w:hideMark/>
          </w:tcPr>
          <w:p w14:paraId="23274038"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Floating point ranging from 0.016 to 4.184</w:t>
            </w:r>
          </w:p>
        </w:tc>
      </w:tr>
      <w:tr w:rsidR="008E78B4" w:rsidRPr="008E78B4" w14:paraId="7A429791" w14:textId="77777777" w:rsidTr="008E78B4">
        <w:trPr>
          <w:trHeight w:val="396"/>
        </w:trPr>
        <w:tc>
          <w:tcPr>
            <w:tcW w:w="967" w:type="pct"/>
            <w:tcBorders>
              <w:top w:val="nil"/>
              <w:left w:val="nil"/>
              <w:bottom w:val="single" w:sz="8" w:space="0" w:color="auto"/>
              <w:right w:val="single" w:sz="8" w:space="0" w:color="auto"/>
            </w:tcBorders>
            <w:shd w:val="clear" w:color="auto" w:fill="auto"/>
            <w:noWrap/>
            <w:vAlign w:val="center"/>
            <w:hideMark/>
          </w:tcPr>
          <w:p w14:paraId="67736368"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Level of accepted risk</w:t>
            </w:r>
          </w:p>
        </w:tc>
        <w:tc>
          <w:tcPr>
            <w:tcW w:w="1716" w:type="pct"/>
            <w:tcBorders>
              <w:top w:val="nil"/>
              <w:left w:val="nil"/>
              <w:bottom w:val="single" w:sz="8" w:space="0" w:color="auto"/>
              <w:right w:val="single" w:sz="8" w:space="0" w:color="auto"/>
            </w:tcBorders>
            <w:shd w:val="clear" w:color="auto" w:fill="auto"/>
            <w:vAlign w:val="center"/>
            <w:hideMark/>
          </w:tcPr>
          <w:p w14:paraId="50B98172"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The maximum level of risk acceptable to a given agency</w:t>
            </w:r>
          </w:p>
        </w:tc>
        <w:tc>
          <w:tcPr>
            <w:tcW w:w="2317" w:type="pct"/>
            <w:tcBorders>
              <w:top w:val="nil"/>
              <w:left w:val="nil"/>
              <w:bottom w:val="single" w:sz="8" w:space="0" w:color="auto"/>
              <w:right w:val="nil"/>
            </w:tcBorders>
            <w:shd w:val="clear" w:color="auto" w:fill="auto"/>
            <w:noWrap/>
            <w:vAlign w:val="center"/>
            <w:hideMark/>
          </w:tcPr>
          <w:p w14:paraId="77A7C522"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 xml:space="preserve">Normal distribution with a certain regional mean and standard deviation of 0.1. The regional mean ranges from 0.4 to 0.7. </w:t>
            </w:r>
          </w:p>
        </w:tc>
      </w:tr>
      <w:tr w:rsidR="008E78B4" w:rsidRPr="008E78B4" w14:paraId="4681AF50" w14:textId="77777777" w:rsidTr="008E78B4">
        <w:trPr>
          <w:trHeight w:val="396"/>
        </w:trPr>
        <w:tc>
          <w:tcPr>
            <w:tcW w:w="967" w:type="pct"/>
            <w:tcBorders>
              <w:top w:val="nil"/>
              <w:left w:val="nil"/>
              <w:bottom w:val="single" w:sz="8" w:space="0" w:color="auto"/>
              <w:right w:val="single" w:sz="8" w:space="0" w:color="auto"/>
            </w:tcBorders>
            <w:shd w:val="clear" w:color="auto" w:fill="auto"/>
            <w:noWrap/>
            <w:vAlign w:val="center"/>
            <w:hideMark/>
          </w:tcPr>
          <w:p w14:paraId="67BD9D5E"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Expected bad weather severity</w:t>
            </w:r>
          </w:p>
        </w:tc>
        <w:tc>
          <w:tcPr>
            <w:tcW w:w="1716" w:type="pct"/>
            <w:tcBorders>
              <w:top w:val="nil"/>
              <w:left w:val="nil"/>
              <w:bottom w:val="single" w:sz="8" w:space="0" w:color="auto"/>
              <w:right w:val="single" w:sz="8" w:space="0" w:color="auto"/>
            </w:tcBorders>
            <w:shd w:val="clear" w:color="auto" w:fill="auto"/>
            <w:vAlign w:val="center"/>
            <w:hideMark/>
          </w:tcPr>
          <w:p w14:paraId="704B1D8D"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 xml:space="preserve">The maximum level of weather intensity an organization plans for. </w:t>
            </w:r>
          </w:p>
        </w:tc>
        <w:tc>
          <w:tcPr>
            <w:tcW w:w="2317" w:type="pct"/>
            <w:tcBorders>
              <w:top w:val="nil"/>
              <w:left w:val="nil"/>
              <w:bottom w:val="single" w:sz="8" w:space="0" w:color="auto"/>
              <w:right w:val="nil"/>
            </w:tcBorders>
            <w:shd w:val="clear" w:color="auto" w:fill="auto"/>
            <w:noWrap/>
            <w:vAlign w:val="center"/>
            <w:hideMark/>
          </w:tcPr>
          <w:p w14:paraId="0CB99479" w14:textId="77777777" w:rsidR="008E78B4" w:rsidRPr="008E78B4" w:rsidRDefault="008E78B4" w:rsidP="008E78B4">
            <w:pPr>
              <w:spacing w:after="0" w:line="240" w:lineRule="auto"/>
              <w:jc w:val="right"/>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0.08</w:t>
            </w:r>
          </w:p>
        </w:tc>
      </w:tr>
      <w:tr w:rsidR="008E78B4" w:rsidRPr="008E78B4" w14:paraId="31B6C2F0" w14:textId="77777777" w:rsidTr="008E78B4">
        <w:trPr>
          <w:trHeight w:val="396"/>
        </w:trPr>
        <w:tc>
          <w:tcPr>
            <w:tcW w:w="967" w:type="pct"/>
            <w:tcBorders>
              <w:top w:val="nil"/>
              <w:left w:val="nil"/>
              <w:bottom w:val="single" w:sz="8" w:space="0" w:color="auto"/>
              <w:right w:val="single" w:sz="8" w:space="0" w:color="auto"/>
            </w:tcBorders>
            <w:shd w:val="clear" w:color="auto" w:fill="auto"/>
            <w:noWrap/>
            <w:vAlign w:val="center"/>
            <w:hideMark/>
          </w:tcPr>
          <w:p w14:paraId="782F633B"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Impact reduction rate</w:t>
            </w:r>
          </w:p>
        </w:tc>
        <w:tc>
          <w:tcPr>
            <w:tcW w:w="1716" w:type="pct"/>
            <w:tcBorders>
              <w:top w:val="nil"/>
              <w:left w:val="nil"/>
              <w:bottom w:val="single" w:sz="8" w:space="0" w:color="auto"/>
              <w:right w:val="single" w:sz="8" w:space="0" w:color="auto"/>
            </w:tcBorders>
            <w:shd w:val="clear" w:color="auto" w:fill="auto"/>
            <w:vAlign w:val="center"/>
            <w:hideMark/>
          </w:tcPr>
          <w:p w14:paraId="4CFEC019"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The extent to which an agency can reduce the expected bad weather impact through improving coping solutions</w:t>
            </w:r>
          </w:p>
        </w:tc>
        <w:tc>
          <w:tcPr>
            <w:tcW w:w="2317" w:type="pct"/>
            <w:tcBorders>
              <w:top w:val="nil"/>
              <w:left w:val="nil"/>
              <w:bottom w:val="single" w:sz="8" w:space="0" w:color="auto"/>
              <w:right w:val="nil"/>
            </w:tcBorders>
            <w:shd w:val="clear" w:color="auto" w:fill="auto"/>
            <w:noWrap/>
            <w:vAlign w:val="center"/>
            <w:hideMark/>
          </w:tcPr>
          <w:p w14:paraId="641C6E0D"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Floating point ranging from 0.10 to 0.40</w:t>
            </w:r>
          </w:p>
        </w:tc>
      </w:tr>
      <w:tr w:rsidR="008E78B4" w:rsidRPr="008E78B4" w14:paraId="79F54B2D" w14:textId="77777777" w:rsidTr="008E78B4">
        <w:trPr>
          <w:trHeight w:val="396"/>
        </w:trPr>
        <w:tc>
          <w:tcPr>
            <w:tcW w:w="967" w:type="pct"/>
            <w:tcBorders>
              <w:top w:val="nil"/>
              <w:left w:val="nil"/>
              <w:bottom w:val="single" w:sz="8" w:space="0" w:color="auto"/>
              <w:right w:val="single" w:sz="8" w:space="0" w:color="auto"/>
            </w:tcBorders>
            <w:shd w:val="clear" w:color="auto" w:fill="auto"/>
            <w:noWrap/>
            <w:vAlign w:val="center"/>
            <w:hideMark/>
          </w:tcPr>
          <w:p w14:paraId="4B613F56"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Maximum impact reduction</w:t>
            </w:r>
          </w:p>
        </w:tc>
        <w:tc>
          <w:tcPr>
            <w:tcW w:w="1716" w:type="pct"/>
            <w:tcBorders>
              <w:top w:val="nil"/>
              <w:left w:val="nil"/>
              <w:bottom w:val="single" w:sz="8" w:space="0" w:color="auto"/>
              <w:right w:val="single" w:sz="8" w:space="0" w:color="auto"/>
            </w:tcBorders>
            <w:shd w:val="clear" w:color="auto" w:fill="auto"/>
            <w:vAlign w:val="center"/>
            <w:hideMark/>
          </w:tcPr>
          <w:p w14:paraId="6CC7B163"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The maximum extent at which an agency can reduce the expected bad weather impact through improving coping solutions</w:t>
            </w:r>
          </w:p>
        </w:tc>
        <w:tc>
          <w:tcPr>
            <w:tcW w:w="2317" w:type="pct"/>
            <w:tcBorders>
              <w:top w:val="nil"/>
              <w:left w:val="nil"/>
              <w:bottom w:val="single" w:sz="8" w:space="0" w:color="auto"/>
              <w:right w:val="nil"/>
            </w:tcBorders>
            <w:shd w:val="clear" w:color="auto" w:fill="auto"/>
            <w:noWrap/>
            <w:vAlign w:val="center"/>
            <w:hideMark/>
          </w:tcPr>
          <w:p w14:paraId="43ED196D" w14:textId="77777777" w:rsidR="008E78B4" w:rsidRPr="008E78B4" w:rsidRDefault="008E78B4" w:rsidP="008E78B4">
            <w:pPr>
              <w:spacing w:after="0" w:line="240" w:lineRule="auto"/>
              <w:jc w:val="right"/>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0.4</w:t>
            </w:r>
          </w:p>
        </w:tc>
      </w:tr>
      <w:tr w:rsidR="008E78B4" w:rsidRPr="008E78B4" w14:paraId="7AA5F557" w14:textId="77777777" w:rsidTr="008E78B4">
        <w:trPr>
          <w:trHeight w:val="396"/>
        </w:trPr>
        <w:tc>
          <w:tcPr>
            <w:tcW w:w="967" w:type="pct"/>
            <w:tcBorders>
              <w:top w:val="nil"/>
              <w:left w:val="nil"/>
              <w:bottom w:val="single" w:sz="8" w:space="0" w:color="auto"/>
              <w:right w:val="single" w:sz="8" w:space="0" w:color="auto"/>
            </w:tcBorders>
            <w:shd w:val="clear" w:color="auto" w:fill="auto"/>
            <w:noWrap/>
            <w:vAlign w:val="center"/>
            <w:hideMark/>
          </w:tcPr>
          <w:p w14:paraId="525202B8"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Scanning Range</w:t>
            </w:r>
          </w:p>
        </w:tc>
        <w:tc>
          <w:tcPr>
            <w:tcW w:w="1716" w:type="pct"/>
            <w:tcBorders>
              <w:top w:val="nil"/>
              <w:left w:val="nil"/>
              <w:bottom w:val="single" w:sz="8" w:space="0" w:color="auto"/>
              <w:right w:val="single" w:sz="8" w:space="0" w:color="auto"/>
            </w:tcBorders>
            <w:shd w:val="clear" w:color="auto" w:fill="auto"/>
            <w:vAlign w:val="center"/>
            <w:hideMark/>
          </w:tcPr>
          <w:p w14:paraId="2F3F32F9"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 xml:space="preserve">The range at which an agency can reach out to seek adaptation solutions. </w:t>
            </w:r>
          </w:p>
        </w:tc>
        <w:tc>
          <w:tcPr>
            <w:tcW w:w="2317" w:type="pct"/>
            <w:tcBorders>
              <w:top w:val="nil"/>
              <w:left w:val="nil"/>
              <w:bottom w:val="single" w:sz="8" w:space="0" w:color="auto"/>
              <w:right w:val="nil"/>
            </w:tcBorders>
            <w:shd w:val="clear" w:color="auto" w:fill="auto"/>
            <w:noWrap/>
            <w:vAlign w:val="center"/>
            <w:hideMark/>
          </w:tcPr>
          <w:p w14:paraId="2693440A"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 xml:space="preserve">A random integer calibrated to qualitatively match the reference pattern and </w:t>
            </w:r>
          </w:p>
        </w:tc>
      </w:tr>
      <w:tr w:rsidR="008E78B4" w:rsidRPr="008E78B4" w14:paraId="7EA218D0" w14:textId="77777777" w:rsidTr="008E78B4">
        <w:trPr>
          <w:trHeight w:val="396"/>
        </w:trPr>
        <w:tc>
          <w:tcPr>
            <w:tcW w:w="967" w:type="pct"/>
            <w:tcBorders>
              <w:top w:val="nil"/>
              <w:left w:val="nil"/>
              <w:bottom w:val="single" w:sz="8" w:space="0" w:color="auto"/>
              <w:right w:val="single" w:sz="8" w:space="0" w:color="auto"/>
            </w:tcBorders>
            <w:shd w:val="clear" w:color="auto" w:fill="auto"/>
            <w:noWrap/>
            <w:vAlign w:val="center"/>
            <w:hideMark/>
          </w:tcPr>
          <w:p w14:paraId="4BC21645"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Minimum number of a certain type of network ties</w:t>
            </w:r>
          </w:p>
        </w:tc>
        <w:tc>
          <w:tcPr>
            <w:tcW w:w="1716" w:type="pct"/>
            <w:tcBorders>
              <w:top w:val="nil"/>
              <w:left w:val="nil"/>
              <w:bottom w:val="single" w:sz="8" w:space="0" w:color="auto"/>
              <w:right w:val="single" w:sz="8" w:space="0" w:color="auto"/>
            </w:tcBorders>
            <w:shd w:val="clear" w:color="auto" w:fill="auto"/>
            <w:vAlign w:val="center"/>
            <w:hideMark/>
          </w:tcPr>
          <w:p w14:paraId="6FDD4515"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This specifies the minimum number of ties an agency has within or outside their region, in the algorithm to generate networks where organizations with bigger capacity is better connected.</w:t>
            </w:r>
          </w:p>
        </w:tc>
        <w:tc>
          <w:tcPr>
            <w:tcW w:w="2317" w:type="pct"/>
            <w:tcBorders>
              <w:top w:val="nil"/>
              <w:left w:val="nil"/>
              <w:bottom w:val="single" w:sz="8" w:space="0" w:color="auto"/>
              <w:right w:val="nil"/>
            </w:tcBorders>
            <w:shd w:val="clear" w:color="auto" w:fill="auto"/>
            <w:noWrap/>
            <w:vAlign w:val="center"/>
            <w:hideMark/>
          </w:tcPr>
          <w:p w14:paraId="16B025AD" w14:textId="77777777" w:rsidR="008E78B4" w:rsidRPr="008E78B4" w:rsidRDefault="008E78B4" w:rsidP="008E78B4">
            <w:pPr>
              <w:spacing w:after="0" w:line="240" w:lineRule="auto"/>
              <w:jc w:val="right"/>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1</w:t>
            </w:r>
          </w:p>
        </w:tc>
      </w:tr>
      <w:tr w:rsidR="008E78B4" w:rsidRPr="008E78B4" w14:paraId="46DDCD24" w14:textId="77777777" w:rsidTr="008E78B4">
        <w:trPr>
          <w:trHeight w:val="396"/>
        </w:trPr>
        <w:tc>
          <w:tcPr>
            <w:tcW w:w="967" w:type="pct"/>
            <w:vMerge w:val="restart"/>
            <w:tcBorders>
              <w:top w:val="nil"/>
              <w:left w:val="nil"/>
              <w:bottom w:val="single" w:sz="8" w:space="0" w:color="000000"/>
              <w:right w:val="single" w:sz="8" w:space="0" w:color="auto"/>
            </w:tcBorders>
            <w:shd w:val="clear" w:color="auto" w:fill="auto"/>
            <w:noWrap/>
            <w:vAlign w:val="center"/>
            <w:hideMark/>
          </w:tcPr>
          <w:p w14:paraId="2B9EE1E5"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Number of windows</w:t>
            </w:r>
          </w:p>
        </w:tc>
        <w:tc>
          <w:tcPr>
            <w:tcW w:w="1716" w:type="pct"/>
            <w:vMerge w:val="restart"/>
            <w:tcBorders>
              <w:top w:val="nil"/>
              <w:left w:val="single" w:sz="8" w:space="0" w:color="auto"/>
              <w:bottom w:val="single" w:sz="8" w:space="0" w:color="000000"/>
              <w:right w:val="single" w:sz="8" w:space="0" w:color="auto"/>
            </w:tcBorders>
            <w:shd w:val="clear" w:color="auto" w:fill="auto"/>
            <w:vAlign w:val="center"/>
            <w:hideMark/>
          </w:tcPr>
          <w:p w14:paraId="094CCB43"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The number of windows of opportunity for each agency</w:t>
            </w:r>
          </w:p>
        </w:tc>
        <w:tc>
          <w:tcPr>
            <w:tcW w:w="2317" w:type="pct"/>
            <w:tcBorders>
              <w:top w:val="nil"/>
              <w:left w:val="nil"/>
              <w:bottom w:val="single" w:sz="8" w:space="0" w:color="auto"/>
              <w:right w:val="nil"/>
            </w:tcBorders>
            <w:shd w:val="clear" w:color="auto" w:fill="auto"/>
            <w:vAlign w:val="center"/>
            <w:hideMark/>
          </w:tcPr>
          <w:p w14:paraId="621E7E3D"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Randomly generated across the course of the simulation.</w:t>
            </w:r>
          </w:p>
        </w:tc>
      </w:tr>
      <w:tr w:rsidR="008E78B4" w:rsidRPr="008E78B4" w14:paraId="5DE3F5DD" w14:textId="77777777" w:rsidTr="008E78B4">
        <w:trPr>
          <w:trHeight w:val="396"/>
        </w:trPr>
        <w:tc>
          <w:tcPr>
            <w:tcW w:w="967" w:type="pct"/>
            <w:vMerge/>
            <w:tcBorders>
              <w:top w:val="nil"/>
              <w:left w:val="nil"/>
              <w:bottom w:val="single" w:sz="8" w:space="0" w:color="000000"/>
              <w:right w:val="single" w:sz="8" w:space="0" w:color="auto"/>
            </w:tcBorders>
            <w:vAlign w:val="center"/>
            <w:hideMark/>
          </w:tcPr>
          <w:p w14:paraId="4613B5E5"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p>
        </w:tc>
        <w:tc>
          <w:tcPr>
            <w:tcW w:w="1716" w:type="pct"/>
            <w:vMerge/>
            <w:tcBorders>
              <w:top w:val="nil"/>
              <w:left w:val="single" w:sz="8" w:space="0" w:color="auto"/>
              <w:bottom w:val="single" w:sz="8" w:space="0" w:color="000000"/>
              <w:right w:val="single" w:sz="8" w:space="0" w:color="auto"/>
            </w:tcBorders>
            <w:vAlign w:val="center"/>
            <w:hideMark/>
          </w:tcPr>
          <w:p w14:paraId="7D35E788"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p>
        </w:tc>
        <w:tc>
          <w:tcPr>
            <w:tcW w:w="2317" w:type="pct"/>
            <w:tcBorders>
              <w:top w:val="nil"/>
              <w:left w:val="nil"/>
              <w:bottom w:val="single" w:sz="8" w:space="0" w:color="auto"/>
              <w:right w:val="nil"/>
            </w:tcBorders>
            <w:shd w:val="clear" w:color="auto" w:fill="auto"/>
            <w:vAlign w:val="center"/>
            <w:hideMark/>
          </w:tcPr>
          <w:p w14:paraId="18004857"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 xml:space="preserve"> The number is calibrated to qualitatively match the reference pattern.</w:t>
            </w:r>
          </w:p>
        </w:tc>
      </w:tr>
      <w:tr w:rsidR="008E78B4" w:rsidRPr="008E78B4" w14:paraId="6A6A3A7F" w14:textId="77777777" w:rsidTr="008E78B4">
        <w:trPr>
          <w:trHeight w:val="396"/>
        </w:trPr>
        <w:tc>
          <w:tcPr>
            <w:tcW w:w="967" w:type="pct"/>
            <w:tcBorders>
              <w:top w:val="nil"/>
              <w:left w:val="nil"/>
              <w:bottom w:val="single" w:sz="8" w:space="0" w:color="auto"/>
              <w:right w:val="nil"/>
            </w:tcBorders>
            <w:shd w:val="clear" w:color="auto" w:fill="auto"/>
            <w:noWrap/>
            <w:vAlign w:val="center"/>
            <w:hideMark/>
          </w:tcPr>
          <w:p w14:paraId="0D5C0B56" w14:textId="77777777" w:rsidR="008E78B4" w:rsidRPr="008E78B4" w:rsidRDefault="008E78B4" w:rsidP="008E78B4">
            <w:pPr>
              <w:spacing w:after="0" w:line="240" w:lineRule="auto"/>
              <w:rPr>
                <w:rFonts w:ascii="Times New Roman" w:eastAsia="Times New Roman" w:hAnsi="Times New Roman" w:cs="Times New Roman"/>
                <w:b/>
                <w:bCs/>
                <w:color w:val="000000"/>
                <w:sz w:val="20"/>
                <w:szCs w:val="20"/>
              </w:rPr>
            </w:pPr>
            <w:r w:rsidRPr="008E78B4">
              <w:rPr>
                <w:rFonts w:ascii="Times New Roman" w:eastAsia="Times New Roman" w:hAnsi="Times New Roman" w:cs="Times New Roman"/>
                <w:b/>
                <w:bCs/>
                <w:color w:val="000000"/>
                <w:sz w:val="20"/>
                <w:szCs w:val="20"/>
              </w:rPr>
              <w:lastRenderedPageBreak/>
              <w:t>Solution</w:t>
            </w:r>
          </w:p>
        </w:tc>
        <w:tc>
          <w:tcPr>
            <w:tcW w:w="1716" w:type="pct"/>
            <w:tcBorders>
              <w:top w:val="nil"/>
              <w:left w:val="nil"/>
              <w:bottom w:val="single" w:sz="8" w:space="0" w:color="auto"/>
              <w:right w:val="nil"/>
            </w:tcBorders>
            <w:shd w:val="clear" w:color="auto" w:fill="auto"/>
            <w:vAlign w:val="center"/>
            <w:hideMark/>
          </w:tcPr>
          <w:p w14:paraId="1F2B92DF"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 </w:t>
            </w:r>
          </w:p>
        </w:tc>
        <w:tc>
          <w:tcPr>
            <w:tcW w:w="2317" w:type="pct"/>
            <w:tcBorders>
              <w:top w:val="nil"/>
              <w:left w:val="nil"/>
              <w:bottom w:val="nil"/>
              <w:right w:val="nil"/>
            </w:tcBorders>
            <w:shd w:val="clear" w:color="auto" w:fill="auto"/>
            <w:noWrap/>
            <w:vAlign w:val="center"/>
            <w:hideMark/>
          </w:tcPr>
          <w:p w14:paraId="65AE4A6E"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p>
        </w:tc>
      </w:tr>
      <w:tr w:rsidR="008E78B4" w:rsidRPr="008E78B4" w14:paraId="443DA158" w14:textId="77777777" w:rsidTr="008E78B4">
        <w:trPr>
          <w:trHeight w:val="396"/>
        </w:trPr>
        <w:tc>
          <w:tcPr>
            <w:tcW w:w="967" w:type="pct"/>
            <w:vMerge w:val="restart"/>
            <w:tcBorders>
              <w:top w:val="nil"/>
              <w:left w:val="nil"/>
              <w:bottom w:val="single" w:sz="8" w:space="0" w:color="000000"/>
              <w:right w:val="single" w:sz="8" w:space="0" w:color="auto"/>
            </w:tcBorders>
            <w:shd w:val="clear" w:color="auto" w:fill="auto"/>
            <w:noWrap/>
            <w:vAlign w:val="center"/>
            <w:hideMark/>
          </w:tcPr>
          <w:p w14:paraId="0853007E"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Efficacy</w:t>
            </w:r>
          </w:p>
        </w:tc>
        <w:tc>
          <w:tcPr>
            <w:tcW w:w="1716" w:type="pct"/>
            <w:vMerge w:val="restart"/>
            <w:tcBorders>
              <w:top w:val="nil"/>
              <w:left w:val="single" w:sz="8" w:space="0" w:color="auto"/>
              <w:bottom w:val="single" w:sz="8" w:space="0" w:color="000000"/>
              <w:right w:val="single" w:sz="8" w:space="0" w:color="auto"/>
            </w:tcBorders>
            <w:shd w:val="clear" w:color="auto" w:fill="auto"/>
            <w:vAlign w:val="center"/>
            <w:hideMark/>
          </w:tcPr>
          <w:p w14:paraId="734699E4"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Represents the effectiveness of a solution for dealing with the extreme weather impacts. Coping solutions have lower efficacy than adaptation solutions.</w:t>
            </w:r>
          </w:p>
        </w:tc>
        <w:tc>
          <w:tcPr>
            <w:tcW w:w="2317" w:type="pct"/>
            <w:tcBorders>
              <w:top w:val="single" w:sz="8" w:space="0" w:color="auto"/>
              <w:left w:val="nil"/>
              <w:bottom w:val="single" w:sz="8" w:space="0" w:color="auto"/>
              <w:right w:val="nil"/>
            </w:tcBorders>
            <w:shd w:val="clear" w:color="auto" w:fill="auto"/>
            <w:vAlign w:val="center"/>
            <w:hideMark/>
          </w:tcPr>
          <w:p w14:paraId="768AC1E7"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Efficacy for coping solutions: Floating point ranging from 0.05 to 1</w:t>
            </w:r>
          </w:p>
        </w:tc>
      </w:tr>
      <w:tr w:rsidR="008E78B4" w:rsidRPr="008E78B4" w14:paraId="238E7547" w14:textId="77777777" w:rsidTr="008E78B4">
        <w:trPr>
          <w:trHeight w:val="396"/>
        </w:trPr>
        <w:tc>
          <w:tcPr>
            <w:tcW w:w="967" w:type="pct"/>
            <w:vMerge/>
            <w:tcBorders>
              <w:top w:val="nil"/>
              <w:left w:val="nil"/>
              <w:bottom w:val="single" w:sz="8" w:space="0" w:color="000000"/>
              <w:right w:val="single" w:sz="8" w:space="0" w:color="auto"/>
            </w:tcBorders>
            <w:vAlign w:val="center"/>
            <w:hideMark/>
          </w:tcPr>
          <w:p w14:paraId="0B639280"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p>
        </w:tc>
        <w:tc>
          <w:tcPr>
            <w:tcW w:w="1716" w:type="pct"/>
            <w:vMerge/>
            <w:tcBorders>
              <w:top w:val="nil"/>
              <w:left w:val="single" w:sz="8" w:space="0" w:color="auto"/>
              <w:bottom w:val="single" w:sz="8" w:space="0" w:color="000000"/>
              <w:right w:val="single" w:sz="8" w:space="0" w:color="auto"/>
            </w:tcBorders>
            <w:vAlign w:val="center"/>
            <w:hideMark/>
          </w:tcPr>
          <w:p w14:paraId="05F7F0B3"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p>
        </w:tc>
        <w:tc>
          <w:tcPr>
            <w:tcW w:w="2317" w:type="pct"/>
            <w:tcBorders>
              <w:top w:val="nil"/>
              <w:left w:val="nil"/>
              <w:bottom w:val="single" w:sz="8" w:space="0" w:color="auto"/>
              <w:right w:val="nil"/>
            </w:tcBorders>
            <w:shd w:val="clear" w:color="auto" w:fill="auto"/>
            <w:vAlign w:val="center"/>
            <w:hideMark/>
          </w:tcPr>
          <w:p w14:paraId="13D9BF59"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 xml:space="preserve">Efficacy for adaptation solutions: Floating point ranging from 1.5 to 3. </w:t>
            </w:r>
          </w:p>
        </w:tc>
      </w:tr>
      <w:tr w:rsidR="008E78B4" w:rsidRPr="008E78B4" w14:paraId="4BC17D64" w14:textId="77777777" w:rsidTr="008E78B4">
        <w:trPr>
          <w:trHeight w:val="396"/>
        </w:trPr>
        <w:tc>
          <w:tcPr>
            <w:tcW w:w="967" w:type="pct"/>
            <w:vMerge w:val="restart"/>
            <w:tcBorders>
              <w:top w:val="nil"/>
              <w:left w:val="nil"/>
              <w:bottom w:val="single" w:sz="8" w:space="0" w:color="000000"/>
              <w:right w:val="single" w:sz="8" w:space="0" w:color="auto"/>
            </w:tcBorders>
            <w:shd w:val="clear" w:color="auto" w:fill="auto"/>
            <w:noWrap/>
            <w:vAlign w:val="center"/>
            <w:hideMark/>
          </w:tcPr>
          <w:p w14:paraId="2B35E442"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Cost</w:t>
            </w:r>
          </w:p>
        </w:tc>
        <w:tc>
          <w:tcPr>
            <w:tcW w:w="1716" w:type="pct"/>
            <w:vMerge w:val="restart"/>
            <w:tcBorders>
              <w:top w:val="nil"/>
              <w:left w:val="single" w:sz="8" w:space="0" w:color="auto"/>
              <w:bottom w:val="single" w:sz="8" w:space="0" w:color="000000"/>
              <w:right w:val="single" w:sz="8" w:space="0" w:color="auto"/>
            </w:tcBorders>
            <w:shd w:val="clear" w:color="auto" w:fill="auto"/>
            <w:vAlign w:val="center"/>
            <w:hideMark/>
          </w:tcPr>
          <w:p w14:paraId="4D828C0C"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Represents the cost involved in implementing a certain solution. Coping solutions cost less than adaptation solutions.</w:t>
            </w:r>
          </w:p>
        </w:tc>
        <w:tc>
          <w:tcPr>
            <w:tcW w:w="2317" w:type="pct"/>
            <w:tcBorders>
              <w:top w:val="nil"/>
              <w:left w:val="nil"/>
              <w:bottom w:val="single" w:sz="8" w:space="0" w:color="auto"/>
              <w:right w:val="nil"/>
            </w:tcBorders>
            <w:shd w:val="clear" w:color="auto" w:fill="auto"/>
            <w:vAlign w:val="center"/>
            <w:hideMark/>
          </w:tcPr>
          <w:p w14:paraId="24437A8F"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Cost for coping solutions are initiated as lower than an agency's capacity, so that all agencies are able to implement coping solutions.</w:t>
            </w:r>
          </w:p>
        </w:tc>
      </w:tr>
      <w:tr w:rsidR="008E78B4" w:rsidRPr="008E78B4" w14:paraId="1C6449C4" w14:textId="77777777" w:rsidTr="008E78B4">
        <w:trPr>
          <w:trHeight w:val="396"/>
        </w:trPr>
        <w:tc>
          <w:tcPr>
            <w:tcW w:w="967" w:type="pct"/>
            <w:vMerge/>
            <w:tcBorders>
              <w:top w:val="nil"/>
              <w:left w:val="nil"/>
              <w:bottom w:val="single" w:sz="8" w:space="0" w:color="000000"/>
              <w:right w:val="single" w:sz="8" w:space="0" w:color="auto"/>
            </w:tcBorders>
            <w:vAlign w:val="center"/>
            <w:hideMark/>
          </w:tcPr>
          <w:p w14:paraId="58F43D11"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p>
        </w:tc>
        <w:tc>
          <w:tcPr>
            <w:tcW w:w="1716" w:type="pct"/>
            <w:vMerge/>
            <w:tcBorders>
              <w:top w:val="nil"/>
              <w:left w:val="single" w:sz="8" w:space="0" w:color="auto"/>
              <w:bottom w:val="single" w:sz="8" w:space="0" w:color="000000"/>
              <w:right w:val="single" w:sz="8" w:space="0" w:color="auto"/>
            </w:tcBorders>
            <w:vAlign w:val="center"/>
            <w:hideMark/>
          </w:tcPr>
          <w:p w14:paraId="2CD7A9EA"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p>
        </w:tc>
        <w:tc>
          <w:tcPr>
            <w:tcW w:w="2317" w:type="pct"/>
            <w:tcBorders>
              <w:top w:val="nil"/>
              <w:left w:val="nil"/>
              <w:bottom w:val="nil"/>
              <w:right w:val="nil"/>
            </w:tcBorders>
            <w:shd w:val="clear" w:color="auto" w:fill="auto"/>
            <w:vAlign w:val="center"/>
            <w:hideMark/>
          </w:tcPr>
          <w:p w14:paraId="689E4FB2"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Cost for adaptation solutions: Minimum is 2, the maximum is controlled by a slider.</w:t>
            </w:r>
          </w:p>
        </w:tc>
      </w:tr>
      <w:tr w:rsidR="008E78B4" w:rsidRPr="008E78B4" w14:paraId="4840B716" w14:textId="77777777" w:rsidTr="008E78B4">
        <w:trPr>
          <w:trHeight w:val="396"/>
        </w:trPr>
        <w:tc>
          <w:tcPr>
            <w:tcW w:w="967" w:type="pct"/>
            <w:tcBorders>
              <w:top w:val="nil"/>
              <w:left w:val="nil"/>
              <w:bottom w:val="single" w:sz="8" w:space="0" w:color="auto"/>
              <w:right w:val="single" w:sz="8" w:space="0" w:color="auto"/>
            </w:tcBorders>
            <w:shd w:val="clear" w:color="auto" w:fill="auto"/>
            <w:noWrap/>
            <w:vAlign w:val="center"/>
            <w:hideMark/>
          </w:tcPr>
          <w:p w14:paraId="4E6E9F79"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Adaptation</w:t>
            </w:r>
          </w:p>
        </w:tc>
        <w:tc>
          <w:tcPr>
            <w:tcW w:w="1716" w:type="pct"/>
            <w:tcBorders>
              <w:top w:val="nil"/>
              <w:left w:val="nil"/>
              <w:bottom w:val="single" w:sz="8" w:space="0" w:color="auto"/>
              <w:right w:val="single" w:sz="8" w:space="0" w:color="auto"/>
            </w:tcBorders>
            <w:shd w:val="clear" w:color="auto" w:fill="auto"/>
            <w:noWrap/>
            <w:vAlign w:val="center"/>
            <w:hideMark/>
          </w:tcPr>
          <w:p w14:paraId="04E8B270"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 xml:space="preserve">A Boolean variable representing the two types of solutions (i.e. coping versus adaptation). </w:t>
            </w:r>
          </w:p>
        </w:tc>
        <w:tc>
          <w:tcPr>
            <w:tcW w:w="2317" w:type="pct"/>
            <w:tcBorders>
              <w:top w:val="single" w:sz="8" w:space="0" w:color="auto"/>
              <w:left w:val="nil"/>
              <w:bottom w:val="single" w:sz="8" w:space="0" w:color="auto"/>
              <w:right w:val="nil"/>
            </w:tcBorders>
            <w:shd w:val="clear" w:color="auto" w:fill="auto"/>
            <w:vAlign w:val="center"/>
            <w:hideMark/>
          </w:tcPr>
          <w:p w14:paraId="6E121F1E" w14:textId="77777777" w:rsidR="008E78B4" w:rsidRPr="008E78B4" w:rsidRDefault="008E78B4" w:rsidP="008E78B4">
            <w:pPr>
              <w:spacing w:after="0" w:line="240" w:lineRule="auto"/>
              <w:rPr>
                <w:rFonts w:ascii="Times New Roman" w:eastAsia="Times New Roman" w:hAnsi="Times New Roman" w:cs="Times New Roman"/>
                <w:color w:val="000000"/>
                <w:sz w:val="20"/>
                <w:szCs w:val="20"/>
              </w:rPr>
            </w:pPr>
            <w:r w:rsidRPr="008E78B4">
              <w:rPr>
                <w:rFonts w:ascii="Times New Roman" w:eastAsia="Times New Roman" w:hAnsi="Times New Roman" w:cs="Times New Roman"/>
                <w:color w:val="000000"/>
                <w:sz w:val="20"/>
                <w:szCs w:val="20"/>
              </w:rPr>
              <w:t>Either 0 or o1</w:t>
            </w:r>
          </w:p>
        </w:tc>
      </w:tr>
    </w:tbl>
    <w:p w14:paraId="7A90E429" w14:textId="77777777" w:rsidR="00266F71" w:rsidRDefault="00266F71">
      <w:pPr>
        <w:rPr>
          <w:rFonts w:ascii="Times New Roman" w:hAnsi="Times New Roman" w:cs="Times New Roman"/>
          <w:sz w:val="24"/>
        </w:rPr>
      </w:pPr>
    </w:p>
    <w:p w14:paraId="395E1F0A" w14:textId="66D757D0" w:rsidR="003779D3" w:rsidRPr="008D74B2" w:rsidRDefault="00A85AF6">
      <w:pPr>
        <w:rPr>
          <w:rFonts w:ascii="Times New Roman" w:hAnsi="Times New Roman" w:cs="Times New Roman"/>
          <w:b/>
          <w:sz w:val="24"/>
        </w:rPr>
      </w:pPr>
      <w:r>
        <w:rPr>
          <w:rFonts w:ascii="Times New Roman" w:hAnsi="Times New Roman" w:cs="Times New Roman"/>
          <w:b/>
          <w:sz w:val="24"/>
        </w:rPr>
        <w:t>1.2.2  Landscape</w:t>
      </w:r>
    </w:p>
    <w:p w14:paraId="6AD9998C" w14:textId="77777777" w:rsidR="003779D3" w:rsidRDefault="003779D3">
      <w:pPr>
        <w:rPr>
          <w:rFonts w:ascii="Times New Roman" w:hAnsi="Times New Roman" w:cs="Times New Roman"/>
          <w:sz w:val="24"/>
        </w:rPr>
      </w:pPr>
      <w:r>
        <w:rPr>
          <w:rFonts w:ascii="Times New Roman" w:hAnsi="Times New Roman" w:cs="Times New Roman"/>
          <w:sz w:val="24"/>
        </w:rPr>
        <w:t>The landscape is represented as a grid of four cells, each cell representing one of the four Census regions in the United States. The organizations are distributed in the four regions drawing on the 2016 survey data. The agencies are linked by two networks: 1) networks with agencies in the same region; 2) networks with agencies in other regions.</w:t>
      </w:r>
    </w:p>
    <w:p w14:paraId="341B1DB4" w14:textId="14C6C2E1" w:rsidR="004F6DA0" w:rsidRDefault="00FB0A95" w:rsidP="00F74473">
      <w:pPr>
        <w:rPr>
          <w:rFonts w:ascii="Times New Roman" w:hAnsi="Times New Roman" w:cs="Times New Roman"/>
          <w:sz w:val="24"/>
        </w:rPr>
      </w:pPr>
      <w:r>
        <w:rPr>
          <w:rFonts w:ascii="Times New Roman" w:hAnsi="Times New Roman" w:cs="Times New Roman"/>
          <w:sz w:val="24"/>
        </w:rPr>
        <w:t>This model includes a few global settings that influence the number of initial solutions distributed over the modeling space, the damage each extreme weather event can possible cause, the max resilience level of each agency to determine the level of impact per extreme event, an organization’s memory length to filter out older memories, th</w:t>
      </w:r>
      <w:r w:rsidR="003779D3">
        <w:rPr>
          <w:rFonts w:ascii="Times New Roman" w:hAnsi="Times New Roman" w:cs="Times New Roman"/>
          <w:sz w:val="24"/>
        </w:rPr>
        <w:t xml:space="preserve">e scanning range which determines an agency’s scope of search for </w:t>
      </w:r>
      <w:r w:rsidR="006466B1">
        <w:rPr>
          <w:rFonts w:ascii="Times New Roman" w:hAnsi="Times New Roman" w:cs="Times New Roman"/>
          <w:sz w:val="24"/>
        </w:rPr>
        <w:t>information about alternative problem solving</w:t>
      </w:r>
      <w:r w:rsidR="003779D3">
        <w:rPr>
          <w:rFonts w:ascii="Times New Roman" w:hAnsi="Times New Roman" w:cs="Times New Roman"/>
          <w:sz w:val="24"/>
        </w:rPr>
        <w:t>.</w:t>
      </w:r>
    </w:p>
    <w:p w14:paraId="2BCBA30B" w14:textId="6D0F0DAD" w:rsidR="00266F71" w:rsidRPr="00A85AF6" w:rsidRDefault="00266F71" w:rsidP="00A85AF6">
      <w:pPr>
        <w:pStyle w:val="ListParagraph"/>
        <w:numPr>
          <w:ilvl w:val="2"/>
          <w:numId w:val="13"/>
        </w:numPr>
        <w:rPr>
          <w:rFonts w:ascii="Times New Roman" w:hAnsi="Times New Roman" w:cs="Times New Roman"/>
          <w:b/>
          <w:sz w:val="24"/>
        </w:rPr>
      </w:pPr>
      <w:r w:rsidRPr="00A85AF6">
        <w:rPr>
          <w:rFonts w:ascii="Times New Roman" w:hAnsi="Times New Roman" w:cs="Times New Roman"/>
          <w:b/>
          <w:sz w:val="24"/>
        </w:rPr>
        <w:t>Time Scale</w:t>
      </w:r>
    </w:p>
    <w:p w14:paraId="4D1EAB63" w14:textId="77777777" w:rsidR="00266F71" w:rsidRDefault="00266F71" w:rsidP="00266F71">
      <w:pPr>
        <w:rPr>
          <w:rFonts w:ascii="Times New Roman" w:hAnsi="Times New Roman" w:cs="Times New Roman"/>
          <w:sz w:val="24"/>
        </w:rPr>
      </w:pPr>
      <w:r>
        <w:rPr>
          <w:rFonts w:ascii="Times New Roman" w:hAnsi="Times New Roman" w:cs="Times New Roman"/>
          <w:sz w:val="24"/>
        </w:rPr>
        <w:t>Each time step represents a month, which forms the baseline for parameterization of a few agent attributes, such as the probability of extreme weather events or weather disasters. The number of time steps is not specified but should be about the time it takes to reach an equilibrium beyond which almost no more agencies will adapt to extreme weather.</w:t>
      </w:r>
    </w:p>
    <w:p w14:paraId="6899FA0E" w14:textId="7B5434B0" w:rsidR="00266F71" w:rsidRDefault="00266F71" w:rsidP="00266F71">
      <w:pPr>
        <w:rPr>
          <w:rFonts w:ascii="Times New Roman" w:hAnsi="Times New Roman" w:cs="Times New Roman"/>
          <w:b/>
          <w:sz w:val="24"/>
        </w:rPr>
      </w:pPr>
      <w:r w:rsidRPr="00266F71">
        <w:rPr>
          <w:rFonts w:ascii="Times New Roman" w:hAnsi="Times New Roman" w:cs="Times New Roman"/>
          <w:b/>
          <w:sz w:val="24"/>
        </w:rPr>
        <w:t>1.2.4</w:t>
      </w:r>
      <w:r w:rsidR="00A85AF6">
        <w:rPr>
          <w:rFonts w:ascii="Times New Roman" w:hAnsi="Times New Roman" w:cs="Times New Roman"/>
          <w:b/>
          <w:sz w:val="24"/>
        </w:rPr>
        <w:t xml:space="preserve">  </w:t>
      </w:r>
      <w:r w:rsidRPr="00266F71">
        <w:rPr>
          <w:rFonts w:ascii="Times New Roman" w:hAnsi="Times New Roman" w:cs="Times New Roman"/>
          <w:b/>
          <w:sz w:val="24"/>
        </w:rPr>
        <w:t>Environment</w:t>
      </w:r>
    </w:p>
    <w:p w14:paraId="21580354" w14:textId="7C73E08D" w:rsidR="008D4774" w:rsidRDefault="008D4774" w:rsidP="00266F71">
      <w:pPr>
        <w:rPr>
          <w:rFonts w:ascii="Times New Roman" w:hAnsi="Times New Roman" w:cs="Times New Roman"/>
          <w:sz w:val="24"/>
        </w:rPr>
      </w:pPr>
      <w:r>
        <w:rPr>
          <w:rFonts w:ascii="Times New Roman" w:hAnsi="Times New Roman" w:cs="Times New Roman"/>
          <w:sz w:val="24"/>
        </w:rPr>
        <w:t xml:space="preserve">The model </w:t>
      </w:r>
      <w:r w:rsidR="007E61A3">
        <w:rPr>
          <w:rFonts w:ascii="Times New Roman" w:hAnsi="Times New Roman" w:cs="Times New Roman"/>
          <w:sz w:val="24"/>
        </w:rPr>
        <w:t xml:space="preserve">applies </w:t>
      </w:r>
      <w:r>
        <w:rPr>
          <w:rFonts w:ascii="Times New Roman" w:hAnsi="Times New Roman" w:cs="Times New Roman"/>
          <w:sz w:val="24"/>
        </w:rPr>
        <w:t>a log-normal distribution</w:t>
      </w:r>
      <w:r w:rsidR="007E61A3">
        <w:rPr>
          <w:rFonts w:ascii="Times New Roman" w:hAnsi="Times New Roman" w:cs="Times New Roman"/>
          <w:sz w:val="24"/>
        </w:rPr>
        <w:t xml:space="preserve"> </w:t>
      </w:r>
      <w:r w:rsidR="007E61A3">
        <w:rPr>
          <w:rFonts w:ascii="Times New Roman" w:hAnsi="Times New Roman" w:cs="Times New Roman"/>
          <w:sz w:val="24"/>
        </w:rPr>
        <w:fldChar w:fldCharType="begin"/>
      </w:r>
      <w:r w:rsidR="007E61A3">
        <w:rPr>
          <w:rFonts w:ascii="Times New Roman" w:hAnsi="Times New Roman" w:cs="Times New Roman"/>
          <w:sz w:val="24"/>
        </w:rPr>
        <w:instrText xml:space="preserve"> ADDIN ZOTERO_ITEM CSL_CITATION {"citationID":"17SCyuva","properties":{"formattedCitation":"(Railsback &amp; Grimm, 2011)","plainCitation":"(Railsback &amp; Grimm, 2011)","noteIndex":0},"citationItems":[{"id":30,"uris":["http://zotero.org/users/2615692/items/CT3758RB"],"uri":["http://zotero.org/users/2615692/items/CT3758RB"],"itemData":{"id":30,"type":"book","title":"Agent-based and individual-based modeling: a practical introduction","publisher":"Princeton university press","source":"Google Scholar","title-short":"Agent-based and individual-based modeling","author":[{"family":"Railsback","given":"Steven F."},{"family":"Grimm","given":"Volker"}],"issued":{"date-parts":[["2011"]]}}}],"schema":"https://github.com/citation-style-language/schema/raw/master/csl-citation.json"} </w:instrText>
      </w:r>
      <w:r w:rsidR="007E61A3">
        <w:rPr>
          <w:rFonts w:ascii="Times New Roman" w:hAnsi="Times New Roman" w:cs="Times New Roman"/>
          <w:sz w:val="24"/>
        </w:rPr>
        <w:fldChar w:fldCharType="separate"/>
      </w:r>
      <w:r w:rsidR="007E61A3" w:rsidRPr="007E61A3">
        <w:rPr>
          <w:rFonts w:ascii="Times New Roman" w:hAnsi="Times New Roman" w:cs="Times New Roman"/>
          <w:sz w:val="24"/>
        </w:rPr>
        <w:t>(Railsback &amp; Grimm, 2011)</w:t>
      </w:r>
      <w:r w:rsidR="007E61A3">
        <w:rPr>
          <w:rFonts w:ascii="Times New Roman" w:hAnsi="Times New Roman" w:cs="Times New Roman"/>
          <w:sz w:val="24"/>
        </w:rPr>
        <w:fldChar w:fldCharType="end"/>
      </w:r>
      <w:r>
        <w:rPr>
          <w:rFonts w:ascii="Times New Roman" w:hAnsi="Times New Roman" w:cs="Times New Roman"/>
          <w:sz w:val="24"/>
        </w:rPr>
        <w:t xml:space="preserve"> to generate the value for weather intensity at each time step, at a mean of 5 and standard deviation that equals the probability at which an extreme weather can occur to a given agency.</w:t>
      </w:r>
    </w:p>
    <w:p w14:paraId="307D9492" w14:textId="0C48FB3C" w:rsidR="008D4774" w:rsidRDefault="008D4774" w:rsidP="00266F71">
      <w:pPr>
        <w:rPr>
          <w:rFonts w:ascii="Times New Roman" w:hAnsi="Times New Roman" w:cs="Times New Roman"/>
          <w:sz w:val="24"/>
        </w:rPr>
      </w:pPr>
      <w:r>
        <w:rPr>
          <w:rFonts w:ascii="Times New Roman" w:hAnsi="Times New Roman" w:cs="Times New Roman"/>
          <w:sz w:val="24"/>
        </w:rPr>
        <w:t>To provide a threshold value beyond which the weather intensity becomes extreme or even of disastrous magnitude, the model simulates the weather intensity for each time step over 300 years. The generated values and vectorized and sorted from high to low. The</w:t>
      </w:r>
      <w:r w:rsidR="0089413B">
        <w:rPr>
          <w:rFonts w:ascii="Times New Roman" w:hAnsi="Times New Roman" w:cs="Times New Roman"/>
          <w:sz w:val="24"/>
        </w:rPr>
        <w:t xml:space="preserve"> minimum</w:t>
      </w:r>
      <w:r>
        <w:rPr>
          <w:rFonts w:ascii="Times New Roman" w:hAnsi="Times New Roman" w:cs="Times New Roman"/>
          <w:sz w:val="24"/>
        </w:rPr>
        <w:t xml:space="preserve"> intensity level of an extreme weather event can be matched to the value in the vector </w:t>
      </w:r>
      <w:r w:rsidR="0089413B">
        <w:rPr>
          <w:rFonts w:ascii="Times New Roman" w:hAnsi="Times New Roman" w:cs="Times New Roman"/>
          <w:sz w:val="24"/>
        </w:rPr>
        <w:t xml:space="preserve">based on the extreme weather probability. For example, with an extreme weather probability at 10%, an agency will take the value at the 10 percentiles in the generated vector. </w:t>
      </w:r>
      <w:r w:rsidR="007E2226">
        <w:rPr>
          <w:rFonts w:ascii="Times New Roman" w:hAnsi="Times New Roman" w:cs="Times New Roman"/>
          <w:sz w:val="24"/>
        </w:rPr>
        <w:t>It applies the same algorithm to</w:t>
      </w:r>
      <w:r w:rsidR="0089413B">
        <w:rPr>
          <w:rFonts w:ascii="Times New Roman" w:hAnsi="Times New Roman" w:cs="Times New Roman"/>
          <w:sz w:val="24"/>
        </w:rPr>
        <w:t xml:space="preserve"> determine the minimum level of intensity for a weather disaster. </w:t>
      </w:r>
    </w:p>
    <w:p w14:paraId="66DADBA0" w14:textId="77777777" w:rsidR="001E3EC1" w:rsidRDefault="001E3EC1" w:rsidP="00266F71">
      <w:pPr>
        <w:rPr>
          <w:rFonts w:ascii="Times New Roman" w:hAnsi="Times New Roman" w:cs="Times New Roman"/>
          <w:sz w:val="24"/>
        </w:rPr>
      </w:pPr>
      <w:bookmarkStart w:id="0" w:name="_GoBack"/>
      <w:bookmarkEnd w:id="0"/>
    </w:p>
    <w:p w14:paraId="2A088679" w14:textId="0F11D79E" w:rsidR="007E2226" w:rsidRDefault="007E2226" w:rsidP="00266F71">
      <w:pPr>
        <w:rPr>
          <w:rFonts w:ascii="Times New Roman" w:hAnsi="Times New Roman" w:cs="Times New Roman"/>
          <w:sz w:val="24"/>
        </w:rPr>
      </w:pPr>
      <w:r>
        <w:rPr>
          <w:rFonts w:ascii="Times New Roman" w:hAnsi="Times New Roman" w:cs="Times New Roman"/>
          <w:sz w:val="24"/>
        </w:rPr>
        <w:t>When the intensity of weather at a given time step exceeds the minimum threshold intensity value, it becomes extreme or disastrous depending on the probabilities, which in turn triggers a series of organizational behavior to be detailed below.</w:t>
      </w:r>
    </w:p>
    <w:p w14:paraId="3A899354" w14:textId="10E25C2E" w:rsidR="007E2226" w:rsidRPr="007E2226" w:rsidRDefault="00B62E32" w:rsidP="00266F71">
      <w:pPr>
        <w:rPr>
          <w:rFonts w:ascii="Times New Roman" w:hAnsi="Times New Roman" w:cs="Times New Roman"/>
          <w:b/>
          <w:sz w:val="24"/>
        </w:rPr>
      </w:pPr>
      <w:r>
        <w:rPr>
          <w:rFonts w:ascii="Times New Roman" w:hAnsi="Times New Roman" w:cs="Times New Roman"/>
          <w:b/>
          <w:sz w:val="24"/>
        </w:rPr>
        <w:t xml:space="preserve">1.3 </w:t>
      </w:r>
      <w:r w:rsidR="007E2226" w:rsidRPr="007E2226">
        <w:rPr>
          <w:rFonts w:ascii="Times New Roman" w:hAnsi="Times New Roman" w:cs="Times New Roman"/>
          <w:b/>
          <w:sz w:val="24"/>
        </w:rPr>
        <w:t>Process overview and scheduling</w:t>
      </w:r>
    </w:p>
    <w:p w14:paraId="4DA98ECC" w14:textId="006F1A91" w:rsidR="004212E0" w:rsidRDefault="004212E0" w:rsidP="004212E0">
      <w:pPr>
        <w:rPr>
          <w:rFonts w:ascii="Times New Roman" w:hAnsi="Times New Roman" w:cs="Times New Roman"/>
          <w:sz w:val="24"/>
        </w:rPr>
      </w:pPr>
      <w:r>
        <w:rPr>
          <w:rFonts w:ascii="Times New Roman" w:hAnsi="Times New Roman" w:cs="Times New Roman"/>
          <w:sz w:val="24"/>
        </w:rPr>
        <w:t>At each time step, an agency takes the following steps in the given order</w:t>
      </w:r>
      <w:r w:rsidR="00974FDE">
        <w:rPr>
          <w:rFonts w:ascii="Times New Roman" w:hAnsi="Times New Roman" w:cs="Times New Roman"/>
          <w:sz w:val="24"/>
        </w:rPr>
        <w:t xml:space="preserve"> as displayed in Figure 1</w:t>
      </w:r>
      <w:r>
        <w:rPr>
          <w:rFonts w:ascii="Times New Roman" w:hAnsi="Times New Roman" w:cs="Times New Roman"/>
          <w:sz w:val="24"/>
        </w:rPr>
        <w:t xml:space="preserve">: </w:t>
      </w:r>
    </w:p>
    <w:p w14:paraId="73B23D4E" w14:textId="7307222A" w:rsidR="004212E0" w:rsidRDefault="004212E0" w:rsidP="004212E0">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Check weather intensity. A random value of weather intensity is generated based on the log-normal distributed as aforementioned. </w:t>
      </w:r>
      <w:r w:rsidRPr="004212E0">
        <w:rPr>
          <w:rFonts w:ascii="Times New Roman" w:hAnsi="Times New Roman" w:cs="Times New Roman"/>
          <w:sz w:val="24"/>
        </w:rPr>
        <w:t xml:space="preserve">If the weather intensity goes beyond the predefined minimum threshold </w:t>
      </w:r>
      <w:r w:rsidR="001B77BE">
        <w:rPr>
          <w:rFonts w:ascii="Times New Roman" w:hAnsi="Times New Roman" w:cs="Times New Roman"/>
          <w:sz w:val="24"/>
        </w:rPr>
        <w:t xml:space="preserve">intensity </w:t>
      </w:r>
      <w:r w:rsidRPr="004212E0">
        <w:rPr>
          <w:rFonts w:ascii="Times New Roman" w:hAnsi="Times New Roman" w:cs="Times New Roman"/>
          <w:sz w:val="24"/>
        </w:rPr>
        <w:t xml:space="preserve">level for extreme weather, the weather is modelled as extreme weather. If it further transcends the threshold intensity for disasters, it is additionally modeled as weather disasters. </w:t>
      </w:r>
    </w:p>
    <w:p w14:paraId="0138CBA6" w14:textId="77777777" w:rsidR="00D02818" w:rsidRPr="004212E0" w:rsidRDefault="00D02818" w:rsidP="00D02818">
      <w:pPr>
        <w:pStyle w:val="ListParagraph"/>
        <w:rPr>
          <w:rFonts w:ascii="Times New Roman" w:hAnsi="Times New Roman" w:cs="Times New Roman"/>
          <w:sz w:val="24"/>
        </w:rPr>
      </w:pPr>
    </w:p>
    <w:p w14:paraId="50D840DC" w14:textId="13969F75" w:rsidR="0007537C" w:rsidRPr="0007537C" w:rsidRDefault="004212E0" w:rsidP="0007537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An agency updates it perceived risk based on the weather conditions. Risk is </w:t>
      </w:r>
      <w:r w:rsidR="002B11B9">
        <w:rPr>
          <w:rFonts w:ascii="Times New Roman" w:hAnsi="Times New Roman" w:cs="Times New Roman"/>
          <w:sz w:val="24"/>
        </w:rPr>
        <w:t xml:space="preserve">the product of </w:t>
      </w:r>
      <w:r>
        <w:rPr>
          <w:rFonts w:ascii="Times New Roman" w:hAnsi="Times New Roman" w:cs="Times New Roman"/>
          <w:sz w:val="24"/>
        </w:rPr>
        <w:t>the consequences of a certain risk and the probability of its occurrence</w:t>
      </w:r>
      <w:r w:rsidR="005A2C5B">
        <w:rPr>
          <w:rFonts w:ascii="Times New Roman" w:hAnsi="Times New Roman" w:cs="Times New Roman"/>
          <w:sz w:val="24"/>
        </w:rPr>
        <w:t xml:space="preserve">. Perceived risk is defined as: </w:t>
      </w:r>
    </w:p>
    <w:p w14:paraId="618C841F" w14:textId="702D11F0" w:rsidR="0007537C" w:rsidRDefault="005A2C5B" w:rsidP="00974FDE">
      <w:pPr>
        <w:pStyle w:val="ListParagraph"/>
        <w:rPr>
          <w:rFonts w:ascii="Times New Roman" w:hAnsi="Times New Roman" w:cs="Times New Roman"/>
          <w:sz w:val="24"/>
        </w:rPr>
      </w:pPr>
      <w:r>
        <w:rPr>
          <w:rFonts w:ascii="Times New Roman" w:hAnsi="Times New Roman" w:cs="Times New Roman"/>
          <w:sz w:val="24"/>
        </w:rPr>
        <w:t>Perceived</w:t>
      </w:r>
      <w:r w:rsidR="0007537C">
        <w:rPr>
          <w:rFonts w:ascii="Times New Roman" w:hAnsi="Times New Roman" w:cs="Times New Roman"/>
          <w:sz w:val="24"/>
        </w:rPr>
        <w:t xml:space="preserve"> </w:t>
      </w:r>
      <w:r>
        <w:rPr>
          <w:rFonts w:ascii="Times New Roman" w:hAnsi="Times New Roman" w:cs="Times New Roman"/>
          <w:sz w:val="24"/>
        </w:rPr>
        <w:t>Risk = E(</w:t>
      </w:r>
      <w:r w:rsidR="00EB46EF">
        <w:rPr>
          <w:rFonts w:ascii="Times New Roman" w:hAnsi="Times New Roman" w:cs="Times New Roman"/>
          <w:sz w:val="24"/>
        </w:rPr>
        <w:t>Worst</w:t>
      </w:r>
      <w:r>
        <w:rPr>
          <w:rFonts w:ascii="Times New Roman" w:hAnsi="Times New Roman" w:cs="Times New Roman"/>
          <w:sz w:val="24"/>
        </w:rPr>
        <w:t xml:space="preserve"> weather intensity – solution efficacy ) * P(</w:t>
      </w:r>
      <w:r w:rsidR="00EB46EF">
        <w:rPr>
          <w:rFonts w:ascii="Times New Roman" w:hAnsi="Times New Roman" w:cs="Times New Roman"/>
          <w:sz w:val="24"/>
        </w:rPr>
        <w:t>worst</w:t>
      </w:r>
      <w:r>
        <w:rPr>
          <w:rFonts w:ascii="Times New Roman" w:hAnsi="Times New Roman" w:cs="Times New Roman"/>
          <w:sz w:val="24"/>
        </w:rPr>
        <w:t xml:space="preserve"> </w:t>
      </w:r>
      <w:r w:rsidR="00EB46EF">
        <w:rPr>
          <w:rFonts w:ascii="Times New Roman" w:hAnsi="Times New Roman" w:cs="Times New Roman"/>
          <w:sz w:val="24"/>
        </w:rPr>
        <w:t>severe</w:t>
      </w:r>
      <w:r>
        <w:rPr>
          <w:rFonts w:ascii="Times New Roman" w:hAnsi="Times New Roman" w:cs="Times New Roman"/>
          <w:sz w:val="24"/>
        </w:rPr>
        <w:t xml:space="preserve"> weather probability)</w:t>
      </w:r>
    </w:p>
    <w:p w14:paraId="0C161615" w14:textId="77777777" w:rsidR="00974FDE" w:rsidRPr="00974FDE" w:rsidRDefault="00974FDE" w:rsidP="00974FDE">
      <w:pPr>
        <w:pStyle w:val="ListParagraph"/>
        <w:rPr>
          <w:rFonts w:ascii="Times New Roman" w:hAnsi="Times New Roman" w:cs="Times New Roman"/>
          <w:sz w:val="24"/>
        </w:rPr>
      </w:pPr>
    </w:p>
    <w:p w14:paraId="2C8B9375" w14:textId="569F7DB5" w:rsidR="00D02818" w:rsidRPr="0007537C" w:rsidRDefault="005A2C5B" w:rsidP="0007537C">
      <w:pPr>
        <w:pStyle w:val="ListParagraph"/>
        <w:rPr>
          <w:rFonts w:ascii="Times New Roman" w:hAnsi="Times New Roman" w:cs="Times New Roman"/>
          <w:sz w:val="24"/>
        </w:rPr>
      </w:pPr>
      <w:r>
        <w:rPr>
          <w:rFonts w:ascii="Times New Roman" w:hAnsi="Times New Roman" w:cs="Times New Roman"/>
          <w:sz w:val="24"/>
        </w:rPr>
        <w:t>Since organizations cannot plan for every single worst scenario for climatic conditions, the bad weather intensity in this function represents the highest level of weather intensity an organization</w:t>
      </w:r>
      <w:r w:rsidR="001B77BE">
        <w:rPr>
          <w:rFonts w:ascii="Times New Roman" w:hAnsi="Times New Roman" w:cs="Times New Roman"/>
          <w:sz w:val="24"/>
        </w:rPr>
        <w:t xml:space="preserve"> typically</w:t>
      </w:r>
      <w:r>
        <w:rPr>
          <w:rFonts w:ascii="Times New Roman" w:hAnsi="Times New Roman" w:cs="Times New Roman"/>
          <w:sz w:val="24"/>
        </w:rPr>
        <w:t xml:space="preserve"> plans for. </w:t>
      </w:r>
      <w:r w:rsidRPr="0007537C">
        <w:rPr>
          <w:rFonts w:ascii="Times New Roman" w:hAnsi="Times New Roman" w:cs="Times New Roman"/>
          <w:sz w:val="24"/>
        </w:rPr>
        <w:t xml:space="preserve">When an extreme weather occurs, an </w:t>
      </w:r>
      <w:r w:rsidR="00EB46EF" w:rsidRPr="0007537C">
        <w:rPr>
          <w:rFonts w:ascii="Times New Roman" w:hAnsi="Times New Roman" w:cs="Times New Roman"/>
          <w:sz w:val="24"/>
        </w:rPr>
        <w:t xml:space="preserve">organization </w:t>
      </w:r>
      <w:r w:rsidR="00E85A2B" w:rsidRPr="0007537C">
        <w:rPr>
          <w:rFonts w:ascii="Times New Roman" w:hAnsi="Times New Roman" w:cs="Times New Roman"/>
          <w:sz w:val="24"/>
        </w:rPr>
        <w:t xml:space="preserve">raises its expected probability for the worst severe weather event by five to ten percent. The percentage increases to 0.25 to 0.30 to represent the sharp increase in expected probability of worst severe weather when weather disasters occur. In contrast, in the absence of an extreme weather event, the agency’s expected probability of worst severe weather reduces by a random percentage of one to three. </w:t>
      </w:r>
    </w:p>
    <w:p w14:paraId="2777218B" w14:textId="77777777" w:rsidR="00D02818" w:rsidRDefault="00D02818" w:rsidP="00AF00E7">
      <w:pPr>
        <w:pStyle w:val="ListParagraph"/>
        <w:rPr>
          <w:rFonts w:ascii="Times New Roman" w:hAnsi="Times New Roman" w:cs="Times New Roman"/>
          <w:sz w:val="24"/>
        </w:rPr>
      </w:pPr>
    </w:p>
    <w:p w14:paraId="34338D63" w14:textId="70A41457" w:rsidR="00AF00E7" w:rsidRPr="00D67282" w:rsidRDefault="00E85A2B" w:rsidP="00D67282">
      <w:pPr>
        <w:pStyle w:val="ListParagraph"/>
        <w:rPr>
          <w:rFonts w:ascii="Times New Roman" w:hAnsi="Times New Roman" w:cs="Times New Roman"/>
          <w:sz w:val="24"/>
        </w:rPr>
      </w:pPr>
      <w:r>
        <w:rPr>
          <w:rFonts w:ascii="Times New Roman" w:hAnsi="Times New Roman" w:cs="Times New Roman"/>
          <w:sz w:val="24"/>
        </w:rPr>
        <w:t xml:space="preserve">The </w:t>
      </w:r>
      <w:r w:rsidR="001B77BE">
        <w:rPr>
          <w:rFonts w:ascii="Times New Roman" w:hAnsi="Times New Roman" w:cs="Times New Roman"/>
          <w:sz w:val="24"/>
        </w:rPr>
        <w:t>operationalization</w:t>
      </w:r>
      <w:r>
        <w:rPr>
          <w:rFonts w:ascii="Times New Roman" w:hAnsi="Times New Roman" w:cs="Times New Roman"/>
          <w:sz w:val="24"/>
        </w:rPr>
        <w:t xml:space="preserve"> is consistent </w:t>
      </w:r>
      <w:r w:rsidR="00C31F22">
        <w:rPr>
          <w:rFonts w:ascii="Times New Roman" w:hAnsi="Times New Roman" w:cs="Times New Roman"/>
          <w:sz w:val="24"/>
        </w:rPr>
        <w:t xml:space="preserve">with the cognitive biases in human evaluation of weather risks. </w:t>
      </w:r>
      <w:r w:rsidR="00C31F22" w:rsidRPr="00413F8B">
        <w:rPr>
          <w:rFonts w:ascii="Times New Roman" w:hAnsi="Times New Roman" w:cs="Times New Roman"/>
          <w:sz w:val="24"/>
        </w:rPr>
        <w:t xml:space="preserve">People and </w:t>
      </w:r>
      <w:r w:rsidR="001B77BE">
        <w:rPr>
          <w:rFonts w:ascii="Times New Roman" w:hAnsi="Times New Roman" w:cs="Times New Roman"/>
          <w:sz w:val="24"/>
        </w:rPr>
        <w:t xml:space="preserve">organizations </w:t>
      </w:r>
      <w:r w:rsidR="00C31F22" w:rsidRPr="00413F8B">
        <w:rPr>
          <w:rFonts w:ascii="Times New Roman" w:hAnsi="Times New Roman" w:cs="Times New Roman"/>
          <w:sz w:val="24"/>
        </w:rPr>
        <w:t>tend to underestimate or ignore low probability risks, until being punctuated</w:t>
      </w:r>
      <w:r w:rsidR="00D14D2C" w:rsidRPr="00413F8B">
        <w:rPr>
          <w:rFonts w:ascii="Times New Roman" w:hAnsi="Times New Roman" w:cs="Times New Roman"/>
          <w:sz w:val="24"/>
        </w:rPr>
        <w:t xml:space="preserve"> by</w:t>
      </w:r>
      <w:r w:rsidR="00C31F22" w:rsidRPr="00413F8B">
        <w:rPr>
          <w:rFonts w:ascii="Times New Roman" w:hAnsi="Times New Roman" w:cs="Times New Roman"/>
          <w:sz w:val="24"/>
        </w:rPr>
        <w:t xml:space="preserve"> </w:t>
      </w:r>
      <w:r w:rsidR="00AF00E7" w:rsidRPr="00413F8B">
        <w:rPr>
          <w:rFonts w:ascii="Times New Roman" w:hAnsi="Times New Roman" w:cs="Times New Roman"/>
          <w:sz w:val="24"/>
        </w:rPr>
        <w:t>some peak events</w:t>
      </w:r>
      <w:r w:rsidR="00C31F22" w:rsidRPr="00413F8B">
        <w:rPr>
          <w:rFonts w:ascii="Times New Roman" w:hAnsi="Times New Roman" w:cs="Times New Roman"/>
          <w:sz w:val="24"/>
        </w:rPr>
        <w:t xml:space="preserve"> when </w:t>
      </w:r>
      <w:r w:rsidR="00784AD3" w:rsidRPr="00413F8B">
        <w:rPr>
          <w:rFonts w:ascii="Times New Roman" w:hAnsi="Times New Roman" w:cs="Times New Roman"/>
          <w:sz w:val="24"/>
        </w:rPr>
        <w:t xml:space="preserve">the </w:t>
      </w:r>
      <w:r w:rsidR="00C31F22" w:rsidRPr="00413F8B">
        <w:rPr>
          <w:rFonts w:ascii="Times New Roman" w:hAnsi="Times New Roman" w:cs="Times New Roman"/>
          <w:sz w:val="24"/>
        </w:rPr>
        <w:t xml:space="preserve">risk </w:t>
      </w:r>
      <w:r w:rsidR="00AF00E7" w:rsidRPr="00413F8B">
        <w:rPr>
          <w:rFonts w:ascii="Times New Roman" w:hAnsi="Times New Roman" w:cs="Times New Roman"/>
          <w:sz w:val="24"/>
        </w:rPr>
        <w:t>materialize</w:t>
      </w:r>
      <w:r w:rsidR="00784AD3" w:rsidRPr="00413F8B">
        <w:rPr>
          <w:rFonts w:ascii="Times New Roman" w:hAnsi="Times New Roman" w:cs="Times New Roman"/>
          <w:sz w:val="24"/>
        </w:rPr>
        <w:t>s</w:t>
      </w:r>
      <w:r w:rsidR="00C31F22" w:rsidRPr="00413F8B">
        <w:rPr>
          <w:rFonts w:ascii="Times New Roman" w:hAnsi="Times New Roman" w:cs="Times New Roman"/>
          <w:sz w:val="24"/>
        </w:rPr>
        <w:t xml:space="preserve"> in significant magnitude and over a short time horizon </w:t>
      </w:r>
      <w:r w:rsidR="00C31F22" w:rsidRPr="00413F8B">
        <w:rPr>
          <w:rFonts w:ascii="Times New Roman" w:hAnsi="Times New Roman" w:cs="Times New Roman"/>
          <w:sz w:val="24"/>
        </w:rPr>
        <w:fldChar w:fldCharType="begin"/>
      </w:r>
      <w:r w:rsidR="00D14D2C" w:rsidRPr="00413F8B">
        <w:rPr>
          <w:rFonts w:ascii="Times New Roman" w:hAnsi="Times New Roman" w:cs="Times New Roman"/>
          <w:sz w:val="24"/>
        </w:rPr>
        <w:instrText xml:space="preserve"> ADDIN ZOTERO_ITEM CSL_CITATION {"citationID":"LSTNaZHb","properties":{"formattedCitation":"(Camerer &amp; Kunreuther, 1989; Yohe &amp; Tol, 2002)","plainCitation":"(Camerer &amp; Kunreuther, 1989; Yohe &amp; Tol, 2002)","noteIndex":0},"citationItems":[{"id":882,"uris":["http://zotero.org/users/2615692/items/A7KIGZ53"],"uri":["http://zotero.org/users/2615692/items/A7KIGZ53"],"itemData":{"id":882,"type":"article-journal","title":"Decision Processes for Low Probability Events: Policy Implications","container-title":"Journal of Policy Analysis and Management","page":"565","volume":"8","issue":"4","source":"CrossRef","DOI":"10.2307/3325045","ISSN":"02768739","title-short":"Decision Processes for Low Probability Events","author":[{"family":"Camerer","given":"Colin F."},{"family":"Kunreuther","given":"Howard"}],"issued":{"date-parts":[["1989"]]}}},{"id":767,"uris":["http://zotero.org/users/2615692/items/6IJ5RWGP"],"uri":["http://zotero.org/users/2615692/items/6IJ5RWGP"],"itemData":{"id":767,"type":"article-journal","title":"Indicators for social and economic coping capacity—moving toward a working definition of adaptive capacity","container-title":"Global Environmental Change","page":"25-40","volume":"12","issue":"1","source":"ScienceDirect","abstract":"This paper offers a practically motivated method for evaluating systems’ abilities to handle external stress. The method is designed to assess the potential contributions of various adaptation options to improving systems’ coping capacities by focusing attention directly on the underlying determinants of adaptive capacity. The method should be sufficiently flexible to accommodate diverse applications whose contexts are location specific and path dependent without imposing the straightjacket constraints of a “one size fits all” cookbook approach. Nonetheless, the method should produce unitless indicators that can be employed to judge the relative vulnerabilities of diverse systems to multiple stresses and to their potential interactions. An artificial application is employed to describe the development of the method and to illustrate how it might be applied. Some empirical evidence is offered to underscore the significance of the determinants of adaptive capacity in determining vulnerability; these are the determinants upon which the method is constructed. The method is, finally, applied directly to expert judgments of six different adaptations that could reduce vulnerability in the Netherlands to increased flooding along the Rhine River.","ISSN":"0959-3780","journalAbbreviation":"Global Environmental Change","author":[{"family":"Yohe","given":"Gary"},{"family":"Tol","given":"Richard S. J."}],"issued":{"date-parts":[["2002",4]]}}}],"schema":"https://github.com/citation-style-language/schema/raw/master/csl-citation.json"} </w:instrText>
      </w:r>
      <w:r w:rsidR="00C31F22" w:rsidRPr="00413F8B">
        <w:rPr>
          <w:rFonts w:ascii="Times New Roman" w:hAnsi="Times New Roman" w:cs="Times New Roman"/>
          <w:sz w:val="24"/>
        </w:rPr>
        <w:fldChar w:fldCharType="separate"/>
      </w:r>
      <w:r w:rsidR="00D14D2C" w:rsidRPr="00413F8B">
        <w:rPr>
          <w:rFonts w:ascii="Times New Roman" w:hAnsi="Times New Roman" w:cs="Times New Roman"/>
          <w:sz w:val="24"/>
        </w:rPr>
        <w:t>(Camerer &amp; Kunreuther, 1989; Yohe &amp; Tol, 2002)</w:t>
      </w:r>
      <w:r w:rsidR="00C31F22" w:rsidRPr="00413F8B">
        <w:rPr>
          <w:rFonts w:ascii="Times New Roman" w:hAnsi="Times New Roman" w:cs="Times New Roman"/>
          <w:sz w:val="24"/>
        </w:rPr>
        <w:fldChar w:fldCharType="end"/>
      </w:r>
      <w:r w:rsidR="00C31F22" w:rsidRPr="00413F8B">
        <w:rPr>
          <w:rFonts w:ascii="Times New Roman" w:hAnsi="Times New Roman" w:cs="Times New Roman"/>
          <w:sz w:val="24"/>
        </w:rPr>
        <w:t xml:space="preserve">. </w:t>
      </w:r>
      <w:r w:rsidR="00D67282">
        <w:rPr>
          <w:rFonts w:ascii="Times New Roman" w:hAnsi="Times New Roman" w:cs="Times New Roman"/>
          <w:sz w:val="24"/>
        </w:rPr>
        <w:t xml:space="preserve">Experience with dramatic risk event improves the memorability and imaginability of the hazard, thereby intensifying risk perception in a way related to the availability heuristic </w:t>
      </w:r>
      <w:r w:rsidR="00D67282">
        <w:rPr>
          <w:rFonts w:ascii="Times New Roman" w:hAnsi="Times New Roman" w:cs="Times New Roman"/>
          <w:sz w:val="24"/>
        </w:rPr>
        <w:fldChar w:fldCharType="begin"/>
      </w:r>
      <w:r w:rsidR="00D67282">
        <w:rPr>
          <w:rFonts w:ascii="Times New Roman" w:hAnsi="Times New Roman" w:cs="Times New Roman"/>
          <w:sz w:val="24"/>
        </w:rPr>
        <w:instrText xml:space="preserve"> ADDIN ZOTERO_ITEM CSL_CITATION {"citationID":"ZdrF38m0","properties":{"formattedCitation":"(Tversky &amp; Kahneman, 1973)","plainCitation":"(Tversky &amp; Kahneman, 1973)","noteIndex":0},"citationItems":[{"id":6479,"uris":["http://zotero.org/users/2615692/items/9SUJFWT2"],"uri":["http://zotero.org/users/2615692/items/9SUJFWT2"],"itemData":{"id":6479,"type":"article-journal","title":"Availability: A heuristic for judging frequency and probability","container-title":"Cognitive psychology","page":"207–232","volume":"5","issue":"2","source":"Google Scholar","title-short":"Availability","author":[{"family":"Tversky","given":"Amos"},{"family":"Kahneman","given":"Daniel"}],"issued":{"date-parts":[["1973"]]}}}],"schema":"https://github.com/citation-style-language/schema/raw/master/csl-citation.json"} </w:instrText>
      </w:r>
      <w:r w:rsidR="00D67282">
        <w:rPr>
          <w:rFonts w:ascii="Times New Roman" w:hAnsi="Times New Roman" w:cs="Times New Roman"/>
          <w:sz w:val="24"/>
        </w:rPr>
        <w:fldChar w:fldCharType="separate"/>
      </w:r>
      <w:r w:rsidR="00D67282" w:rsidRPr="00D67282">
        <w:rPr>
          <w:rFonts w:ascii="Times New Roman" w:hAnsi="Times New Roman" w:cs="Times New Roman"/>
          <w:sz w:val="24"/>
        </w:rPr>
        <w:t>(Tversky &amp; Kahneman, 1973)</w:t>
      </w:r>
      <w:r w:rsidR="00D67282">
        <w:rPr>
          <w:rFonts w:ascii="Times New Roman" w:hAnsi="Times New Roman" w:cs="Times New Roman"/>
          <w:sz w:val="24"/>
        </w:rPr>
        <w:fldChar w:fldCharType="end"/>
      </w:r>
      <w:r w:rsidR="00D67282">
        <w:rPr>
          <w:rFonts w:ascii="Times New Roman" w:hAnsi="Times New Roman" w:cs="Times New Roman"/>
          <w:sz w:val="24"/>
        </w:rPr>
        <w:t>. On the other hand, t</w:t>
      </w:r>
      <w:r w:rsidR="00413F8B" w:rsidRPr="00D67282">
        <w:rPr>
          <w:rFonts w:ascii="Times New Roman" w:hAnsi="Times New Roman" w:cs="Times New Roman"/>
          <w:sz w:val="24"/>
        </w:rPr>
        <w:t xml:space="preserve">hey also </w:t>
      </w:r>
      <w:r w:rsidR="00F10AF9" w:rsidRPr="00D67282">
        <w:rPr>
          <w:rFonts w:ascii="Times New Roman" w:hAnsi="Times New Roman" w:cs="Times New Roman"/>
          <w:sz w:val="24"/>
        </w:rPr>
        <w:t>misconstrue a</w:t>
      </w:r>
      <w:r w:rsidR="00D14D2C" w:rsidRPr="00D67282">
        <w:rPr>
          <w:rFonts w:ascii="Times New Roman" w:hAnsi="Times New Roman" w:cs="Times New Roman"/>
          <w:sz w:val="24"/>
        </w:rPr>
        <w:t xml:space="preserve"> consecutive</w:t>
      </w:r>
      <w:r w:rsidR="00F10AF9" w:rsidRPr="00D67282">
        <w:rPr>
          <w:rFonts w:ascii="Times New Roman" w:hAnsi="Times New Roman" w:cs="Times New Roman"/>
          <w:sz w:val="24"/>
        </w:rPr>
        <w:t xml:space="preserve"> series of mild events, such as the absence of extreme weather events, </w:t>
      </w:r>
      <w:r w:rsidR="00784AD3" w:rsidRPr="00D67282">
        <w:rPr>
          <w:rFonts w:ascii="Times New Roman" w:hAnsi="Times New Roman" w:cs="Times New Roman"/>
          <w:sz w:val="24"/>
        </w:rPr>
        <w:t xml:space="preserve">assigning unwarranted low probability of to future extreme events </w:t>
      </w:r>
      <w:r w:rsidR="00784AD3" w:rsidRPr="00D67282">
        <w:rPr>
          <w:rFonts w:ascii="Times New Roman" w:hAnsi="Times New Roman" w:cs="Times New Roman"/>
          <w:sz w:val="24"/>
        </w:rPr>
        <w:fldChar w:fldCharType="begin"/>
      </w:r>
      <w:r w:rsidR="00784AD3" w:rsidRPr="00D67282">
        <w:rPr>
          <w:rFonts w:ascii="Times New Roman" w:hAnsi="Times New Roman" w:cs="Times New Roman"/>
          <w:sz w:val="24"/>
        </w:rPr>
        <w:instrText xml:space="preserve"> ADDIN ZOTERO_ITEM CSL_CITATION {"citationID":"BuI8P0xw","properties":{"formattedCitation":"(Haasnoot et al., 2015)","plainCitation":"(Haasnoot et al., 2015)","noteIndex":0},"citationItems":[{"id":6476,"uris":["http://zotero.org/users/2615692/items/8QMGRDZA"],"uri":["http://zotero.org/users/2615692/items/8QMGRDZA"],"itemData":{"id":6476,"type":"article-journal","title":"Transient scenarios for robust climate change adaptation illustrated for water management in The Netherlands","container-title":"Environmental research letters","page":"105008","volume":"10","issue":"10","source":"Google Scholar","author":[{"family":"Haasnoot","given":"Marjolijn"},{"family":"Schellekens","given":"J."},{"family":"Beersma","given":"J. J."},{"family":"Middelkoop","given":"H."},{"family":"Kwadijk","given":"Jacob Cornelis Jan"}],"issued":{"date-parts":[["2015"]]}}}],"schema":"https://github.com/citation-style-language/schema/raw/master/csl-citation.json"} </w:instrText>
      </w:r>
      <w:r w:rsidR="00784AD3" w:rsidRPr="00D67282">
        <w:rPr>
          <w:rFonts w:ascii="Times New Roman" w:hAnsi="Times New Roman" w:cs="Times New Roman"/>
          <w:sz w:val="24"/>
        </w:rPr>
        <w:fldChar w:fldCharType="separate"/>
      </w:r>
      <w:r w:rsidR="00784AD3" w:rsidRPr="00D67282">
        <w:rPr>
          <w:rFonts w:ascii="Times New Roman" w:hAnsi="Times New Roman" w:cs="Times New Roman"/>
          <w:sz w:val="24"/>
        </w:rPr>
        <w:t>(Haasnoot et al., 2015)</w:t>
      </w:r>
      <w:r w:rsidR="00784AD3" w:rsidRPr="00D67282">
        <w:rPr>
          <w:rFonts w:ascii="Times New Roman" w:hAnsi="Times New Roman" w:cs="Times New Roman"/>
          <w:sz w:val="24"/>
        </w:rPr>
        <w:fldChar w:fldCharType="end"/>
      </w:r>
      <w:r w:rsidR="00784AD3" w:rsidRPr="00D67282">
        <w:rPr>
          <w:rFonts w:ascii="Times New Roman" w:hAnsi="Times New Roman" w:cs="Times New Roman"/>
          <w:sz w:val="24"/>
        </w:rPr>
        <w:t>.</w:t>
      </w:r>
    </w:p>
    <w:p w14:paraId="25FF5DD3" w14:textId="3B741EE2" w:rsidR="0098685F" w:rsidRDefault="0098685F" w:rsidP="00413F8B">
      <w:pPr>
        <w:pStyle w:val="ListParagraph"/>
        <w:rPr>
          <w:rFonts w:ascii="Times New Roman" w:hAnsi="Times New Roman" w:cs="Times New Roman"/>
          <w:sz w:val="24"/>
        </w:rPr>
      </w:pPr>
    </w:p>
    <w:p w14:paraId="6A515F79" w14:textId="16676171" w:rsidR="001B77BE" w:rsidRDefault="002B11B9" w:rsidP="00974FDE">
      <w:pPr>
        <w:pStyle w:val="ListParagraph"/>
        <w:rPr>
          <w:rFonts w:ascii="Times New Roman" w:hAnsi="Times New Roman" w:cs="Times New Roman"/>
          <w:sz w:val="24"/>
        </w:rPr>
      </w:pPr>
      <w:bookmarkStart w:id="1" w:name="_Hlk10234750"/>
      <w:r>
        <w:rPr>
          <w:rFonts w:ascii="Times New Roman" w:hAnsi="Times New Roman" w:cs="Times New Roman"/>
          <w:sz w:val="24"/>
        </w:rPr>
        <w:t>Drawing on the literature on risk communication and perception, t</w:t>
      </w:r>
      <w:r w:rsidR="001B77BE">
        <w:rPr>
          <w:rFonts w:ascii="Times New Roman" w:hAnsi="Times New Roman" w:cs="Times New Roman"/>
          <w:sz w:val="24"/>
        </w:rPr>
        <w:t xml:space="preserve">he model explicitly </w:t>
      </w:r>
      <w:r w:rsidR="00967AE3">
        <w:rPr>
          <w:rFonts w:ascii="Times New Roman" w:hAnsi="Times New Roman" w:cs="Times New Roman"/>
          <w:sz w:val="24"/>
        </w:rPr>
        <w:t>considers</w:t>
      </w:r>
      <w:r w:rsidR="001B77BE">
        <w:rPr>
          <w:rFonts w:ascii="Times New Roman" w:hAnsi="Times New Roman" w:cs="Times New Roman"/>
          <w:sz w:val="24"/>
        </w:rPr>
        <w:t xml:space="preserve"> the interdependence of problem recognition</w:t>
      </w:r>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{"citationID":"cVrQ3rSA","properties":{"formattedCitation":"(Kasperson &amp; Kasperson, 1996; Patt &amp; Siebenh\\uc0\\u252{}ner, 2005)","plainCitation":"(Kasperson &amp; Kasperson, 1996; Patt &amp; Siebenhüner, 2005)","noteIndex":0},"citationItems":[{"id":5383,"uris":["http://zotero.org/users/2615692/items/F39HFKGL"],"uri":["http://zotero.org/users/2615692/items/F39HFKGL"],"itemData":{"id":5383,"type":"article-journal","title":"The Social Amplification and Attenuation of Risk","container-title":"The Annals of the American Academy of Political and Social Science","page":"95-105","volume":"545","source":"JSTOR","abstract":"Risk is a complex phenomenon that involves both biophysical attributes and social dimensions. Existing assessment and management approaches often fail to consider risk in its full complexity and its social context. The concept of the social amplification and attenuation of risk provides an approach that recognizes that how social institutions and structures process a risk will shape greatly its effects upon society and the responses of management institutions and people. Examples of both amplification and attenuation are provided from recent risk experience.","ISSN":"0002-7162","author":[{"family":"Kasperson","given":"Roger E."},{"family":"Kasperson","given":"Jeanne X."}],"issued":{"date-parts":[["1996"]]}}},{"id":6483,"uris":["http://zotero.org/users/2615692/items/M8S5JUFL"],"uri":["http://zotero.org/users/2615692/items/M8S5JUFL"],"itemData":{"id":6483,"type":"article-journal","title":"Agent Based Modeling and Adaption to Climate Change","container-title":"Vierteljahrshefte zur Wirtschaftsforschung","page":"310–320","volume":"74","issue":"2","source":"Google Scholar","author":[{"family":"Patt","given":"Anthony"},{"family":"Siebenhüner","given":"Bernd"}],"issued":{"date-parts":[["2005"]]}}}],"schema":"https://github.com/citation-style-language/schema/raw/master/csl-citation.json"} </w:instrText>
      </w:r>
      <w:r>
        <w:rPr>
          <w:rFonts w:ascii="Times New Roman" w:hAnsi="Times New Roman" w:cs="Times New Roman"/>
          <w:sz w:val="24"/>
        </w:rPr>
        <w:fldChar w:fldCharType="separate"/>
      </w:r>
      <w:r w:rsidRPr="002B11B9">
        <w:rPr>
          <w:rFonts w:ascii="Times New Roman" w:hAnsi="Times New Roman" w:cs="Times New Roman"/>
          <w:sz w:val="24"/>
          <w:szCs w:val="24"/>
        </w:rPr>
        <w:t xml:space="preserve">(Kasperson &amp; Kasperson, 1996; </w:t>
      </w:r>
      <w:r w:rsidRPr="002B11B9">
        <w:rPr>
          <w:rFonts w:ascii="Times New Roman" w:hAnsi="Times New Roman" w:cs="Times New Roman"/>
          <w:sz w:val="24"/>
          <w:szCs w:val="24"/>
        </w:rPr>
        <w:lastRenderedPageBreak/>
        <w:t>Patt &amp; Siebenhüner, 2005)</w:t>
      </w:r>
      <w:r>
        <w:rPr>
          <w:rFonts w:ascii="Times New Roman" w:hAnsi="Times New Roman" w:cs="Times New Roman"/>
          <w:sz w:val="24"/>
        </w:rPr>
        <w:fldChar w:fldCharType="end"/>
      </w:r>
      <w:r w:rsidR="001B77BE">
        <w:rPr>
          <w:rFonts w:ascii="Times New Roman" w:hAnsi="Times New Roman" w:cs="Times New Roman"/>
          <w:sz w:val="24"/>
        </w:rPr>
        <w:t xml:space="preserve">. </w:t>
      </w:r>
      <w:r w:rsidR="00994FEA">
        <w:rPr>
          <w:rFonts w:ascii="Times New Roman" w:hAnsi="Times New Roman" w:cs="Times New Roman"/>
          <w:sz w:val="24"/>
        </w:rPr>
        <w:t xml:space="preserve">An agency increases expected probability for extreme weather events when any organization in their region experience a disastrous weather event. </w:t>
      </w:r>
      <w:r w:rsidR="00BE6163">
        <w:rPr>
          <w:rFonts w:ascii="Times New Roman" w:hAnsi="Times New Roman" w:cs="Times New Roman"/>
          <w:sz w:val="24"/>
        </w:rPr>
        <w:t xml:space="preserve">This is a relatively crude operationalization, given the nuances involved in risk recognition which requires much more refined similarity in geographical attributes and weather patterns. For example, </w:t>
      </w:r>
      <w:r w:rsidR="00D84C2C">
        <w:rPr>
          <w:rFonts w:ascii="Times New Roman" w:hAnsi="Times New Roman" w:cs="Times New Roman"/>
          <w:sz w:val="24"/>
        </w:rPr>
        <w:t xml:space="preserve">the </w:t>
      </w:r>
      <w:r w:rsidR="00F43EBE">
        <w:rPr>
          <w:rFonts w:ascii="Times New Roman" w:hAnsi="Times New Roman" w:cs="Times New Roman"/>
          <w:sz w:val="24"/>
        </w:rPr>
        <w:t>recent</w:t>
      </w:r>
      <w:r w:rsidR="00D84C2C">
        <w:rPr>
          <w:rFonts w:ascii="Times New Roman" w:hAnsi="Times New Roman" w:cs="Times New Roman"/>
          <w:sz w:val="24"/>
        </w:rPr>
        <w:t xml:space="preserve"> 2019 </w:t>
      </w:r>
      <w:r w:rsidR="00BE6163">
        <w:rPr>
          <w:rFonts w:ascii="Times New Roman" w:hAnsi="Times New Roman" w:cs="Times New Roman"/>
          <w:sz w:val="24"/>
        </w:rPr>
        <w:t xml:space="preserve">flood in </w:t>
      </w:r>
      <w:r w:rsidR="00F43EBE">
        <w:rPr>
          <w:rFonts w:ascii="Times New Roman" w:hAnsi="Times New Roman" w:cs="Times New Roman"/>
          <w:sz w:val="24"/>
        </w:rPr>
        <w:t>the Iowa</w:t>
      </w:r>
      <w:r w:rsidR="00BE6163">
        <w:rPr>
          <w:rFonts w:ascii="Times New Roman" w:hAnsi="Times New Roman" w:cs="Times New Roman"/>
          <w:sz w:val="24"/>
        </w:rPr>
        <w:t xml:space="preserve"> </w:t>
      </w:r>
      <w:r w:rsidR="00F43EBE">
        <w:rPr>
          <w:rFonts w:ascii="Times New Roman" w:hAnsi="Times New Roman" w:cs="Times New Roman"/>
          <w:sz w:val="24"/>
        </w:rPr>
        <w:fldChar w:fldCharType="begin"/>
      </w:r>
      <w:r w:rsidR="00F43EBE">
        <w:rPr>
          <w:rFonts w:ascii="Times New Roman" w:hAnsi="Times New Roman" w:cs="Times New Roman"/>
          <w:sz w:val="24"/>
        </w:rPr>
        <w:instrText xml:space="preserve"> ADDIN ZOTERO_ITEM CSL_CITATION {"citationID":"MquMSSXh","properties":{"formattedCitation":"(Smith &amp; Schwartz, 2019)","plainCitation":"(Smith &amp; Schwartz, 2019)","noteIndex":0},"citationItems":[{"id":6489,"uris":["http://zotero.org/users/2615692/items/SZNTLDYG"],"uri":["http://zotero.org/users/2615692/items/SZNTLDYG"],"itemData":{"id":6489,"type":"webpage","title":"In Flood-Hit Midwest, Mayors See Climate Change as a Subject Best Avoided - The New York Times","container-title":"The New York Times","URL":"https://www.nytimes.com/2019/05/15/us/midwest-flooding-climate-change.html","author":[{"family":"Smith","given":"Mitch"},{"family":"Schwartz","given":"John"}],"issued":{"date-parts":[["2019"]]},"accessed":{"date-parts":[["2019",5,31]]}}}],"schema":"https://github.com/citation-style-language/schema/raw/master/csl-citation.json"} </w:instrText>
      </w:r>
      <w:r w:rsidR="00F43EBE">
        <w:rPr>
          <w:rFonts w:ascii="Times New Roman" w:hAnsi="Times New Roman" w:cs="Times New Roman"/>
          <w:sz w:val="24"/>
        </w:rPr>
        <w:fldChar w:fldCharType="separate"/>
      </w:r>
      <w:r w:rsidR="00F43EBE" w:rsidRPr="00F43EBE">
        <w:rPr>
          <w:rFonts w:ascii="Times New Roman" w:hAnsi="Times New Roman" w:cs="Times New Roman"/>
          <w:sz w:val="24"/>
        </w:rPr>
        <w:t>(Smith &amp; Schwartz, 2019)</w:t>
      </w:r>
      <w:r w:rsidR="00F43EBE">
        <w:rPr>
          <w:rFonts w:ascii="Times New Roman" w:hAnsi="Times New Roman" w:cs="Times New Roman"/>
          <w:sz w:val="24"/>
        </w:rPr>
        <w:fldChar w:fldCharType="end"/>
      </w:r>
      <w:r w:rsidR="00F43EBE">
        <w:rPr>
          <w:rFonts w:ascii="Times New Roman" w:hAnsi="Times New Roman" w:cs="Times New Roman"/>
          <w:sz w:val="24"/>
        </w:rPr>
        <w:t xml:space="preserve"> </w:t>
      </w:r>
      <w:r w:rsidR="00BE6163">
        <w:rPr>
          <w:rFonts w:ascii="Times New Roman" w:hAnsi="Times New Roman" w:cs="Times New Roman"/>
          <w:sz w:val="24"/>
        </w:rPr>
        <w:t xml:space="preserve">can raise concerns and risk awareness in agencies similarly situated on major rivers, but </w:t>
      </w:r>
      <w:r w:rsidR="006A3F47">
        <w:rPr>
          <w:rFonts w:ascii="Times New Roman" w:hAnsi="Times New Roman" w:cs="Times New Roman"/>
          <w:sz w:val="24"/>
        </w:rPr>
        <w:t xml:space="preserve">probably </w:t>
      </w:r>
      <w:r w:rsidR="00BE6163">
        <w:rPr>
          <w:rFonts w:ascii="Times New Roman" w:hAnsi="Times New Roman" w:cs="Times New Roman"/>
          <w:sz w:val="24"/>
        </w:rPr>
        <w:t>not so much among agencies in the same region located further away from rivers</w:t>
      </w:r>
      <w:r w:rsidR="006A3F47">
        <w:rPr>
          <w:rFonts w:ascii="Times New Roman" w:hAnsi="Times New Roman" w:cs="Times New Roman"/>
          <w:sz w:val="24"/>
        </w:rPr>
        <w:t xml:space="preserve"> where flash floods are more likely.</w:t>
      </w:r>
      <w:bookmarkEnd w:id="1"/>
    </w:p>
    <w:p w14:paraId="1711E67F" w14:textId="77777777" w:rsidR="006C3C43" w:rsidRPr="00974FDE" w:rsidRDefault="006C3C43" w:rsidP="00974FDE">
      <w:pPr>
        <w:pStyle w:val="ListParagraph"/>
        <w:rPr>
          <w:rFonts w:ascii="Times New Roman" w:hAnsi="Times New Roman" w:cs="Times New Roman"/>
          <w:sz w:val="24"/>
        </w:rPr>
      </w:pPr>
    </w:p>
    <w:p w14:paraId="36D78ABB" w14:textId="167D710A" w:rsidR="0098685F" w:rsidRDefault="00CA3BEE" w:rsidP="00974FDE">
      <w:pPr>
        <w:pStyle w:val="ListParagraph"/>
        <w:numPr>
          <w:ilvl w:val="0"/>
          <w:numId w:val="3"/>
        </w:numPr>
        <w:rPr>
          <w:rFonts w:ascii="Times New Roman" w:hAnsi="Times New Roman" w:cs="Times New Roman"/>
          <w:sz w:val="24"/>
        </w:rPr>
      </w:pPr>
      <w:r>
        <w:rPr>
          <w:rFonts w:ascii="Times New Roman" w:hAnsi="Times New Roman" w:cs="Times New Roman"/>
          <w:sz w:val="24"/>
        </w:rPr>
        <w:t>Agencies assess their risk perception relative to t</w:t>
      </w:r>
      <w:r w:rsidR="00117E7A">
        <w:rPr>
          <w:rFonts w:ascii="Times New Roman" w:hAnsi="Times New Roman" w:cs="Times New Roman"/>
          <w:sz w:val="24"/>
        </w:rPr>
        <w:t xml:space="preserve">heir risk tolerance (i.e. maximum level of acceptable risk). </w:t>
      </w:r>
      <w:bookmarkStart w:id="2" w:name="_Hlk10816390"/>
      <w:r w:rsidR="00117E7A">
        <w:rPr>
          <w:rFonts w:ascii="Times New Roman" w:hAnsi="Times New Roman" w:cs="Times New Roman"/>
          <w:sz w:val="24"/>
        </w:rPr>
        <w:t xml:space="preserve">When the perception of risk exceeds the risk tolerance, the agency activates </w:t>
      </w:r>
      <w:r w:rsidR="00AE661B">
        <w:rPr>
          <w:rFonts w:ascii="Times New Roman" w:hAnsi="Times New Roman" w:cs="Times New Roman"/>
          <w:sz w:val="24"/>
        </w:rPr>
        <w:t>its</w:t>
      </w:r>
      <w:r w:rsidR="00117E7A">
        <w:rPr>
          <w:rFonts w:ascii="Times New Roman" w:hAnsi="Times New Roman" w:cs="Times New Roman"/>
          <w:sz w:val="24"/>
        </w:rPr>
        <w:t xml:space="preserve"> problemistic search to reduce the level of expected impacts</w:t>
      </w:r>
      <w:r w:rsidR="0080363E">
        <w:rPr>
          <w:rFonts w:ascii="Times New Roman" w:hAnsi="Times New Roman" w:cs="Times New Roman"/>
          <w:sz w:val="24"/>
        </w:rPr>
        <w:t xml:space="preserve"> </w:t>
      </w:r>
      <w:r w:rsidR="0080363E">
        <w:rPr>
          <w:rFonts w:ascii="Times New Roman" w:hAnsi="Times New Roman" w:cs="Times New Roman"/>
          <w:sz w:val="24"/>
        </w:rPr>
        <w:fldChar w:fldCharType="begin"/>
      </w:r>
      <w:r w:rsidR="0080363E">
        <w:rPr>
          <w:rFonts w:ascii="Times New Roman" w:hAnsi="Times New Roman" w:cs="Times New Roman"/>
          <w:sz w:val="24"/>
        </w:rPr>
        <w:instrText xml:space="preserve"> ADDIN ZOTERO_ITEM CSL_CITATION {"citationID":"oDKHytGS","properties":{"formattedCitation":"(Cyert &amp; March, 1963)","plainCitation":"(Cyert &amp; March, 1963)","noteIndex":0},"citationItems":[{"id":1845,"uris":["http://zotero.org/users/2615692/items/9PKPXQ8D"],"uri":["http://zotero.org/users/2615692/items/9PKPXQ8D"],"itemData":{"id":1845,"type":"book","title":"A behavioral theory of the firm","publisher":"Prentice Hall","publisher-place":"Englewood Cliff, NJ","source":"Google Scholar","event-place":"Englewood Cliff, NJ","author":[{"family":"Cyert","given":"Richard M."},{"family":"March","given":"James G."}],"issued":{"date-parts":[["1963"]]},"accessed":{"date-parts":[["2015",12,10]]}}}],"schema":"https://github.com/citation-style-language/schema/raw/master/csl-citation.json"} </w:instrText>
      </w:r>
      <w:r w:rsidR="0080363E">
        <w:rPr>
          <w:rFonts w:ascii="Times New Roman" w:hAnsi="Times New Roman" w:cs="Times New Roman"/>
          <w:sz w:val="24"/>
        </w:rPr>
        <w:fldChar w:fldCharType="separate"/>
      </w:r>
      <w:r w:rsidR="0080363E" w:rsidRPr="0080363E">
        <w:rPr>
          <w:rFonts w:ascii="Times New Roman" w:hAnsi="Times New Roman" w:cs="Times New Roman"/>
          <w:sz w:val="24"/>
        </w:rPr>
        <w:t>(Cyert &amp; March, 1963)</w:t>
      </w:r>
      <w:r w:rsidR="0080363E">
        <w:rPr>
          <w:rFonts w:ascii="Times New Roman" w:hAnsi="Times New Roman" w:cs="Times New Roman"/>
          <w:sz w:val="24"/>
        </w:rPr>
        <w:fldChar w:fldCharType="end"/>
      </w:r>
      <w:r w:rsidR="00117E7A">
        <w:rPr>
          <w:rFonts w:ascii="Times New Roman" w:hAnsi="Times New Roman" w:cs="Times New Roman"/>
          <w:sz w:val="24"/>
        </w:rPr>
        <w:t xml:space="preserve">. </w:t>
      </w:r>
      <w:r w:rsidR="00AE661B">
        <w:rPr>
          <w:rFonts w:ascii="Times New Roman" w:hAnsi="Times New Roman" w:cs="Times New Roman"/>
          <w:sz w:val="24"/>
        </w:rPr>
        <w:t xml:space="preserve">Their first go-to solution is to enhance the efficacy of their coping solution, which is compatible with their current framework and cheaper to implement. </w:t>
      </w:r>
      <w:bookmarkEnd w:id="2"/>
      <w:r w:rsidR="00AE661B">
        <w:rPr>
          <w:rFonts w:ascii="Times New Roman" w:hAnsi="Times New Roman" w:cs="Times New Roman"/>
          <w:sz w:val="24"/>
        </w:rPr>
        <w:t xml:space="preserve">The model limits to extent to which an agency can improve the efficacy of its coping measures. When an agency is looking to increase its coping efficacy within the restriction, it improves coping efficacy; otherwise it looks elsewhere for adaptation solutions. </w:t>
      </w:r>
      <w:r w:rsidRPr="00AE661B">
        <w:rPr>
          <w:rFonts w:ascii="Times New Roman" w:hAnsi="Times New Roman" w:cs="Times New Roman"/>
          <w:sz w:val="24"/>
        </w:rPr>
        <w:t>The simulation starts the next tick if the perception risks lies under the accepted level of risks</w:t>
      </w:r>
      <w:r w:rsidR="00117E7A" w:rsidRPr="00AE661B">
        <w:rPr>
          <w:rFonts w:ascii="Times New Roman" w:hAnsi="Times New Roman" w:cs="Times New Roman"/>
          <w:sz w:val="24"/>
        </w:rPr>
        <w:t xml:space="preserve">. </w:t>
      </w:r>
    </w:p>
    <w:p w14:paraId="65665CCE" w14:textId="77777777" w:rsidR="009D4084" w:rsidRPr="00974FDE" w:rsidRDefault="009D4084" w:rsidP="009D4084">
      <w:pPr>
        <w:pStyle w:val="ListParagraph"/>
        <w:rPr>
          <w:rFonts w:ascii="Times New Roman" w:hAnsi="Times New Roman" w:cs="Times New Roman"/>
          <w:sz w:val="24"/>
        </w:rPr>
      </w:pPr>
    </w:p>
    <w:p w14:paraId="1880407B" w14:textId="7C08EF83" w:rsidR="00974FDE" w:rsidRDefault="00396FDA" w:rsidP="00974FD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If the “access all” is switched on, then an agency can assess all adaptation solutions in the global environment. </w:t>
      </w:r>
      <w:r w:rsidR="0098685F">
        <w:rPr>
          <w:rFonts w:ascii="Times New Roman" w:hAnsi="Times New Roman" w:cs="Times New Roman"/>
          <w:sz w:val="24"/>
        </w:rPr>
        <w:t>When “access</w:t>
      </w:r>
      <w:r w:rsidR="00464A18">
        <w:rPr>
          <w:rFonts w:ascii="Times New Roman" w:hAnsi="Times New Roman" w:cs="Times New Roman"/>
          <w:sz w:val="24"/>
        </w:rPr>
        <w:t xml:space="preserve"> </w:t>
      </w:r>
      <w:r w:rsidR="0098685F">
        <w:rPr>
          <w:rFonts w:ascii="Times New Roman" w:hAnsi="Times New Roman" w:cs="Times New Roman"/>
          <w:sz w:val="24"/>
        </w:rPr>
        <w:t xml:space="preserve">through network” is on, the agency initiates its search among its network ties. There are </w:t>
      </w:r>
      <w:r w:rsidR="00460E46">
        <w:rPr>
          <w:rFonts w:ascii="Times New Roman" w:hAnsi="Times New Roman" w:cs="Times New Roman"/>
          <w:sz w:val="24"/>
        </w:rPr>
        <w:t>four</w:t>
      </w:r>
      <w:r w:rsidR="0098685F">
        <w:rPr>
          <w:rFonts w:ascii="Times New Roman" w:hAnsi="Times New Roman" w:cs="Times New Roman"/>
          <w:sz w:val="24"/>
        </w:rPr>
        <w:t xml:space="preserve"> pools of adaptation solutions an agency can learn of:</w:t>
      </w:r>
      <w:r w:rsidR="00460E46">
        <w:rPr>
          <w:rFonts w:ascii="Times New Roman" w:hAnsi="Times New Roman" w:cs="Times New Roman"/>
          <w:sz w:val="24"/>
        </w:rPr>
        <w:t xml:space="preserve"> 1) scanning the environmental at a user-defined range for solutions randomly distributed in the grid;</w:t>
      </w:r>
      <w:r w:rsidR="0098685F" w:rsidRPr="00460E46">
        <w:rPr>
          <w:rFonts w:ascii="Times New Roman" w:hAnsi="Times New Roman" w:cs="Times New Roman"/>
          <w:sz w:val="24"/>
        </w:rPr>
        <w:t xml:space="preserve"> </w:t>
      </w:r>
      <w:r w:rsidR="00460E46">
        <w:rPr>
          <w:rFonts w:ascii="Times New Roman" w:hAnsi="Times New Roman" w:cs="Times New Roman"/>
          <w:sz w:val="24"/>
        </w:rPr>
        <w:t>2</w:t>
      </w:r>
      <w:r w:rsidR="0098685F" w:rsidRPr="00460E46">
        <w:rPr>
          <w:rFonts w:ascii="Times New Roman" w:hAnsi="Times New Roman" w:cs="Times New Roman"/>
          <w:sz w:val="24"/>
        </w:rPr>
        <w:t xml:space="preserve">) solutions practiced by their regional ties; </w:t>
      </w:r>
      <w:r w:rsidR="00460E46">
        <w:rPr>
          <w:rFonts w:ascii="Times New Roman" w:hAnsi="Times New Roman" w:cs="Times New Roman"/>
          <w:sz w:val="24"/>
        </w:rPr>
        <w:t>3</w:t>
      </w:r>
      <w:r w:rsidR="0098685F" w:rsidRPr="00460E46">
        <w:rPr>
          <w:rFonts w:ascii="Times New Roman" w:hAnsi="Times New Roman" w:cs="Times New Roman"/>
          <w:sz w:val="24"/>
        </w:rPr>
        <w:t xml:space="preserve">) solutions practiced by their tie outside their region; </w:t>
      </w:r>
      <w:r w:rsidR="00460E46">
        <w:rPr>
          <w:rFonts w:ascii="Times New Roman" w:hAnsi="Times New Roman" w:cs="Times New Roman"/>
          <w:sz w:val="24"/>
        </w:rPr>
        <w:t>4</w:t>
      </w:r>
      <w:r w:rsidR="0098685F" w:rsidRPr="00460E46">
        <w:rPr>
          <w:rFonts w:ascii="Times New Roman" w:hAnsi="Times New Roman" w:cs="Times New Roman"/>
          <w:sz w:val="24"/>
        </w:rPr>
        <w:t>) solutions promoted or share by their regional FTA office.</w:t>
      </w:r>
      <w:r w:rsidR="00460E46">
        <w:rPr>
          <w:rFonts w:ascii="Times New Roman" w:hAnsi="Times New Roman" w:cs="Times New Roman"/>
          <w:sz w:val="24"/>
        </w:rPr>
        <w:t xml:space="preserve"> When an agency can find a solution with a higher efficacy than that of its current solution, it </w:t>
      </w:r>
      <w:r w:rsidR="00B55F4A">
        <w:rPr>
          <w:rFonts w:ascii="Times New Roman" w:hAnsi="Times New Roman" w:cs="Times New Roman"/>
          <w:sz w:val="24"/>
        </w:rPr>
        <w:t xml:space="preserve">attaches this solution as a target solution. </w:t>
      </w:r>
      <w:r w:rsidR="00464A18" w:rsidRPr="00464A18">
        <w:rPr>
          <w:rFonts w:ascii="Times New Roman" w:hAnsi="Times New Roman" w:cs="Times New Roman"/>
          <w:sz w:val="24"/>
        </w:rPr>
        <w:t xml:space="preserve">Otherwise, it continues the search in the next time step as long as its risk perception stay above its risk tolerance. </w:t>
      </w:r>
    </w:p>
    <w:p w14:paraId="7DD96787" w14:textId="77777777" w:rsidR="00CF5FF7" w:rsidRPr="00974FDE" w:rsidRDefault="00CF5FF7" w:rsidP="00CF5FF7">
      <w:pPr>
        <w:pStyle w:val="ListParagraph"/>
        <w:rPr>
          <w:rFonts w:ascii="Times New Roman" w:hAnsi="Times New Roman" w:cs="Times New Roman"/>
          <w:sz w:val="24"/>
        </w:rPr>
      </w:pPr>
    </w:p>
    <w:p w14:paraId="2700E0B5" w14:textId="4B45C0CA" w:rsidR="00464A18" w:rsidRDefault="00464A18" w:rsidP="002A64FE">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With a target adaptation solution, the agency assesses its capacity to decide whether the solution is something they can implement at the current time step. If so, it then initiates the implementation and practices the adaptation solution onwards with a higher efficacy to protect the organization after future extreme weather shocks. If not, the agency holds on to the target solution, waiting for windows of opportunities to come by. </w:t>
      </w:r>
      <w:r w:rsidR="00181784">
        <w:rPr>
          <w:rFonts w:ascii="Times New Roman" w:hAnsi="Times New Roman" w:cs="Times New Roman"/>
          <w:sz w:val="24"/>
        </w:rPr>
        <w:t xml:space="preserve">In the real world, the windows </w:t>
      </w:r>
      <w:r w:rsidR="002A64FE">
        <w:rPr>
          <w:rFonts w:ascii="Times New Roman" w:hAnsi="Times New Roman" w:cs="Times New Roman"/>
          <w:sz w:val="24"/>
        </w:rPr>
        <w:t>are opened in many forms</w:t>
      </w:r>
      <w:r w:rsidR="00181784">
        <w:rPr>
          <w:rFonts w:ascii="Times New Roman" w:hAnsi="Times New Roman" w:cs="Times New Roman"/>
          <w:sz w:val="24"/>
        </w:rPr>
        <w:t xml:space="preserve">, some predictably </w:t>
      </w:r>
      <w:r w:rsidR="002A64FE">
        <w:rPr>
          <w:rFonts w:ascii="Times New Roman" w:hAnsi="Times New Roman" w:cs="Times New Roman"/>
          <w:sz w:val="24"/>
        </w:rPr>
        <w:t>by</w:t>
      </w:r>
      <w:r w:rsidR="00181784">
        <w:rPr>
          <w:rFonts w:ascii="Times New Roman" w:hAnsi="Times New Roman" w:cs="Times New Roman"/>
          <w:sz w:val="24"/>
        </w:rPr>
        <w:t xml:space="preserve"> an organization’s scheduled upgrade, design or new construction or reallocation of internal resources and some unpredictably </w:t>
      </w:r>
      <w:r w:rsidR="002A64FE">
        <w:rPr>
          <w:rFonts w:ascii="Times New Roman" w:hAnsi="Times New Roman" w:cs="Times New Roman"/>
          <w:sz w:val="24"/>
        </w:rPr>
        <w:t>by</w:t>
      </w:r>
      <w:r w:rsidR="00181784">
        <w:rPr>
          <w:rFonts w:ascii="Times New Roman" w:hAnsi="Times New Roman" w:cs="Times New Roman"/>
          <w:sz w:val="24"/>
        </w:rPr>
        <w:t xml:space="preserve"> the availability of new grants, inter-organizational initiatives or </w:t>
      </w:r>
      <w:r w:rsidR="002A64FE">
        <w:rPr>
          <w:rFonts w:ascii="Times New Roman" w:hAnsi="Times New Roman" w:cs="Times New Roman"/>
          <w:sz w:val="24"/>
        </w:rPr>
        <w:t xml:space="preserve">new streams of revenue such as the approval of transit tax. </w:t>
      </w:r>
    </w:p>
    <w:p w14:paraId="3AC32986" w14:textId="77777777" w:rsidR="00CF5FF7" w:rsidRPr="00CF5FF7" w:rsidRDefault="00CF5FF7" w:rsidP="00CF5FF7">
      <w:pPr>
        <w:pStyle w:val="ListParagraph"/>
        <w:rPr>
          <w:rFonts w:ascii="Times New Roman" w:hAnsi="Times New Roman" w:cs="Times New Roman"/>
          <w:sz w:val="24"/>
        </w:rPr>
      </w:pPr>
    </w:p>
    <w:p w14:paraId="4E01EBE2" w14:textId="48B88F24" w:rsidR="00CF5FF7" w:rsidRDefault="00CF5FF7" w:rsidP="00CF5FF7">
      <w:pPr>
        <w:pStyle w:val="ListParagraph"/>
        <w:rPr>
          <w:rFonts w:ascii="Times New Roman" w:hAnsi="Times New Roman" w:cs="Times New Roman"/>
          <w:sz w:val="24"/>
        </w:rPr>
      </w:pPr>
      <w:r>
        <w:rPr>
          <w:rFonts w:ascii="Times New Roman" w:hAnsi="Times New Roman" w:cs="Times New Roman"/>
          <w:sz w:val="24"/>
        </w:rPr>
        <w:t xml:space="preserve">Following the empirical insights, the simulation models two sources of windows of opportunities: 1) </w:t>
      </w:r>
      <w:r>
        <w:rPr>
          <w:rFonts w:ascii="Times New Roman" w:hAnsi="Times New Roman" w:cs="Times New Roman" w:hint="eastAsia"/>
          <w:sz w:val="24"/>
        </w:rPr>
        <w:t>Window</w:t>
      </w:r>
      <w:r>
        <w:rPr>
          <w:rFonts w:ascii="Times New Roman" w:hAnsi="Times New Roman" w:cs="Times New Roman"/>
          <w:sz w:val="24"/>
        </w:rPr>
        <w:t xml:space="preserve">s created by disasters that received the presidential declaration; 2) Windows more specific to each agency, which depends on an agency’s routine and resource base, its interorganizational initiatives with other organizations as well as the its </w:t>
      </w:r>
      <w:r>
        <w:rPr>
          <w:rFonts w:ascii="Times New Roman" w:hAnsi="Times New Roman" w:cs="Times New Roman"/>
          <w:sz w:val="24"/>
        </w:rPr>
        <w:lastRenderedPageBreak/>
        <w:t>socio-political environment that makes additional funding more or less likely. The first type of windows are created by the declaration rate of disasters, the parameter of which is derived from</w:t>
      </w:r>
      <w:r w:rsidRPr="00CF5FF7">
        <w:rPr>
          <w:rFonts w:ascii="Times New Roman" w:hAnsi="Times New Roman" w:cs="Times New Roman"/>
          <w:sz w:val="24"/>
        </w:rPr>
        <w:t xml:space="preserve"> Schmidtlein</w:t>
      </w:r>
      <w:r>
        <w:rPr>
          <w:rFonts w:ascii="Times New Roman" w:hAnsi="Times New Roman" w:cs="Times New Roman"/>
          <w:sz w:val="24"/>
        </w:rPr>
        <w:t xml:space="preserve"> et al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pbeJeK0J","properties":{"formattedCitation":"(2008)","plainCitation":"(2008)","noteIndex":0},"citationItems":[{"id":6405,"uris":["http://zotero.org/users/2615692/items/NCUYTC2B"],"uri":["http://zotero.org/users/2615692/items/NCUYTC2B"],"itemData":{"id":6405,"type":"article-journal","title":"Disaster Declarations and Major Hazard Occurrences in the United States","container-title":"The Professional Geographer","page":"1-14","volume":"60","issue":"1","source":"Taylor and Francis+NEJM","abstract":"This article examines the potential geographic inequities between major hazard events and U.S. presidential disaster declarations at the county level from 1965 through 2004. The previous literature suggests that the disaster declaration process is highly politicized and not necessarily based on need. We hypothesize that there is a spatial inequity between the receipt of disaster declarations and the distribution of major hazard events. The results indicate that the geographic distribution of disaster declarations is not totally explained by the spatial pattern of major hazard events. In some locales, state experience in submitting disaster requests and achieving success translates into more disaster declarations (holding everything else constant), providing further evidence of the political nature of the process.","DOI":"10.1080/00330120701715143","ISSN":"0033-0124","author":[{"family":"Schmidtlein","given":"Mathew C."},{"family":"Finch","given":"Christina"},{"family":"Cutter","given":"Susan L."}],"issued":{"date-parts":[["2008",1,1]]}},"suppress-author":true}],"schema":"https://github.com/citation-style-language/schema/raw/master/csl-citation.json"} </w:instrText>
      </w:r>
      <w:r>
        <w:rPr>
          <w:rFonts w:ascii="Times New Roman" w:hAnsi="Times New Roman" w:cs="Times New Roman"/>
          <w:sz w:val="24"/>
        </w:rPr>
        <w:fldChar w:fldCharType="separate"/>
      </w:r>
      <w:r w:rsidRPr="00CF5FF7">
        <w:rPr>
          <w:rFonts w:ascii="Times New Roman" w:hAnsi="Times New Roman" w:cs="Times New Roman"/>
          <w:sz w:val="24"/>
        </w:rPr>
        <w:t>(2008)</w:t>
      </w:r>
      <w:r>
        <w:rPr>
          <w:rFonts w:ascii="Times New Roman" w:hAnsi="Times New Roman" w:cs="Times New Roman"/>
          <w:sz w:val="24"/>
        </w:rPr>
        <w:fldChar w:fldCharType="end"/>
      </w:r>
      <w:r>
        <w:rPr>
          <w:rFonts w:ascii="Times New Roman" w:hAnsi="Times New Roman" w:cs="Times New Roman"/>
          <w:sz w:val="24"/>
        </w:rPr>
        <w:t>. The second type of window is randomly generated across the course of the model duration,  with a variable maximum number of windows across agencies</w:t>
      </w:r>
      <w:r w:rsidR="009D5D6A">
        <w:rPr>
          <w:rFonts w:ascii="Times New Roman" w:hAnsi="Times New Roman" w:cs="Times New Roman"/>
          <w:sz w:val="24"/>
        </w:rPr>
        <w:t>. Sensitive analysis is conducted to examine the influence of the maximum number of windows on the model outcome.</w:t>
      </w:r>
    </w:p>
    <w:p w14:paraId="0C96A050" w14:textId="77777777" w:rsidR="002A64FE" w:rsidRDefault="002A64FE" w:rsidP="002A64FE">
      <w:pPr>
        <w:pStyle w:val="ListParagraph"/>
        <w:rPr>
          <w:rFonts w:ascii="Times New Roman" w:hAnsi="Times New Roman" w:cs="Times New Roman"/>
          <w:sz w:val="24"/>
        </w:rPr>
      </w:pPr>
    </w:p>
    <w:p w14:paraId="08225FC2" w14:textId="64B18D9D" w:rsidR="00413F8B" w:rsidRDefault="002A64FE" w:rsidP="002A64FE">
      <w:pPr>
        <w:pStyle w:val="ListParagraph"/>
        <w:numPr>
          <w:ilvl w:val="0"/>
          <w:numId w:val="3"/>
        </w:numPr>
        <w:rPr>
          <w:rFonts w:ascii="Times New Roman" w:hAnsi="Times New Roman" w:cs="Times New Roman"/>
          <w:sz w:val="24"/>
        </w:rPr>
      </w:pPr>
      <w:r>
        <w:rPr>
          <w:rFonts w:ascii="Times New Roman" w:hAnsi="Times New Roman" w:cs="Times New Roman"/>
          <w:sz w:val="24"/>
        </w:rPr>
        <w:t>Upon an open window, an agency executes the sequence of assessment: 1) whether its expected risk is above its risk tolerance: 2) whether it has a readily available solution to implement; 3) Is the additional influx of resources sufficient for implementing the target solution. An answer of “no” to any of the evaluations will take the agency to the next time step. Only when an agency meets all three criteria can it successfully implement the adaptation solution.</w:t>
      </w:r>
    </w:p>
    <w:p w14:paraId="372B60C5" w14:textId="77777777" w:rsidR="002C59D2" w:rsidRPr="002C59D2" w:rsidRDefault="002C59D2" w:rsidP="002C59D2">
      <w:pPr>
        <w:pStyle w:val="ListParagraph"/>
        <w:rPr>
          <w:rFonts w:ascii="Times New Roman" w:hAnsi="Times New Roman" w:cs="Times New Roman"/>
          <w:sz w:val="24"/>
        </w:rPr>
      </w:pPr>
    </w:p>
    <w:p w14:paraId="0A92A75D" w14:textId="236C74DA" w:rsidR="002C59D2" w:rsidRDefault="002C59D2" w:rsidP="002A64FE">
      <w:pPr>
        <w:pStyle w:val="ListParagraph"/>
        <w:numPr>
          <w:ilvl w:val="0"/>
          <w:numId w:val="3"/>
        </w:numPr>
        <w:rPr>
          <w:rFonts w:ascii="Times New Roman" w:hAnsi="Times New Roman" w:cs="Times New Roman"/>
          <w:sz w:val="24"/>
        </w:rPr>
      </w:pPr>
      <w:r>
        <w:rPr>
          <w:rFonts w:ascii="Times New Roman" w:hAnsi="Times New Roman" w:cs="Times New Roman"/>
          <w:sz w:val="24"/>
        </w:rPr>
        <w:t>Consistent with evidence that extreme and disastrous weather events are occurring at an accelerated rate</w:t>
      </w:r>
      <w:r w:rsidR="00396FDA">
        <w:rPr>
          <w:rFonts w:ascii="Times New Roman" w:hAnsi="Times New Roman" w:cs="Times New Roman"/>
          <w:sz w:val="24"/>
        </w:rPr>
        <w:t xml:space="preserve"> </w:t>
      </w:r>
      <w:r w:rsidR="00396FDA">
        <w:rPr>
          <w:rFonts w:ascii="Times New Roman" w:hAnsi="Times New Roman" w:cs="Times New Roman"/>
          <w:sz w:val="24"/>
        </w:rPr>
        <w:fldChar w:fldCharType="begin"/>
      </w:r>
      <w:r w:rsidR="00396FDA">
        <w:rPr>
          <w:rFonts w:ascii="Times New Roman" w:hAnsi="Times New Roman" w:cs="Times New Roman"/>
          <w:sz w:val="24"/>
        </w:rPr>
        <w:instrText xml:space="preserve"> ADDIN ZOTERO_ITEM CSL_CITATION {"citationID":"zAmKfJwP","properties":{"formattedCitation":"(Boustan et al., 2017; Smith, 2017)","plainCitation":"(Boustan et al., 2017; Smith, 2017)","noteIndex":0},"citationItems":[{"id":6482,"uris":["http://zotero.org/users/2615692/items/QVHEMY3E"],"uri":["http://zotero.org/users/2615692/items/QVHEMY3E"],"itemData":{"id":6482,"type":"report","title":"The effect of natural disasters on economic activity in us counties: A century of data","publisher":"National Bureau of Economic Research","source":"Google Scholar","title-short":"The effect of natural disasters on economic activity in us counties","author":[{"family":"Boustan","given":"Leah Platt"},{"family":"Kahn","given":"Matthew E."},{"family":"Rhode","given":"Paul W."},{"family":"Yanguas","given":"Maria Lucia"}],"issued":{"date-parts":[["2017"]]}}},{"id":18,"uris":["http://zotero.org/users/2615692/items/8EVM62D2"],"uri":["http://zotero.org/users/2615692/items/8EVM62D2"],"itemData":{"id":18,"type":"webpage","title":"2016: A historic year for billion-dollar weather and climate disasters in U.S. | NOAA Climate.gov","URL":"https://www.climate.gov/news-features/blogs/beyond-data/2016-historic-year-billion-dollar-weather-and-climate-disasters-us","author":[{"family":"Smith","given":"Adam B."}],"issued":{"date-parts":[["2017"]]},"accessed":{"date-parts":[["2017",10,23]]}}}],"schema":"https://github.com/citation-style-language/schema/raw/master/csl-citation.json"} </w:instrText>
      </w:r>
      <w:r w:rsidR="00396FDA">
        <w:rPr>
          <w:rFonts w:ascii="Times New Roman" w:hAnsi="Times New Roman" w:cs="Times New Roman"/>
          <w:sz w:val="24"/>
        </w:rPr>
        <w:fldChar w:fldCharType="separate"/>
      </w:r>
      <w:r w:rsidR="00396FDA" w:rsidRPr="00396FDA">
        <w:rPr>
          <w:rFonts w:ascii="Times New Roman" w:hAnsi="Times New Roman" w:cs="Times New Roman"/>
          <w:sz w:val="24"/>
        </w:rPr>
        <w:t>(Boustan et al., 2017; Smith, 2017)</w:t>
      </w:r>
      <w:r w:rsidR="00396FDA">
        <w:rPr>
          <w:rFonts w:ascii="Times New Roman" w:hAnsi="Times New Roman" w:cs="Times New Roman"/>
          <w:sz w:val="24"/>
        </w:rPr>
        <w:fldChar w:fldCharType="end"/>
      </w:r>
      <w:r>
        <w:rPr>
          <w:rFonts w:ascii="Times New Roman" w:hAnsi="Times New Roman" w:cs="Times New Roman"/>
          <w:sz w:val="24"/>
        </w:rPr>
        <w:t xml:space="preserve">, the probabilities for extreme weather events and weather disasters slightly increase at the end of each </w:t>
      </w:r>
      <w:r w:rsidR="008E4A24">
        <w:rPr>
          <w:rFonts w:ascii="Times New Roman" w:hAnsi="Times New Roman" w:cs="Times New Roman"/>
          <w:sz w:val="24"/>
        </w:rPr>
        <w:t>time step</w:t>
      </w:r>
      <w:r>
        <w:rPr>
          <w:rFonts w:ascii="Times New Roman" w:hAnsi="Times New Roman" w:cs="Times New Roman"/>
          <w:sz w:val="24"/>
        </w:rPr>
        <w:t xml:space="preserve">. </w:t>
      </w:r>
    </w:p>
    <w:p w14:paraId="12CBA3CB" w14:textId="04E247D0" w:rsidR="00974FDE" w:rsidRPr="00974FDE" w:rsidRDefault="00974FDE" w:rsidP="00974FDE">
      <w:pPr>
        <w:rPr>
          <w:rFonts w:ascii="Times New Roman" w:hAnsi="Times New Roman" w:cs="Times New Roman"/>
          <w:b/>
          <w:sz w:val="24"/>
        </w:rPr>
      </w:pPr>
      <w:r w:rsidRPr="00974FDE">
        <w:rPr>
          <w:rFonts w:ascii="Times New Roman" w:hAnsi="Times New Roman" w:cs="Times New Roman"/>
          <w:b/>
          <w:sz w:val="24"/>
        </w:rPr>
        <w:t>Figure 1. Flowchart of modeled systems of organizational adaptation</w:t>
      </w:r>
    </w:p>
    <w:p w14:paraId="1272DB1A" w14:textId="5879009B" w:rsidR="00974FDE" w:rsidRDefault="00974FDE" w:rsidP="00974FDE">
      <w:pPr>
        <w:pStyle w:val="ListParagrap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519156C" wp14:editId="7BDC04ED">
            <wp:extent cx="4343400" cy="645755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sertation ABM paper flowchart 0528.jpg"/>
                    <pic:cNvPicPr/>
                  </pic:nvPicPr>
                  <pic:blipFill>
                    <a:blip r:embed="rId6">
                      <a:extLst>
                        <a:ext uri="{28A0092B-C50C-407E-A947-70E740481C1C}">
                          <a14:useLocalDpi xmlns:a14="http://schemas.microsoft.com/office/drawing/2010/main" val="0"/>
                        </a:ext>
                      </a:extLst>
                    </a:blip>
                    <a:stretch>
                      <a:fillRect/>
                    </a:stretch>
                  </pic:blipFill>
                  <pic:spPr>
                    <a:xfrm>
                      <a:off x="0" y="0"/>
                      <a:ext cx="4357837" cy="6479015"/>
                    </a:xfrm>
                    <a:prstGeom prst="rect">
                      <a:avLst/>
                    </a:prstGeom>
                  </pic:spPr>
                </pic:pic>
              </a:graphicData>
            </a:graphic>
          </wp:inline>
        </w:drawing>
      </w:r>
    </w:p>
    <w:p w14:paraId="06392F0B" w14:textId="77777777" w:rsidR="002A64FE" w:rsidRPr="00B62E32" w:rsidRDefault="002A64FE" w:rsidP="00B62E32">
      <w:pPr>
        <w:rPr>
          <w:rFonts w:ascii="Times New Roman" w:hAnsi="Times New Roman" w:cs="Times New Roman"/>
          <w:sz w:val="24"/>
        </w:rPr>
      </w:pPr>
    </w:p>
    <w:p w14:paraId="4773E0A3" w14:textId="42BED8A0" w:rsidR="004212E0" w:rsidRDefault="00B62E32" w:rsidP="00B62E32">
      <w:pPr>
        <w:rPr>
          <w:rFonts w:ascii="Times New Roman" w:hAnsi="Times New Roman" w:cs="Times New Roman"/>
          <w:b/>
          <w:sz w:val="24"/>
        </w:rPr>
      </w:pPr>
      <w:r>
        <w:rPr>
          <w:rFonts w:ascii="Times New Roman" w:hAnsi="Times New Roman" w:cs="Times New Roman"/>
          <w:b/>
          <w:sz w:val="24"/>
        </w:rPr>
        <w:t xml:space="preserve">1.4 </w:t>
      </w:r>
      <w:r w:rsidRPr="00B62E32">
        <w:rPr>
          <w:rFonts w:ascii="Times New Roman" w:hAnsi="Times New Roman" w:cs="Times New Roman"/>
          <w:b/>
          <w:sz w:val="24"/>
        </w:rPr>
        <w:t xml:space="preserve">Design concepts </w:t>
      </w:r>
    </w:p>
    <w:p w14:paraId="70F9357E" w14:textId="4C9F32EE" w:rsidR="00B62E32" w:rsidRDefault="00B62E32" w:rsidP="00B62E32">
      <w:pPr>
        <w:rPr>
          <w:rFonts w:ascii="Times New Roman" w:hAnsi="Times New Roman" w:cs="Times New Roman"/>
          <w:b/>
          <w:sz w:val="24"/>
        </w:rPr>
      </w:pPr>
      <w:r>
        <w:rPr>
          <w:rFonts w:ascii="Times New Roman" w:hAnsi="Times New Roman" w:cs="Times New Roman"/>
          <w:b/>
          <w:sz w:val="24"/>
        </w:rPr>
        <w:t>1.4.1 Theoretical and empirical background</w:t>
      </w:r>
    </w:p>
    <w:p w14:paraId="6968205F" w14:textId="340E192E" w:rsidR="005C5ED9" w:rsidRPr="005C5ED9" w:rsidRDefault="005C5ED9" w:rsidP="00B62E32">
      <w:pPr>
        <w:rPr>
          <w:rFonts w:ascii="Times New Roman" w:hAnsi="Times New Roman" w:cs="Times New Roman"/>
          <w:b/>
          <w:sz w:val="24"/>
        </w:rPr>
      </w:pPr>
      <w:r w:rsidRPr="005C5ED9">
        <w:rPr>
          <w:rFonts w:ascii="Times New Roman" w:hAnsi="Times New Roman" w:cs="Times New Roman"/>
          <w:b/>
          <w:sz w:val="24"/>
        </w:rPr>
        <w:t>Initialization</w:t>
      </w:r>
    </w:p>
    <w:p w14:paraId="3D5E67FC" w14:textId="1C636283" w:rsidR="005C5ED9" w:rsidRDefault="00B62E32" w:rsidP="00B62E32">
      <w:pPr>
        <w:rPr>
          <w:rFonts w:ascii="Times New Roman" w:hAnsi="Times New Roman" w:cs="Times New Roman"/>
          <w:sz w:val="24"/>
        </w:rPr>
      </w:pPr>
      <w:r>
        <w:rPr>
          <w:rFonts w:ascii="Times New Roman" w:hAnsi="Times New Roman" w:cs="Times New Roman"/>
          <w:sz w:val="24"/>
        </w:rPr>
        <w:lastRenderedPageBreak/>
        <w:t xml:space="preserve">The model is initiated as having zero adapters in order to observe the emergence of adaptive behavior, operationalized as agencies’ </w:t>
      </w:r>
      <w:r w:rsidR="005C5ED9">
        <w:rPr>
          <w:rFonts w:ascii="Times New Roman" w:hAnsi="Times New Roman" w:cs="Times New Roman"/>
          <w:sz w:val="24"/>
        </w:rPr>
        <w:t xml:space="preserve">capital investment in enhancing system resilience against extreme weather impacts. The configuration of the initial conditions </w:t>
      </w:r>
      <w:proofErr w:type="gramStart"/>
      <w:r w:rsidR="005C5ED9">
        <w:rPr>
          <w:rFonts w:ascii="Times New Roman" w:hAnsi="Times New Roman" w:cs="Times New Roman"/>
          <w:sz w:val="24"/>
        </w:rPr>
        <w:t>are</w:t>
      </w:r>
      <w:proofErr w:type="gramEnd"/>
      <w:r w:rsidR="005C5ED9">
        <w:rPr>
          <w:rFonts w:ascii="Times New Roman" w:hAnsi="Times New Roman" w:cs="Times New Roman"/>
          <w:sz w:val="24"/>
        </w:rPr>
        <w:t xml:space="preserve"> reported in Table 1.</w:t>
      </w:r>
    </w:p>
    <w:p w14:paraId="2BC6FBBB" w14:textId="761F826C" w:rsidR="005C5ED9" w:rsidRDefault="005C5ED9" w:rsidP="00B62E32">
      <w:pPr>
        <w:rPr>
          <w:rFonts w:ascii="Times New Roman" w:hAnsi="Times New Roman" w:cs="Times New Roman"/>
          <w:b/>
          <w:sz w:val="24"/>
        </w:rPr>
      </w:pPr>
      <w:r w:rsidRPr="005C5ED9">
        <w:rPr>
          <w:rFonts w:ascii="Times New Roman" w:hAnsi="Times New Roman" w:cs="Times New Roman"/>
          <w:b/>
          <w:sz w:val="24"/>
        </w:rPr>
        <w:t>Input Data</w:t>
      </w:r>
    </w:p>
    <w:p w14:paraId="31DB6C36" w14:textId="73EC8AE2" w:rsidR="005C5ED9" w:rsidRDefault="005C5ED9" w:rsidP="00B62E32">
      <w:pPr>
        <w:rPr>
          <w:rFonts w:ascii="Times New Roman" w:hAnsi="Times New Roman" w:cs="Times New Roman"/>
          <w:sz w:val="24"/>
        </w:rPr>
      </w:pPr>
      <w:r w:rsidRPr="005C5ED9">
        <w:rPr>
          <w:rFonts w:ascii="Times New Roman" w:hAnsi="Times New Roman" w:cs="Times New Roman"/>
          <w:sz w:val="24"/>
        </w:rPr>
        <w:t>Th</w:t>
      </w:r>
      <w:r>
        <w:rPr>
          <w:rFonts w:ascii="Times New Roman" w:hAnsi="Times New Roman" w:cs="Times New Roman"/>
          <w:sz w:val="24"/>
        </w:rPr>
        <w:t xml:space="preserve">e reference pattern is drawn from a 2016 national survey on the largest fixed-route transit agencies in US metropolitan areas. The survey data along with the prior literature are also utilized to inform parameterization of key element in the model. The objective extreme weather probability uses the answer from a survey question asking organizations of the number of extreme weather events they experienced in the past two years, wherein the value is adjusted to match the temporal scale of the model. </w:t>
      </w:r>
      <w:r w:rsidR="00674FD6">
        <w:rPr>
          <w:rFonts w:ascii="Times New Roman" w:hAnsi="Times New Roman" w:cs="Times New Roman"/>
          <w:sz w:val="24"/>
        </w:rPr>
        <w:t xml:space="preserve">The frequency of disasters </w:t>
      </w:r>
      <w:r w:rsidR="00BD6081">
        <w:rPr>
          <w:rFonts w:ascii="Times New Roman" w:hAnsi="Times New Roman" w:cs="Times New Roman"/>
          <w:sz w:val="24"/>
        </w:rPr>
        <w:t>is</w:t>
      </w:r>
      <w:r w:rsidR="00674FD6">
        <w:rPr>
          <w:rFonts w:ascii="Times New Roman" w:hAnsi="Times New Roman" w:cs="Times New Roman"/>
          <w:sz w:val="24"/>
        </w:rPr>
        <w:t xml:space="preserve"> drawn from the FEMA’s summary data on </w:t>
      </w:r>
      <w:r w:rsidR="0064542C">
        <w:rPr>
          <w:rFonts w:ascii="Times New Roman" w:hAnsi="Times New Roman" w:cs="Times New Roman"/>
          <w:sz w:val="24"/>
        </w:rPr>
        <w:t xml:space="preserve">weather </w:t>
      </w:r>
      <w:r w:rsidR="00674FD6">
        <w:rPr>
          <w:rFonts w:ascii="Times New Roman" w:hAnsi="Times New Roman" w:cs="Times New Roman"/>
          <w:sz w:val="24"/>
        </w:rPr>
        <w:t>disasters</w:t>
      </w:r>
      <w:r w:rsidR="0064542C">
        <w:rPr>
          <w:rFonts w:ascii="Times New Roman" w:hAnsi="Times New Roman" w:cs="Times New Roman"/>
          <w:sz w:val="24"/>
        </w:rPr>
        <w:t xml:space="preserve">, including both major disaster declarations and special emergencies. In terms of windows of opportunities created by disasters, the model only considers disasters that received the presidential declaration. Using the state-level declaration success rate in Schmidtlein et al </w:t>
      </w:r>
      <w:r w:rsidR="0064542C">
        <w:rPr>
          <w:rFonts w:ascii="Times New Roman" w:hAnsi="Times New Roman" w:cs="Times New Roman"/>
          <w:sz w:val="24"/>
        </w:rPr>
        <w:fldChar w:fldCharType="begin"/>
      </w:r>
      <w:r w:rsidR="0064542C">
        <w:rPr>
          <w:rFonts w:ascii="Times New Roman" w:hAnsi="Times New Roman" w:cs="Times New Roman"/>
          <w:sz w:val="24"/>
        </w:rPr>
        <w:instrText xml:space="preserve"> ADDIN ZOTERO_ITEM CSL_CITATION {"citationID":"VzLbagSG","properties":{"formattedCitation":"(2008)","plainCitation":"(2008)","noteIndex":0},"citationItems":[{"id":6405,"uris":["http://zotero.org/users/2615692/items/NCUYTC2B"],"uri":["http://zotero.org/users/2615692/items/NCUYTC2B"],"itemData":{"id":6405,"type":"article-journal","title":"Disaster Declarations and Major Hazard Occurrences in the United States","container-title":"The Professional Geographer","page":"1-14","volume":"60","issue":"1","source":"Taylor and Francis+NEJM","abstract":"This article examines the potential geographic inequities between major hazard events and U.S. presidential disaster declarations at the county level from 1965 through 2004. The previous literature suggests that the disaster declaration process is highly politicized and not necessarily based on need. We hypothesize that there is a spatial inequity between the receipt of disaster declarations and the distribution of major hazard events. The results indicate that the geographic distribution of disaster declarations is not totally explained by the spatial pattern of major hazard events. In some locales, state experience in submitting disaster requests and achieving success translates into more disaster declarations (holding everything else constant), providing further evidence of the political nature of the process.","DOI":"10.1080/00330120701715143","ISSN":"0033-0124","author":[{"family":"Schmidtlein","given":"Mathew C."},{"family":"Finch","given":"Christina"},{"family":"Cutter","given":"Susan L."}],"issued":{"date-parts":[["2008",1,1]]}},"suppress-author":true}],"schema":"https://github.com/citation-style-language/schema/raw/master/csl-citation.json"} </w:instrText>
      </w:r>
      <w:r w:rsidR="0064542C">
        <w:rPr>
          <w:rFonts w:ascii="Times New Roman" w:hAnsi="Times New Roman" w:cs="Times New Roman"/>
          <w:sz w:val="24"/>
        </w:rPr>
        <w:fldChar w:fldCharType="separate"/>
      </w:r>
      <w:r w:rsidR="0064542C" w:rsidRPr="0064542C">
        <w:rPr>
          <w:rFonts w:ascii="Times New Roman" w:hAnsi="Times New Roman" w:cs="Times New Roman"/>
          <w:sz w:val="24"/>
        </w:rPr>
        <w:t>(2008)</w:t>
      </w:r>
      <w:r w:rsidR="0064542C">
        <w:rPr>
          <w:rFonts w:ascii="Times New Roman" w:hAnsi="Times New Roman" w:cs="Times New Roman"/>
          <w:sz w:val="24"/>
        </w:rPr>
        <w:fldChar w:fldCharType="end"/>
      </w:r>
      <w:r w:rsidR="0064542C">
        <w:rPr>
          <w:rFonts w:ascii="Times New Roman" w:hAnsi="Times New Roman" w:cs="Times New Roman"/>
          <w:sz w:val="24"/>
        </w:rPr>
        <w:t xml:space="preserve"> as the baseline, the model applies some random variation in the agency-level declaration rate. </w:t>
      </w:r>
      <w:r w:rsidR="00DB147D">
        <w:rPr>
          <w:rFonts w:ascii="Times New Roman" w:hAnsi="Times New Roman" w:cs="Times New Roman"/>
          <w:sz w:val="24"/>
        </w:rPr>
        <w:t xml:space="preserve">Other parameters are either categorically calibrated to the match the reference pattern </w:t>
      </w:r>
      <w:r w:rsidR="00DB147D">
        <w:rPr>
          <w:rFonts w:ascii="Times New Roman" w:hAnsi="Times New Roman" w:cs="Times New Roman"/>
          <w:sz w:val="24"/>
        </w:rPr>
        <w:fldChar w:fldCharType="begin"/>
      </w:r>
      <w:r w:rsidR="00DB147D">
        <w:rPr>
          <w:rFonts w:ascii="Times New Roman" w:hAnsi="Times New Roman" w:cs="Times New Roman"/>
          <w:sz w:val="24"/>
        </w:rPr>
        <w:instrText xml:space="preserve"> ADDIN ZOTERO_ITEM CSL_CITATION {"citationID":"oD3YvSkI","properties":{"formattedCitation":"(Railsback &amp; Grimm, 2011)","plainCitation":"(Railsback &amp; Grimm, 2011)","noteIndex":0},"citationItems":[{"id":30,"uris":["http://zotero.org/users/2615692/items/CT3758RB"],"uri":["http://zotero.org/users/2615692/items/CT3758RB"],"itemData":{"id":30,"type":"book","title":"Agent-based and individual-based modeling: a practical introduction","publisher":"Princeton university press","source":"Google Scholar","title-short":"Agent-based and individual-based modeling","author":[{"family":"Railsback","given":"Steven F."},{"family":"Grimm","given":"Volker"}],"issued":{"date-parts":[["2011"]]}}}],"schema":"https://github.com/citation-style-language/schema/raw/master/csl-citation.json"} </w:instrText>
      </w:r>
      <w:r w:rsidR="00DB147D">
        <w:rPr>
          <w:rFonts w:ascii="Times New Roman" w:hAnsi="Times New Roman" w:cs="Times New Roman"/>
          <w:sz w:val="24"/>
        </w:rPr>
        <w:fldChar w:fldCharType="separate"/>
      </w:r>
      <w:r w:rsidR="00DB147D" w:rsidRPr="00DB147D">
        <w:rPr>
          <w:rFonts w:ascii="Times New Roman" w:hAnsi="Times New Roman" w:cs="Times New Roman"/>
          <w:sz w:val="24"/>
        </w:rPr>
        <w:t>(Railsback &amp; Grimm, 2011)</w:t>
      </w:r>
      <w:r w:rsidR="00DB147D">
        <w:rPr>
          <w:rFonts w:ascii="Times New Roman" w:hAnsi="Times New Roman" w:cs="Times New Roman"/>
          <w:sz w:val="24"/>
        </w:rPr>
        <w:fldChar w:fldCharType="end"/>
      </w:r>
      <w:r w:rsidR="00DB147D">
        <w:rPr>
          <w:rFonts w:ascii="Times New Roman" w:hAnsi="Times New Roman" w:cs="Times New Roman"/>
          <w:sz w:val="24"/>
        </w:rPr>
        <w:t xml:space="preserve"> or are incorporated in sensitivity analysis to determine their relative importance in influencing the model outcome. </w:t>
      </w:r>
    </w:p>
    <w:p w14:paraId="5BEE5495" w14:textId="58E714D0" w:rsidR="00DB147D" w:rsidRDefault="004975C1" w:rsidP="00B62E32">
      <w:pPr>
        <w:rPr>
          <w:rFonts w:ascii="Times New Roman" w:hAnsi="Times New Roman" w:cs="Times New Roman"/>
          <w:b/>
          <w:sz w:val="24"/>
        </w:rPr>
      </w:pPr>
      <w:r w:rsidRPr="004975C1">
        <w:rPr>
          <w:rFonts w:ascii="Times New Roman" w:hAnsi="Times New Roman" w:cs="Times New Roman"/>
          <w:b/>
          <w:sz w:val="24"/>
        </w:rPr>
        <w:t>Emergence</w:t>
      </w:r>
    </w:p>
    <w:p w14:paraId="34165504" w14:textId="70127C3B" w:rsidR="004975C1" w:rsidRDefault="004975C1" w:rsidP="00B62E32">
      <w:pPr>
        <w:rPr>
          <w:rFonts w:ascii="Times New Roman" w:hAnsi="Times New Roman" w:cs="Times New Roman"/>
          <w:sz w:val="24"/>
        </w:rPr>
      </w:pPr>
      <w:r w:rsidRPr="004975C1">
        <w:rPr>
          <w:rFonts w:ascii="Times New Roman" w:hAnsi="Times New Roman" w:cs="Times New Roman"/>
          <w:sz w:val="24"/>
        </w:rPr>
        <w:t>Agent</w:t>
      </w:r>
      <w:r>
        <w:rPr>
          <w:rFonts w:ascii="Times New Roman" w:hAnsi="Times New Roman" w:cs="Times New Roman"/>
          <w:sz w:val="24"/>
        </w:rPr>
        <w:t xml:space="preserve"> </w:t>
      </w:r>
      <w:r w:rsidR="005E4439">
        <w:rPr>
          <w:rFonts w:ascii="Times New Roman" w:hAnsi="Times New Roman" w:cs="Times New Roman"/>
          <w:sz w:val="24"/>
        </w:rPr>
        <w:t xml:space="preserve">adaptive behavior </w:t>
      </w:r>
      <w:r>
        <w:rPr>
          <w:rFonts w:ascii="Times New Roman" w:hAnsi="Times New Roman" w:cs="Times New Roman"/>
          <w:sz w:val="24"/>
        </w:rPr>
        <w:t>in coupled socio-environmental systems. Extreme weather from the natural environment constitute the external drivers for organizational risk perception, which when exceeding their accepted level of risk, motivates problemistic search</w:t>
      </w:r>
      <w:r w:rsidR="005E4439">
        <w:rPr>
          <w:rFonts w:ascii="Times New Roman" w:hAnsi="Times New Roman" w:cs="Times New Roman"/>
          <w:sz w:val="24"/>
        </w:rPr>
        <w:t xml:space="preserve"> for adaptation solutions with higher efficacy in modulating weather impacts</w:t>
      </w:r>
      <w:r>
        <w:rPr>
          <w:rFonts w:ascii="Times New Roman" w:hAnsi="Times New Roman" w:cs="Times New Roman"/>
          <w:sz w:val="24"/>
        </w:rPr>
        <w:t xml:space="preserve">. </w:t>
      </w:r>
      <w:r w:rsidR="005E4439">
        <w:rPr>
          <w:rFonts w:ascii="Times New Roman" w:hAnsi="Times New Roman" w:cs="Times New Roman"/>
          <w:sz w:val="24"/>
        </w:rPr>
        <w:t xml:space="preserve">The search process is informed by the agency’s connections with other agencies, as well as their interaction with the regional FTA office. When a solution is identified, an organization either implements with its current capacity, or wait for windows of opportunities. Upon an open window, if an organization still perceives risk as higher than their tolerance, it will implement the solution to the maximum extent allowable with the boosted capacity. </w:t>
      </w:r>
    </w:p>
    <w:p w14:paraId="777B6B5B" w14:textId="61990537" w:rsidR="004975C1" w:rsidRDefault="005E4439" w:rsidP="00B62E32">
      <w:pPr>
        <w:rPr>
          <w:rFonts w:ascii="Times New Roman" w:hAnsi="Times New Roman" w:cs="Times New Roman"/>
          <w:b/>
          <w:sz w:val="24"/>
        </w:rPr>
      </w:pPr>
      <w:r w:rsidRPr="005E4439">
        <w:rPr>
          <w:rFonts w:ascii="Times New Roman" w:hAnsi="Times New Roman" w:cs="Times New Roman"/>
          <w:b/>
          <w:sz w:val="24"/>
        </w:rPr>
        <w:t>Adaptation</w:t>
      </w:r>
    </w:p>
    <w:p w14:paraId="466A0CC9" w14:textId="363E87B4" w:rsidR="005E4439" w:rsidRDefault="005E4439" w:rsidP="00B62E32">
      <w:pPr>
        <w:rPr>
          <w:rFonts w:ascii="Times New Roman" w:hAnsi="Times New Roman" w:cs="Times New Roman"/>
          <w:sz w:val="24"/>
        </w:rPr>
      </w:pPr>
      <w:r w:rsidRPr="005E4439">
        <w:rPr>
          <w:rFonts w:ascii="Times New Roman" w:hAnsi="Times New Roman" w:cs="Times New Roman"/>
          <w:sz w:val="24"/>
        </w:rPr>
        <w:t>The</w:t>
      </w:r>
      <w:r>
        <w:rPr>
          <w:rFonts w:ascii="Times New Roman" w:hAnsi="Times New Roman" w:cs="Times New Roman"/>
          <w:sz w:val="24"/>
        </w:rPr>
        <w:t xml:space="preserve"> agents </w:t>
      </w:r>
      <w:r w:rsidR="001107A9">
        <w:rPr>
          <w:rFonts w:ascii="Times New Roman" w:hAnsi="Times New Roman" w:cs="Times New Roman"/>
          <w:sz w:val="24"/>
        </w:rPr>
        <w:t>adjust their risk perception based on their experience with extreme weather or the lack thereof. Its behavior changes non-linearly as its perceived risk exceeds it risk tolerance. When the agents successfully implement a solution with better efficacy, be it a more effective coping measure or adaptation measure, they response to the change by lowering their perceived risk.</w:t>
      </w:r>
    </w:p>
    <w:p w14:paraId="17E8DEE8" w14:textId="606E29AE" w:rsidR="001107A9" w:rsidRPr="001107A9" w:rsidRDefault="001107A9" w:rsidP="00B62E32">
      <w:pPr>
        <w:rPr>
          <w:rFonts w:ascii="Times New Roman" w:hAnsi="Times New Roman" w:cs="Times New Roman"/>
          <w:b/>
          <w:sz w:val="24"/>
        </w:rPr>
      </w:pPr>
      <w:r w:rsidRPr="001107A9">
        <w:rPr>
          <w:rFonts w:ascii="Times New Roman" w:hAnsi="Times New Roman" w:cs="Times New Roman"/>
          <w:b/>
          <w:sz w:val="24"/>
        </w:rPr>
        <w:t xml:space="preserve">Objective </w:t>
      </w:r>
    </w:p>
    <w:p w14:paraId="7D41DD83" w14:textId="5EDE2520" w:rsidR="001107A9" w:rsidRDefault="001107A9" w:rsidP="00B62E32">
      <w:pPr>
        <w:rPr>
          <w:rFonts w:ascii="Times New Roman" w:hAnsi="Times New Roman" w:cs="Times New Roman"/>
          <w:sz w:val="24"/>
        </w:rPr>
      </w:pPr>
      <w:r>
        <w:rPr>
          <w:rFonts w:ascii="Times New Roman" w:hAnsi="Times New Roman" w:cs="Times New Roman"/>
          <w:sz w:val="24"/>
        </w:rPr>
        <w:t xml:space="preserve">The ultimate goal of the agents is to reduce the impacts of extreme weather on their systems and operations. </w:t>
      </w:r>
    </w:p>
    <w:p w14:paraId="0B431605" w14:textId="4723004B" w:rsidR="001107A9" w:rsidRDefault="001107A9" w:rsidP="00B62E32">
      <w:pPr>
        <w:rPr>
          <w:rFonts w:ascii="Times New Roman" w:hAnsi="Times New Roman" w:cs="Times New Roman"/>
          <w:b/>
          <w:sz w:val="24"/>
        </w:rPr>
      </w:pPr>
      <w:r w:rsidRPr="001107A9">
        <w:rPr>
          <w:rFonts w:ascii="Times New Roman" w:hAnsi="Times New Roman" w:cs="Times New Roman"/>
          <w:b/>
          <w:sz w:val="24"/>
        </w:rPr>
        <w:t>Sensing</w:t>
      </w:r>
    </w:p>
    <w:p w14:paraId="24CF197C" w14:textId="78D6B80F" w:rsidR="001107A9" w:rsidRDefault="001107A9" w:rsidP="00B62E32">
      <w:pPr>
        <w:rPr>
          <w:rFonts w:ascii="Times New Roman" w:hAnsi="Times New Roman" w:cs="Times New Roman"/>
          <w:sz w:val="24"/>
        </w:rPr>
      </w:pPr>
      <w:r>
        <w:rPr>
          <w:rFonts w:ascii="Times New Roman" w:hAnsi="Times New Roman" w:cs="Times New Roman"/>
          <w:sz w:val="24"/>
        </w:rPr>
        <w:lastRenderedPageBreak/>
        <w:t xml:space="preserve">Agents sense changes in the weather conditions and </w:t>
      </w:r>
      <w:r w:rsidR="001629DD">
        <w:rPr>
          <w:rFonts w:ascii="Times New Roman" w:hAnsi="Times New Roman" w:cs="Times New Roman"/>
          <w:sz w:val="24"/>
        </w:rPr>
        <w:t>are able to</w:t>
      </w:r>
      <w:r w:rsidR="00254F52">
        <w:rPr>
          <w:rFonts w:ascii="Times New Roman" w:hAnsi="Times New Roman" w:cs="Times New Roman"/>
          <w:sz w:val="24"/>
        </w:rPr>
        <w:t xml:space="preserve"> access the common pool of information</w:t>
      </w:r>
      <w:r w:rsidR="001629DD">
        <w:rPr>
          <w:rFonts w:ascii="Times New Roman" w:hAnsi="Times New Roman" w:cs="Times New Roman"/>
          <w:sz w:val="24"/>
        </w:rPr>
        <w:t xml:space="preserve"> about disaster occurrences. They can also </w:t>
      </w:r>
      <w:r w:rsidR="001C7363">
        <w:rPr>
          <w:rFonts w:ascii="Times New Roman" w:hAnsi="Times New Roman" w:cs="Times New Roman"/>
          <w:sz w:val="24"/>
        </w:rPr>
        <w:t>detect</w:t>
      </w:r>
      <w:r w:rsidR="001629DD">
        <w:rPr>
          <w:rFonts w:ascii="Times New Roman" w:hAnsi="Times New Roman" w:cs="Times New Roman"/>
          <w:sz w:val="24"/>
        </w:rPr>
        <w:t xml:space="preserve"> the solutions practiced elsewhere through their network ties and the FTA regional office.</w:t>
      </w:r>
    </w:p>
    <w:p w14:paraId="11BF73BF" w14:textId="044F34ED" w:rsidR="00254F52" w:rsidRDefault="00254F52" w:rsidP="00B62E32">
      <w:pPr>
        <w:rPr>
          <w:rFonts w:ascii="Times New Roman" w:hAnsi="Times New Roman" w:cs="Times New Roman"/>
          <w:b/>
          <w:sz w:val="24"/>
        </w:rPr>
      </w:pPr>
      <w:r w:rsidRPr="00254F52">
        <w:rPr>
          <w:rFonts w:ascii="Times New Roman" w:hAnsi="Times New Roman" w:cs="Times New Roman"/>
          <w:b/>
          <w:sz w:val="24"/>
        </w:rPr>
        <w:t>Prediction</w:t>
      </w:r>
    </w:p>
    <w:p w14:paraId="6DAE161A" w14:textId="1298DE29" w:rsidR="00254F52" w:rsidRPr="00254F52" w:rsidRDefault="00254F52" w:rsidP="00B62E32">
      <w:pPr>
        <w:rPr>
          <w:rFonts w:ascii="Times New Roman" w:hAnsi="Times New Roman" w:cs="Times New Roman"/>
          <w:sz w:val="24"/>
        </w:rPr>
      </w:pPr>
      <w:r w:rsidRPr="00254F52">
        <w:rPr>
          <w:rFonts w:ascii="Times New Roman" w:hAnsi="Times New Roman" w:cs="Times New Roman"/>
          <w:sz w:val="24"/>
        </w:rPr>
        <w:t xml:space="preserve">The </w:t>
      </w:r>
      <w:r>
        <w:rPr>
          <w:rFonts w:ascii="Times New Roman" w:hAnsi="Times New Roman" w:cs="Times New Roman"/>
          <w:sz w:val="24"/>
        </w:rPr>
        <w:t xml:space="preserve">agents predict </w:t>
      </w:r>
      <w:r w:rsidR="00FC1E68">
        <w:rPr>
          <w:rFonts w:ascii="Times New Roman" w:hAnsi="Times New Roman" w:cs="Times New Roman"/>
          <w:sz w:val="24"/>
        </w:rPr>
        <w:t xml:space="preserve">how much their current practice </w:t>
      </w:r>
      <w:r w:rsidR="001629DD">
        <w:rPr>
          <w:rFonts w:ascii="Times New Roman" w:hAnsi="Times New Roman" w:cs="Times New Roman"/>
          <w:sz w:val="24"/>
        </w:rPr>
        <w:t xml:space="preserve">or target solution </w:t>
      </w:r>
      <w:r w:rsidR="00FC1E68">
        <w:rPr>
          <w:rFonts w:ascii="Times New Roman" w:hAnsi="Times New Roman" w:cs="Times New Roman"/>
          <w:sz w:val="24"/>
        </w:rPr>
        <w:t xml:space="preserve">can help mitigate the bad weather impacts. </w:t>
      </w:r>
    </w:p>
    <w:p w14:paraId="3D543E60" w14:textId="0D8F74DC" w:rsidR="001107A9" w:rsidRDefault="001107A9" w:rsidP="00B62E32">
      <w:pPr>
        <w:rPr>
          <w:rFonts w:ascii="Times New Roman" w:hAnsi="Times New Roman" w:cs="Times New Roman"/>
          <w:b/>
          <w:sz w:val="24"/>
        </w:rPr>
      </w:pPr>
      <w:r w:rsidRPr="001107A9">
        <w:rPr>
          <w:rFonts w:ascii="Times New Roman" w:hAnsi="Times New Roman" w:cs="Times New Roman"/>
          <w:b/>
          <w:sz w:val="24"/>
        </w:rPr>
        <w:t>Learning</w:t>
      </w:r>
    </w:p>
    <w:p w14:paraId="5382C49B" w14:textId="3BC99C1D" w:rsidR="001629DD" w:rsidRDefault="001629DD" w:rsidP="00B62E32">
      <w:pPr>
        <w:rPr>
          <w:rFonts w:ascii="Times New Roman" w:hAnsi="Times New Roman" w:cs="Times New Roman"/>
          <w:sz w:val="24"/>
        </w:rPr>
      </w:pPr>
      <w:r w:rsidRPr="001629DD">
        <w:rPr>
          <w:rFonts w:ascii="Times New Roman" w:hAnsi="Times New Roman" w:cs="Times New Roman"/>
          <w:sz w:val="24"/>
        </w:rPr>
        <w:t>A</w:t>
      </w:r>
      <w:r>
        <w:rPr>
          <w:rFonts w:ascii="Times New Roman" w:hAnsi="Times New Roman" w:cs="Times New Roman"/>
          <w:sz w:val="24"/>
        </w:rPr>
        <w:t xml:space="preserve">gents learn </w:t>
      </w:r>
      <w:r w:rsidR="00BB02C2">
        <w:rPr>
          <w:rFonts w:ascii="Times New Roman" w:hAnsi="Times New Roman" w:cs="Times New Roman"/>
          <w:sz w:val="24"/>
        </w:rPr>
        <w:t xml:space="preserve">about the effectiveness of their current solution in mitigating risks against the </w:t>
      </w:r>
      <w:r w:rsidR="00BD6081">
        <w:rPr>
          <w:rFonts w:ascii="Times New Roman" w:hAnsi="Times New Roman" w:cs="Times New Roman"/>
          <w:sz w:val="24"/>
        </w:rPr>
        <w:t>typically</w:t>
      </w:r>
      <w:r w:rsidR="00BB02C2">
        <w:rPr>
          <w:rFonts w:ascii="Times New Roman" w:hAnsi="Times New Roman" w:cs="Times New Roman"/>
          <w:sz w:val="24"/>
        </w:rPr>
        <w:t xml:space="preserve"> worst weather scenario and make adjustment when possible.</w:t>
      </w:r>
      <w:r w:rsidR="00F24DAB">
        <w:rPr>
          <w:rFonts w:ascii="Times New Roman" w:hAnsi="Times New Roman" w:cs="Times New Roman"/>
          <w:sz w:val="24"/>
        </w:rPr>
        <w:t xml:space="preserve"> </w:t>
      </w:r>
    </w:p>
    <w:p w14:paraId="2D7C329C" w14:textId="0C7E1EFA" w:rsidR="00F24DAB" w:rsidRPr="00F24DAB" w:rsidRDefault="00F24DAB" w:rsidP="00B62E32">
      <w:pPr>
        <w:rPr>
          <w:rFonts w:ascii="Times New Roman" w:hAnsi="Times New Roman" w:cs="Times New Roman"/>
          <w:b/>
          <w:sz w:val="24"/>
        </w:rPr>
      </w:pPr>
      <w:r w:rsidRPr="00F24DAB">
        <w:rPr>
          <w:rFonts w:ascii="Times New Roman" w:hAnsi="Times New Roman" w:cs="Times New Roman"/>
          <w:b/>
          <w:sz w:val="24"/>
        </w:rPr>
        <w:t>Interaction</w:t>
      </w:r>
    </w:p>
    <w:p w14:paraId="2499E7EF" w14:textId="06CCBD6F" w:rsidR="00254F52" w:rsidRDefault="00F24DAB" w:rsidP="00B62E32">
      <w:pPr>
        <w:rPr>
          <w:rFonts w:ascii="Times New Roman" w:hAnsi="Times New Roman" w:cs="Times New Roman"/>
          <w:sz w:val="24"/>
        </w:rPr>
      </w:pPr>
      <w:r>
        <w:rPr>
          <w:rFonts w:ascii="Times New Roman" w:hAnsi="Times New Roman" w:cs="Times New Roman"/>
          <w:sz w:val="24"/>
        </w:rPr>
        <w:t xml:space="preserve">In perceiving and adjusting their perception of risk, agents respond to the information about weather disasters experienced by their regional neighbors. They also respond to choices and solutions practiced by organizations they are connected to. </w:t>
      </w:r>
    </w:p>
    <w:p w14:paraId="778C1114" w14:textId="6A1F704A" w:rsidR="00F24DAB" w:rsidRPr="009372FA" w:rsidRDefault="00F24DAB" w:rsidP="00B62E32">
      <w:pPr>
        <w:rPr>
          <w:rFonts w:ascii="Times New Roman" w:hAnsi="Times New Roman" w:cs="Times New Roman"/>
          <w:b/>
          <w:sz w:val="24"/>
        </w:rPr>
      </w:pPr>
      <w:r w:rsidRPr="009372FA">
        <w:rPr>
          <w:rFonts w:ascii="Times New Roman" w:hAnsi="Times New Roman" w:cs="Times New Roman"/>
          <w:b/>
          <w:sz w:val="24"/>
        </w:rPr>
        <w:t xml:space="preserve">Stochasticity </w:t>
      </w:r>
    </w:p>
    <w:p w14:paraId="5323C656" w14:textId="4379D62C" w:rsidR="00F24DAB" w:rsidRDefault="00F24DAB" w:rsidP="00B62E32">
      <w:pPr>
        <w:rPr>
          <w:rFonts w:ascii="Times New Roman" w:hAnsi="Times New Roman" w:cs="Times New Roman"/>
          <w:sz w:val="24"/>
        </w:rPr>
      </w:pPr>
      <w:r>
        <w:rPr>
          <w:rFonts w:ascii="Times New Roman" w:hAnsi="Times New Roman" w:cs="Times New Roman"/>
          <w:sz w:val="24"/>
        </w:rPr>
        <w:t xml:space="preserve">There is stochasticity in the occurrence of extreme weather or weather disasters, the extent to which an organization can reduce the expected impact by enhancing their coping solutions or taking up adaptation solutions. The distribution of windows of opportunities also follows a stochastic process to reflect the uncertain and unpredictable emergency of opportunities in the empirical setting. </w:t>
      </w:r>
    </w:p>
    <w:p w14:paraId="341A2CD4" w14:textId="44D1C26D" w:rsidR="009372FA" w:rsidRPr="000955B3" w:rsidRDefault="000955B3" w:rsidP="00B62E32">
      <w:pPr>
        <w:rPr>
          <w:rFonts w:ascii="Times New Roman" w:hAnsi="Times New Roman" w:cs="Times New Roman"/>
          <w:b/>
          <w:sz w:val="24"/>
        </w:rPr>
      </w:pPr>
      <w:r w:rsidRPr="000955B3">
        <w:rPr>
          <w:rFonts w:ascii="Times New Roman" w:hAnsi="Times New Roman" w:cs="Times New Roman"/>
          <w:b/>
          <w:sz w:val="24"/>
        </w:rPr>
        <w:t>Collectivity</w:t>
      </w:r>
    </w:p>
    <w:p w14:paraId="5D3B5136" w14:textId="5498E75A" w:rsidR="001107A9" w:rsidRDefault="000955B3" w:rsidP="00B62E32">
      <w:pPr>
        <w:rPr>
          <w:rFonts w:ascii="Times New Roman" w:hAnsi="Times New Roman" w:cs="Times New Roman"/>
          <w:sz w:val="24"/>
        </w:rPr>
      </w:pPr>
      <w:r>
        <w:rPr>
          <w:rFonts w:ascii="Times New Roman" w:hAnsi="Times New Roman" w:cs="Times New Roman"/>
          <w:sz w:val="24"/>
        </w:rPr>
        <w:t xml:space="preserve">The FTA regional offices are related to each organization based on their geographical location. </w:t>
      </w:r>
      <w:r w:rsidR="0069485F">
        <w:rPr>
          <w:rFonts w:ascii="Times New Roman" w:hAnsi="Times New Roman" w:cs="Times New Roman"/>
          <w:sz w:val="24"/>
        </w:rPr>
        <w:t xml:space="preserve">The level of risk tolerance is also distributed based on the four Census regions. </w:t>
      </w:r>
    </w:p>
    <w:p w14:paraId="08F04D3A" w14:textId="2B30179D" w:rsidR="00BD6081" w:rsidRPr="00BD6081" w:rsidRDefault="00BD6081" w:rsidP="00B62E32">
      <w:pPr>
        <w:rPr>
          <w:rFonts w:ascii="Times New Roman" w:hAnsi="Times New Roman" w:cs="Times New Roman"/>
          <w:b/>
          <w:sz w:val="24"/>
        </w:rPr>
      </w:pPr>
      <w:r w:rsidRPr="00BD6081">
        <w:rPr>
          <w:rFonts w:ascii="Times New Roman" w:hAnsi="Times New Roman" w:cs="Times New Roman"/>
          <w:b/>
          <w:sz w:val="24"/>
        </w:rPr>
        <w:t>Observation</w:t>
      </w:r>
    </w:p>
    <w:p w14:paraId="11540205" w14:textId="31E759C8" w:rsidR="001107A9" w:rsidRDefault="00BD6081" w:rsidP="00B62E32">
      <w:pPr>
        <w:rPr>
          <w:rFonts w:ascii="Times New Roman" w:hAnsi="Times New Roman" w:cs="Times New Roman"/>
          <w:sz w:val="24"/>
        </w:rPr>
      </w:pPr>
      <w:r>
        <w:rPr>
          <w:rFonts w:ascii="Times New Roman" w:hAnsi="Times New Roman" w:cs="Times New Roman"/>
          <w:sz w:val="24"/>
        </w:rPr>
        <w:t>The number of agencies taking up adaptation measures against weather impact is the ultimate outcome of this model. The model aims to understand the micro-level mechanisms leading to pattern of organizational adaptation to extreme weather.</w:t>
      </w:r>
    </w:p>
    <w:p w14:paraId="44EFC4D5" w14:textId="77777777" w:rsidR="001107A9" w:rsidRDefault="001107A9" w:rsidP="00B62E32">
      <w:pPr>
        <w:rPr>
          <w:rFonts w:ascii="Times New Roman" w:hAnsi="Times New Roman" w:cs="Times New Roman"/>
          <w:sz w:val="24"/>
        </w:rPr>
      </w:pPr>
    </w:p>
    <w:p w14:paraId="230D286F" w14:textId="4AD4F195" w:rsidR="001107A9" w:rsidRDefault="001107A9" w:rsidP="00B62E32">
      <w:pPr>
        <w:rPr>
          <w:rFonts w:ascii="Times New Roman" w:hAnsi="Times New Roman" w:cs="Times New Roman"/>
          <w:sz w:val="24"/>
        </w:rPr>
      </w:pPr>
    </w:p>
    <w:p w14:paraId="6644B100" w14:textId="77777777" w:rsidR="001107A9" w:rsidRPr="005E4439" w:rsidRDefault="001107A9" w:rsidP="00B62E32">
      <w:pPr>
        <w:rPr>
          <w:rFonts w:ascii="Times New Roman" w:hAnsi="Times New Roman" w:cs="Times New Roman"/>
          <w:sz w:val="24"/>
        </w:rPr>
      </w:pPr>
    </w:p>
    <w:p w14:paraId="22C05EEE" w14:textId="218E9820" w:rsidR="004212E0" w:rsidRPr="00413F8B" w:rsidRDefault="004212E0" w:rsidP="006F7324">
      <w:pPr>
        <w:pStyle w:val="ListParagraph"/>
        <w:rPr>
          <w:rFonts w:ascii="Times New Roman" w:hAnsi="Times New Roman" w:cs="Times New Roman"/>
          <w:sz w:val="24"/>
        </w:rPr>
      </w:pPr>
    </w:p>
    <w:p w14:paraId="1EEC58B1" w14:textId="36EFE72E" w:rsidR="004212E0" w:rsidRPr="004212E0" w:rsidRDefault="004212E0" w:rsidP="004212E0">
      <w:pPr>
        <w:pStyle w:val="ListParagraph"/>
        <w:rPr>
          <w:rFonts w:ascii="Times New Roman" w:hAnsi="Times New Roman" w:cs="Times New Roman"/>
          <w:sz w:val="24"/>
        </w:rPr>
      </w:pPr>
    </w:p>
    <w:p w14:paraId="39D65508" w14:textId="77777777" w:rsidR="004212E0" w:rsidRDefault="004212E0" w:rsidP="00266F71">
      <w:pPr>
        <w:rPr>
          <w:rFonts w:ascii="Times New Roman" w:hAnsi="Times New Roman" w:cs="Times New Roman"/>
          <w:sz w:val="24"/>
        </w:rPr>
      </w:pPr>
    </w:p>
    <w:p w14:paraId="6CE57FB9" w14:textId="77777777" w:rsidR="00EB053A" w:rsidRDefault="00EB053A">
      <w:pPr>
        <w:rPr>
          <w:rFonts w:ascii="Times New Roman" w:hAnsi="Times New Roman" w:cs="Times New Roman"/>
          <w:b/>
          <w:sz w:val="28"/>
          <w:szCs w:val="24"/>
        </w:rPr>
      </w:pPr>
      <w:r>
        <w:rPr>
          <w:rFonts w:ascii="Times New Roman" w:hAnsi="Times New Roman" w:cs="Times New Roman"/>
          <w:b/>
          <w:sz w:val="28"/>
          <w:szCs w:val="24"/>
        </w:rPr>
        <w:br w:type="page"/>
      </w:r>
    </w:p>
    <w:p w14:paraId="3F12458C" w14:textId="13F303CD" w:rsidR="00F24D2F" w:rsidRDefault="00F24D2F" w:rsidP="00F24D2F">
      <w:pPr>
        <w:pStyle w:val="Bibliography"/>
        <w:rPr>
          <w:rFonts w:ascii="Times New Roman" w:hAnsi="Times New Roman" w:cs="Times New Roman"/>
          <w:b/>
          <w:sz w:val="28"/>
          <w:szCs w:val="24"/>
        </w:rPr>
      </w:pPr>
      <w:r>
        <w:rPr>
          <w:rFonts w:ascii="Times New Roman" w:hAnsi="Times New Roman" w:cs="Times New Roman"/>
          <w:b/>
          <w:sz w:val="28"/>
          <w:szCs w:val="24"/>
        </w:rPr>
        <w:lastRenderedPageBreak/>
        <w:t>References</w:t>
      </w:r>
    </w:p>
    <w:p w14:paraId="440C0CCA" w14:textId="77777777" w:rsidR="00F24D2F" w:rsidRPr="00F24D2F" w:rsidRDefault="00F24D2F" w:rsidP="00F24D2F"/>
    <w:p w14:paraId="1A675056" w14:textId="77777777" w:rsidR="007E61A3" w:rsidRPr="007E61A3" w:rsidRDefault="00F24D2F" w:rsidP="007E61A3">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7E61A3" w:rsidRPr="007E61A3">
        <w:rPr>
          <w:rFonts w:ascii="Times New Roman" w:hAnsi="Times New Roman" w:cs="Times New Roman"/>
          <w:sz w:val="24"/>
        </w:rPr>
        <w:t xml:space="preserve">Boustan, L. P., Kahn, M. E., Rhode, P. W., &amp; Yanguas, M. L. (2017). </w:t>
      </w:r>
      <w:r w:rsidR="007E61A3" w:rsidRPr="007E61A3">
        <w:rPr>
          <w:rFonts w:ascii="Times New Roman" w:hAnsi="Times New Roman" w:cs="Times New Roman"/>
          <w:i/>
          <w:iCs/>
          <w:sz w:val="24"/>
        </w:rPr>
        <w:t>The effect of natural disasters on economic activity in us counties: A century of data</w:t>
      </w:r>
      <w:r w:rsidR="007E61A3" w:rsidRPr="007E61A3">
        <w:rPr>
          <w:rFonts w:ascii="Times New Roman" w:hAnsi="Times New Roman" w:cs="Times New Roman"/>
          <w:sz w:val="24"/>
        </w:rPr>
        <w:t>. National Bureau of Economic Research.</w:t>
      </w:r>
    </w:p>
    <w:p w14:paraId="0881B7E1" w14:textId="77777777" w:rsidR="007E61A3" w:rsidRPr="007E61A3" w:rsidRDefault="007E61A3" w:rsidP="007E61A3">
      <w:pPr>
        <w:pStyle w:val="Bibliography"/>
        <w:rPr>
          <w:rFonts w:ascii="Times New Roman" w:hAnsi="Times New Roman" w:cs="Times New Roman"/>
          <w:sz w:val="24"/>
        </w:rPr>
      </w:pPr>
      <w:r w:rsidRPr="007E61A3">
        <w:rPr>
          <w:rFonts w:ascii="Times New Roman" w:hAnsi="Times New Roman" w:cs="Times New Roman"/>
          <w:sz w:val="24"/>
        </w:rPr>
        <w:t xml:space="preserve">Camerer, C. F., &amp; Kunreuther, H. (1989). Decision Processes for Low Probability Events: Policy Implications. </w:t>
      </w:r>
      <w:r w:rsidRPr="007E61A3">
        <w:rPr>
          <w:rFonts w:ascii="Times New Roman" w:hAnsi="Times New Roman" w:cs="Times New Roman"/>
          <w:i/>
          <w:iCs/>
          <w:sz w:val="24"/>
        </w:rPr>
        <w:t>Journal of Policy Analysis and Management</w:t>
      </w:r>
      <w:r w:rsidRPr="007E61A3">
        <w:rPr>
          <w:rFonts w:ascii="Times New Roman" w:hAnsi="Times New Roman" w:cs="Times New Roman"/>
          <w:sz w:val="24"/>
        </w:rPr>
        <w:t xml:space="preserve">, </w:t>
      </w:r>
      <w:r w:rsidRPr="007E61A3">
        <w:rPr>
          <w:rFonts w:ascii="Times New Roman" w:hAnsi="Times New Roman" w:cs="Times New Roman"/>
          <w:i/>
          <w:iCs/>
          <w:sz w:val="24"/>
        </w:rPr>
        <w:t>8</w:t>
      </w:r>
      <w:r w:rsidRPr="007E61A3">
        <w:rPr>
          <w:rFonts w:ascii="Times New Roman" w:hAnsi="Times New Roman" w:cs="Times New Roman"/>
          <w:sz w:val="24"/>
        </w:rPr>
        <w:t>(4), 565.</w:t>
      </w:r>
    </w:p>
    <w:p w14:paraId="7377F4E6" w14:textId="77777777" w:rsidR="007E61A3" w:rsidRPr="007E61A3" w:rsidRDefault="007E61A3" w:rsidP="007E61A3">
      <w:pPr>
        <w:pStyle w:val="Bibliography"/>
        <w:rPr>
          <w:rFonts w:ascii="Times New Roman" w:hAnsi="Times New Roman" w:cs="Times New Roman"/>
          <w:sz w:val="24"/>
        </w:rPr>
      </w:pPr>
      <w:r w:rsidRPr="007E61A3">
        <w:rPr>
          <w:rFonts w:ascii="Times New Roman" w:hAnsi="Times New Roman" w:cs="Times New Roman"/>
          <w:sz w:val="24"/>
        </w:rPr>
        <w:t xml:space="preserve">Cyert, R. M., &amp; March, J. G. (1963). </w:t>
      </w:r>
      <w:r w:rsidRPr="007E61A3">
        <w:rPr>
          <w:rFonts w:ascii="Times New Roman" w:hAnsi="Times New Roman" w:cs="Times New Roman"/>
          <w:i/>
          <w:iCs/>
          <w:sz w:val="24"/>
        </w:rPr>
        <w:t>A behavioral theory of the firm</w:t>
      </w:r>
      <w:r w:rsidRPr="007E61A3">
        <w:rPr>
          <w:rFonts w:ascii="Times New Roman" w:hAnsi="Times New Roman" w:cs="Times New Roman"/>
          <w:sz w:val="24"/>
        </w:rPr>
        <w:t>. Englewood Cliff, NJ: Prentice Hall.</w:t>
      </w:r>
    </w:p>
    <w:p w14:paraId="5BFB044E" w14:textId="77777777" w:rsidR="007E61A3" w:rsidRPr="007E61A3" w:rsidRDefault="007E61A3" w:rsidP="007E61A3">
      <w:pPr>
        <w:pStyle w:val="Bibliography"/>
        <w:rPr>
          <w:rFonts w:ascii="Times New Roman" w:hAnsi="Times New Roman" w:cs="Times New Roman"/>
          <w:sz w:val="24"/>
        </w:rPr>
      </w:pPr>
      <w:r w:rsidRPr="007E61A3">
        <w:rPr>
          <w:rFonts w:ascii="Times New Roman" w:hAnsi="Times New Roman" w:cs="Times New Roman"/>
          <w:sz w:val="24"/>
        </w:rPr>
        <w:t xml:space="preserve">Haasnoot, M., Schellekens, J., Beersma, J. J., Middelkoop, H., &amp; Kwadijk, J. C. J. (2015). Transient scenarios for robust climate change adaptation illustrated for water management in The Netherlands. </w:t>
      </w:r>
      <w:r w:rsidRPr="007E61A3">
        <w:rPr>
          <w:rFonts w:ascii="Times New Roman" w:hAnsi="Times New Roman" w:cs="Times New Roman"/>
          <w:i/>
          <w:iCs/>
          <w:sz w:val="24"/>
        </w:rPr>
        <w:t>Environmental Research Letters</w:t>
      </w:r>
      <w:r w:rsidRPr="007E61A3">
        <w:rPr>
          <w:rFonts w:ascii="Times New Roman" w:hAnsi="Times New Roman" w:cs="Times New Roman"/>
          <w:sz w:val="24"/>
        </w:rPr>
        <w:t xml:space="preserve">, </w:t>
      </w:r>
      <w:r w:rsidRPr="007E61A3">
        <w:rPr>
          <w:rFonts w:ascii="Times New Roman" w:hAnsi="Times New Roman" w:cs="Times New Roman"/>
          <w:i/>
          <w:iCs/>
          <w:sz w:val="24"/>
        </w:rPr>
        <w:t>10</w:t>
      </w:r>
      <w:r w:rsidRPr="007E61A3">
        <w:rPr>
          <w:rFonts w:ascii="Times New Roman" w:hAnsi="Times New Roman" w:cs="Times New Roman"/>
          <w:sz w:val="24"/>
        </w:rPr>
        <w:t>(10), 105008.</w:t>
      </w:r>
    </w:p>
    <w:p w14:paraId="47E0FBC7" w14:textId="77777777" w:rsidR="007E61A3" w:rsidRPr="007E61A3" w:rsidRDefault="007E61A3" w:rsidP="007E61A3">
      <w:pPr>
        <w:pStyle w:val="Bibliography"/>
        <w:rPr>
          <w:rFonts w:ascii="Times New Roman" w:hAnsi="Times New Roman" w:cs="Times New Roman"/>
          <w:sz w:val="24"/>
        </w:rPr>
      </w:pPr>
      <w:r w:rsidRPr="007E61A3">
        <w:rPr>
          <w:rFonts w:ascii="Times New Roman" w:hAnsi="Times New Roman" w:cs="Times New Roman"/>
          <w:sz w:val="24"/>
        </w:rPr>
        <w:t xml:space="preserve">Kasperson, R. E., &amp; Kasperson, J. X. (1996). The Social Amplification and Attenuation of Risk. </w:t>
      </w:r>
      <w:r w:rsidRPr="007E61A3">
        <w:rPr>
          <w:rFonts w:ascii="Times New Roman" w:hAnsi="Times New Roman" w:cs="Times New Roman"/>
          <w:i/>
          <w:iCs/>
          <w:sz w:val="24"/>
        </w:rPr>
        <w:t>The Annals of the American Academy of Political and Social Science</w:t>
      </w:r>
      <w:r w:rsidRPr="007E61A3">
        <w:rPr>
          <w:rFonts w:ascii="Times New Roman" w:hAnsi="Times New Roman" w:cs="Times New Roman"/>
          <w:sz w:val="24"/>
        </w:rPr>
        <w:t xml:space="preserve">, </w:t>
      </w:r>
      <w:r w:rsidRPr="007E61A3">
        <w:rPr>
          <w:rFonts w:ascii="Times New Roman" w:hAnsi="Times New Roman" w:cs="Times New Roman"/>
          <w:i/>
          <w:iCs/>
          <w:sz w:val="24"/>
        </w:rPr>
        <w:t>545</w:t>
      </w:r>
      <w:r w:rsidRPr="007E61A3">
        <w:rPr>
          <w:rFonts w:ascii="Times New Roman" w:hAnsi="Times New Roman" w:cs="Times New Roman"/>
          <w:sz w:val="24"/>
        </w:rPr>
        <w:t>, 95–105.</w:t>
      </w:r>
    </w:p>
    <w:p w14:paraId="1D27DA29" w14:textId="77777777" w:rsidR="007E61A3" w:rsidRPr="007E61A3" w:rsidRDefault="007E61A3" w:rsidP="007E61A3">
      <w:pPr>
        <w:pStyle w:val="Bibliography"/>
        <w:rPr>
          <w:rFonts w:ascii="Times New Roman" w:hAnsi="Times New Roman" w:cs="Times New Roman"/>
          <w:sz w:val="24"/>
        </w:rPr>
      </w:pPr>
      <w:r w:rsidRPr="007E61A3">
        <w:rPr>
          <w:rFonts w:ascii="Times New Roman" w:hAnsi="Times New Roman" w:cs="Times New Roman"/>
          <w:sz w:val="24"/>
        </w:rPr>
        <w:t xml:space="preserve">Patt, A., &amp; Siebenhüner, B. (2005). Agent Based Modeling and Adaption to Climate Change. </w:t>
      </w:r>
      <w:proofErr w:type="spellStart"/>
      <w:r w:rsidRPr="007E61A3">
        <w:rPr>
          <w:rFonts w:ascii="Times New Roman" w:hAnsi="Times New Roman" w:cs="Times New Roman"/>
          <w:i/>
          <w:iCs/>
          <w:sz w:val="24"/>
        </w:rPr>
        <w:t>Vierteljahrshefte</w:t>
      </w:r>
      <w:proofErr w:type="spellEnd"/>
      <w:r w:rsidRPr="007E61A3">
        <w:rPr>
          <w:rFonts w:ascii="Times New Roman" w:hAnsi="Times New Roman" w:cs="Times New Roman"/>
          <w:i/>
          <w:iCs/>
          <w:sz w:val="24"/>
        </w:rPr>
        <w:t xml:space="preserve"> </w:t>
      </w:r>
      <w:proofErr w:type="spellStart"/>
      <w:r w:rsidRPr="007E61A3">
        <w:rPr>
          <w:rFonts w:ascii="Times New Roman" w:hAnsi="Times New Roman" w:cs="Times New Roman"/>
          <w:i/>
          <w:iCs/>
          <w:sz w:val="24"/>
        </w:rPr>
        <w:t>Zur</w:t>
      </w:r>
      <w:proofErr w:type="spellEnd"/>
      <w:r w:rsidRPr="007E61A3">
        <w:rPr>
          <w:rFonts w:ascii="Times New Roman" w:hAnsi="Times New Roman" w:cs="Times New Roman"/>
          <w:i/>
          <w:iCs/>
          <w:sz w:val="24"/>
        </w:rPr>
        <w:t xml:space="preserve"> </w:t>
      </w:r>
      <w:proofErr w:type="spellStart"/>
      <w:r w:rsidRPr="007E61A3">
        <w:rPr>
          <w:rFonts w:ascii="Times New Roman" w:hAnsi="Times New Roman" w:cs="Times New Roman"/>
          <w:i/>
          <w:iCs/>
          <w:sz w:val="24"/>
        </w:rPr>
        <w:t>Wirtschaftsforschung</w:t>
      </w:r>
      <w:proofErr w:type="spellEnd"/>
      <w:r w:rsidRPr="007E61A3">
        <w:rPr>
          <w:rFonts w:ascii="Times New Roman" w:hAnsi="Times New Roman" w:cs="Times New Roman"/>
          <w:sz w:val="24"/>
        </w:rPr>
        <w:t xml:space="preserve">, </w:t>
      </w:r>
      <w:r w:rsidRPr="007E61A3">
        <w:rPr>
          <w:rFonts w:ascii="Times New Roman" w:hAnsi="Times New Roman" w:cs="Times New Roman"/>
          <w:i/>
          <w:iCs/>
          <w:sz w:val="24"/>
        </w:rPr>
        <w:t>74</w:t>
      </w:r>
      <w:r w:rsidRPr="007E61A3">
        <w:rPr>
          <w:rFonts w:ascii="Times New Roman" w:hAnsi="Times New Roman" w:cs="Times New Roman"/>
          <w:sz w:val="24"/>
        </w:rPr>
        <w:t>(2), 310–320.</w:t>
      </w:r>
    </w:p>
    <w:p w14:paraId="1CE91AB5" w14:textId="77777777" w:rsidR="007E61A3" w:rsidRPr="007E61A3" w:rsidRDefault="007E61A3" w:rsidP="007E61A3">
      <w:pPr>
        <w:pStyle w:val="Bibliography"/>
        <w:rPr>
          <w:rFonts w:ascii="Times New Roman" w:hAnsi="Times New Roman" w:cs="Times New Roman"/>
          <w:sz w:val="24"/>
        </w:rPr>
      </w:pPr>
      <w:r w:rsidRPr="007E61A3">
        <w:rPr>
          <w:rFonts w:ascii="Times New Roman" w:hAnsi="Times New Roman" w:cs="Times New Roman"/>
          <w:sz w:val="24"/>
        </w:rPr>
        <w:t xml:space="preserve">Railsback, S. F., &amp; Grimm, V. (2011). </w:t>
      </w:r>
      <w:r w:rsidRPr="007E61A3">
        <w:rPr>
          <w:rFonts w:ascii="Times New Roman" w:hAnsi="Times New Roman" w:cs="Times New Roman"/>
          <w:i/>
          <w:iCs/>
          <w:sz w:val="24"/>
        </w:rPr>
        <w:t>Agent-based and individual-based modeling: a practical introduction</w:t>
      </w:r>
      <w:r w:rsidRPr="007E61A3">
        <w:rPr>
          <w:rFonts w:ascii="Times New Roman" w:hAnsi="Times New Roman" w:cs="Times New Roman"/>
          <w:sz w:val="24"/>
        </w:rPr>
        <w:t>. Princeton university press.</w:t>
      </w:r>
    </w:p>
    <w:p w14:paraId="35B253FE" w14:textId="77777777" w:rsidR="007E61A3" w:rsidRPr="007E61A3" w:rsidRDefault="007E61A3" w:rsidP="007E61A3">
      <w:pPr>
        <w:pStyle w:val="Bibliography"/>
        <w:rPr>
          <w:rFonts w:ascii="Times New Roman" w:hAnsi="Times New Roman" w:cs="Times New Roman"/>
          <w:sz w:val="24"/>
        </w:rPr>
      </w:pPr>
      <w:r w:rsidRPr="007E61A3">
        <w:rPr>
          <w:rFonts w:ascii="Times New Roman" w:hAnsi="Times New Roman" w:cs="Times New Roman"/>
          <w:sz w:val="24"/>
        </w:rPr>
        <w:t xml:space="preserve">Schmidtlein, M. C., Finch, C., &amp; Cutter, S. L. (2008). Disaster Declarations and Major Hazard Occurrences in the United States. </w:t>
      </w:r>
      <w:r w:rsidRPr="007E61A3">
        <w:rPr>
          <w:rFonts w:ascii="Times New Roman" w:hAnsi="Times New Roman" w:cs="Times New Roman"/>
          <w:i/>
          <w:iCs/>
          <w:sz w:val="24"/>
        </w:rPr>
        <w:t>The Professional Geographer</w:t>
      </w:r>
      <w:r w:rsidRPr="007E61A3">
        <w:rPr>
          <w:rFonts w:ascii="Times New Roman" w:hAnsi="Times New Roman" w:cs="Times New Roman"/>
          <w:sz w:val="24"/>
        </w:rPr>
        <w:t xml:space="preserve">, </w:t>
      </w:r>
      <w:r w:rsidRPr="007E61A3">
        <w:rPr>
          <w:rFonts w:ascii="Times New Roman" w:hAnsi="Times New Roman" w:cs="Times New Roman"/>
          <w:i/>
          <w:iCs/>
          <w:sz w:val="24"/>
        </w:rPr>
        <w:t>60</w:t>
      </w:r>
      <w:r w:rsidRPr="007E61A3">
        <w:rPr>
          <w:rFonts w:ascii="Times New Roman" w:hAnsi="Times New Roman" w:cs="Times New Roman"/>
          <w:sz w:val="24"/>
        </w:rPr>
        <w:t>(1), 1–14.</w:t>
      </w:r>
    </w:p>
    <w:p w14:paraId="154D00A2" w14:textId="77777777" w:rsidR="007E61A3" w:rsidRPr="007E61A3" w:rsidRDefault="007E61A3" w:rsidP="007E61A3">
      <w:pPr>
        <w:pStyle w:val="Bibliography"/>
        <w:rPr>
          <w:rFonts w:ascii="Times New Roman" w:hAnsi="Times New Roman" w:cs="Times New Roman"/>
          <w:sz w:val="24"/>
        </w:rPr>
      </w:pPr>
      <w:r w:rsidRPr="007E61A3">
        <w:rPr>
          <w:rFonts w:ascii="Times New Roman" w:hAnsi="Times New Roman" w:cs="Times New Roman"/>
          <w:sz w:val="24"/>
        </w:rPr>
        <w:t>Smith, A. B. (2017). 2016: A historic year for billion-dollar weather and climate disasters in U.S. | NOAA Climate.gov. Retrieved October 23, 2017, from https://www.climate.gov/news-features/blogs/beyond-data/2016-historic-year-billion-dollar-weather-and-climate-disasters-us</w:t>
      </w:r>
    </w:p>
    <w:p w14:paraId="461DF3A9" w14:textId="77777777" w:rsidR="007E61A3" w:rsidRPr="007E61A3" w:rsidRDefault="007E61A3" w:rsidP="007E61A3">
      <w:pPr>
        <w:pStyle w:val="Bibliography"/>
        <w:rPr>
          <w:rFonts w:ascii="Times New Roman" w:hAnsi="Times New Roman" w:cs="Times New Roman"/>
          <w:sz w:val="24"/>
        </w:rPr>
      </w:pPr>
      <w:r w:rsidRPr="007E61A3">
        <w:rPr>
          <w:rFonts w:ascii="Times New Roman" w:hAnsi="Times New Roman" w:cs="Times New Roman"/>
          <w:sz w:val="24"/>
        </w:rPr>
        <w:t>Smith, M., &amp; Schwartz, J. (2019). In Flood-Hit Midwest, Mayors See Climate Change as a Subject Best Avoided - The New York Times. Retrieved May 31, 2019, from https://www.nytimes.com/2019/05/15/us/midwest-flooding-climate-change.html</w:t>
      </w:r>
    </w:p>
    <w:p w14:paraId="061965B4" w14:textId="77777777" w:rsidR="007E61A3" w:rsidRPr="007E61A3" w:rsidRDefault="007E61A3" w:rsidP="007E61A3">
      <w:pPr>
        <w:pStyle w:val="Bibliography"/>
        <w:rPr>
          <w:rFonts w:ascii="Times New Roman" w:hAnsi="Times New Roman" w:cs="Times New Roman"/>
          <w:sz w:val="24"/>
        </w:rPr>
      </w:pPr>
      <w:r w:rsidRPr="007E61A3">
        <w:rPr>
          <w:rFonts w:ascii="Times New Roman" w:hAnsi="Times New Roman" w:cs="Times New Roman"/>
          <w:sz w:val="24"/>
        </w:rPr>
        <w:t xml:space="preserve">Tversky, A., &amp; Kahneman, D. (1973). Availability: A heuristic for judging frequency and probability. </w:t>
      </w:r>
      <w:r w:rsidRPr="007E61A3">
        <w:rPr>
          <w:rFonts w:ascii="Times New Roman" w:hAnsi="Times New Roman" w:cs="Times New Roman"/>
          <w:i/>
          <w:iCs/>
          <w:sz w:val="24"/>
        </w:rPr>
        <w:t>Cognitive Psychology</w:t>
      </w:r>
      <w:r w:rsidRPr="007E61A3">
        <w:rPr>
          <w:rFonts w:ascii="Times New Roman" w:hAnsi="Times New Roman" w:cs="Times New Roman"/>
          <w:sz w:val="24"/>
        </w:rPr>
        <w:t xml:space="preserve">, </w:t>
      </w:r>
      <w:r w:rsidRPr="007E61A3">
        <w:rPr>
          <w:rFonts w:ascii="Times New Roman" w:hAnsi="Times New Roman" w:cs="Times New Roman"/>
          <w:i/>
          <w:iCs/>
          <w:sz w:val="24"/>
        </w:rPr>
        <w:t>5</w:t>
      </w:r>
      <w:r w:rsidRPr="007E61A3">
        <w:rPr>
          <w:rFonts w:ascii="Times New Roman" w:hAnsi="Times New Roman" w:cs="Times New Roman"/>
          <w:sz w:val="24"/>
        </w:rPr>
        <w:t>(2), 207–232.</w:t>
      </w:r>
    </w:p>
    <w:p w14:paraId="175F4C90" w14:textId="77777777" w:rsidR="007E61A3" w:rsidRPr="007E61A3" w:rsidRDefault="007E61A3" w:rsidP="007E61A3">
      <w:pPr>
        <w:pStyle w:val="Bibliography"/>
        <w:rPr>
          <w:rFonts w:ascii="Times New Roman" w:hAnsi="Times New Roman" w:cs="Times New Roman"/>
          <w:sz w:val="24"/>
        </w:rPr>
      </w:pPr>
      <w:r w:rsidRPr="007E61A3">
        <w:rPr>
          <w:rFonts w:ascii="Times New Roman" w:hAnsi="Times New Roman" w:cs="Times New Roman"/>
          <w:sz w:val="24"/>
        </w:rPr>
        <w:t xml:space="preserve">Yohe, G., &amp; Tol, R. S. J. (2002). Indicators for social and economic coping capacity—moving toward a working definition of adaptive capacity. </w:t>
      </w:r>
      <w:r w:rsidRPr="007E61A3">
        <w:rPr>
          <w:rFonts w:ascii="Times New Roman" w:hAnsi="Times New Roman" w:cs="Times New Roman"/>
          <w:i/>
          <w:iCs/>
          <w:sz w:val="24"/>
        </w:rPr>
        <w:t>Global Environmental Change</w:t>
      </w:r>
      <w:r w:rsidRPr="007E61A3">
        <w:rPr>
          <w:rFonts w:ascii="Times New Roman" w:hAnsi="Times New Roman" w:cs="Times New Roman"/>
          <w:sz w:val="24"/>
        </w:rPr>
        <w:t xml:space="preserve">, </w:t>
      </w:r>
      <w:r w:rsidRPr="007E61A3">
        <w:rPr>
          <w:rFonts w:ascii="Times New Roman" w:hAnsi="Times New Roman" w:cs="Times New Roman"/>
          <w:i/>
          <w:iCs/>
          <w:sz w:val="24"/>
        </w:rPr>
        <w:t>12</w:t>
      </w:r>
      <w:r w:rsidRPr="007E61A3">
        <w:rPr>
          <w:rFonts w:ascii="Times New Roman" w:hAnsi="Times New Roman" w:cs="Times New Roman"/>
          <w:sz w:val="24"/>
        </w:rPr>
        <w:t>(1), 25–40.</w:t>
      </w:r>
    </w:p>
    <w:p w14:paraId="41CAC63C" w14:textId="751A996F" w:rsidR="007E2226" w:rsidRDefault="00F24D2F" w:rsidP="00266F71">
      <w:pPr>
        <w:rPr>
          <w:rFonts w:ascii="Times New Roman" w:hAnsi="Times New Roman" w:cs="Times New Roman"/>
          <w:sz w:val="24"/>
        </w:rPr>
      </w:pPr>
      <w:r>
        <w:rPr>
          <w:rFonts w:ascii="Times New Roman" w:hAnsi="Times New Roman" w:cs="Times New Roman"/>
          <w:sz w:val="24"/>
        </w:rPr>
        <w:fldChar w:fldCharType="end"/>
      </w:r>
    </w:p>
    <w:p w14:paraId="021744B3" w14:textId="77777777" w:rsidR="007E2226" w:rsidRDefault="007E2226" w:rsidP="00266F71">
      <w:pPr>
        <w:rPr>
          <w:rFonts w:ascii="Times New Roman" w:hAnsi="Times New Roman" w:cs="Times New Roman"/>
          <w:sz w:val="24"/>
        </w:rPr>
      </w:pPr>
    </w:p>
    <w:p w14:paraId="28296444" w14:textId="77777777" w:rsidR="008D4774" w:rsidRPr="008D4774" w:rsidRDefault="008D4774" w:rsidP="00266F71">
      <w:pPr>
        <w:rPr>
          <w:rFonts w:ascii="Times New Roman" w:hAnsi="Times New Roman" w:cs="Times New Roman"/>
          <w:sz w:val="24"/>
        </w:rPr>
      </w:pPr>
    </w:p>
    <w:p w14:paraId="6FD1D4CA" w14:textId="5FDD2EFC" w:rsidR="004F6DA0" w:rsidRDefault="004F6DA0" w:rsidP="00F74473">
      <w:pPr>
        <w:rPr>
          <w:rFonts w:ascii="Times New Roman" w:hAnsi="Times New Roman" w:cs="Times New Roman"/>
          <w:sz w:val="24"/>
        </w:rPr>
      </w:pPr>
    </w:p>
    <w:p w14:paraId="626FD235" w14:textId="77777777" w:rsidR="003779D3" w:rsidRPr="004D6A77" w:rsidRDefault="003779D3">
      <w:pPr>
        <w:rPr>
          <w:rFonts w:ascii="Times New Roman" w:hAnsi="Times New Roman" w:cs="Times New Roman"/>
          <w:sz w:val="24"/>
        </w:rPr>
      </w:pPr>
    </w:p>
    <w:sectPr w:rsidR="003779D3" w:rsidRPr="004D6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1846"/>
    <w:multiLevelType w:val="hybridMultilevel"/>
    <w:tmpl w:val="85AA734C"/>
    <w:lvl w:ilvl="0" w:tplc="C82007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D82DD2"/>
    <w:multiLevelType w:val="hybridMultilevel"/>
    <w:tmpl w:val="2F3A38FA"/>
    <w:lvl w:ilvl="0" w:tplc="46102D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054E29"/>
    <w:multiLevelType w:val="hybridMultilevel"/>
    <w:tmpl w:val="5F4EB49E"/>
    <w:lvl w:ilvl="0" w:tplc="8CC4E7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CD0A30"/>
    <w:multiLevelType w:val="multilevel"/>
    <w:tmpl w:val="F4E8E7F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23F4B05"/>
    <w:multiLevelType w:val="multilevel"/>
    <w:tmpl w:val="A516F04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FD1707"/>
    <w:multiLevelType w:val="multilevel"/>
    <w:tmpl w:val="5E60FDC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FE6C8C"/>
    <w:multiLevelType w:val="hybridMultilevel"/>
    <w:tmpl w:val="937A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F3021"/>
    <w:multiLevelType w:val="multilevel"/>
    <w:tmpl w:val="48DA42D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F10A46"/>
    <w:multiLevelType w:val="hybridMultilevel"/>
    <w:tmpl w:val="EDE2764C"/>
    <w:lvl w:ilvl="0" w:tplc="AEEE89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167927"/>
    <w:multiLevelType w:val="hybridMultilevel"/>
    <w:tmpl w:val="A966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B2E88"/>
    <w:multiLevelType w:val="multilevel"/>
    <w:tmpl w:val="BB82F28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69B5E28"/>
    <w:multiLevelType w:val="hybridMultilevel"/>
    <w:tmpl w:val="76D08B7E"/>
    <w:lvl w:ilvl="0" w:tplc="0ABC49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E756C"/>
    <w:multiLevelType w:val="hybridMultilevel"/>
    <w:tmpl w:val="DD7C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0"/>
  </w:num>
  <w:num w:numId="5">
    <w:abstractNumId w:val="11"/>
  </w:num>
  <w:num w:numId="6">
    <w:abstractNumId w:val="1"/>
  </w:num>
  <w:num w:numId="7">
    <w:abstractNumId w:val="2"/>
  </w:num>
  <w:num w:numId="8">
    <w:abstractNumId w:val="8"/>
  </w:num>
  <w:num w:numId="9">
    <w:abstractNumId w:val="7"/>
  </w:num>
  <w:num w:numId="10">
    <w:abstractNumId w:val="3"/>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77"/>
    <w:rsid w:val="00011548"/>
    <w:rsid w:val="00013C1F"/>
    <w:rsid w:val="000519E0"/>
    <w:rsid w:val="0007537C"/>
    <w:rsid w:val="00082D4D"/>
    <w:rsid w:val="000955B3"/>
    <w:rsid w:val="000D7B1D"/>
    <w:rsid w:val="000E4E67"/>
    <w:rsid w:val="001107A9"/>
    <w:rsid w:val="00117E7A"/>
    <w:rsid w:val="001629DD"/>
    <w:rsid w:val="0017634E"/>
    <w:rsid w:val="00181784"/>
    <w:rsid w:val="001824C7"/>
    <w:rsid w:val="00192E80"/>
    <w:rsid w:val="001B77BE"/>
    <w:rsid w:val="001C7363"/>
    <w:rsid w:val="001E3EC1"/>
    <w:rsid w:val="002124C9"/>
    <w:rsid w:val="00254F52"/>
    <w:rsid w:val="00266F71"/>
    <w:rsid w:val="00276832"/>
    <w:rsid w:val="002A64FE"/>
    <w:rsid w:val="002B11B9"/>
    <w:rsid w:val="002C317E"/>
    <w:rsid w:val="002C59D2"/>
    <w:rsid w:val="0031153F"/>
    <w:rsid w:val="003613BB"/>
    <w:rsid w:val="00363A6E"/>
    <w:rsid w:val="003779D3"/>
    <w:rsid w:val="00396FDA"/>
    <w:rsid w:val="00413F8B"/>
    <w:rsid w:val="004212E0"/>
    <w:rsid w:val="004245AD"/>
    <w:rsid w:val="004518E9"/>
    <w:rsid w:val="00460E46"/>
    <w:rsid w:val="00464A18"/>
    <w:rsid w:val="004975C1"/>
    <w:rsid w:val="004D6A77"/>
    <w:rsid w:val="004F6DA0"/>
    <w:rsid w:val="00503AFF"/>
    <w:rsid w:val="005103BB"/>
    <w:rsid w:val="0056098F"/>
    <w:rsid w:val="005A2C5B"/>
    <w:rsid w:val="005C5ED9"/>
    <w:rsid w:val="005E4439"/>
    <w:rsid w:val="00633EC0"/>
    <w:rsid w:val="0064542C"/>
    <w:rsid w:val="006466B1"/>
    <w:rsid w:val="00674FD6"/>
    <w:rsid w:val="0069485F"/>
    <w:rsid w:val="006A3F47"/>
    <w:rsid w:val="006C3C43"/>
    <w:rsid w:val="006E00ED"/>
    <w:rsid w:val="006F7324"/>
    <w:rsid w:val="00713260"/>
    <w:rsid w:val="00716A28"/>
    <w:rsid w:val="00784AD3"/>
    <w:rsid w:val="007E2226"/>
    <w:rsid w:val="007E61A3"/>
    <w:rsid w:val="0080363E"/>
    <w:rsid w:val="00877794"/>
    <w:rsid w:val="0089413B"/>
    <w:rsid w:val="008B3D94"/>
    <w:rsid w:val="008C4910"/>
    <w:rsid w:val="008D4774"/>
    <w:rsid w:val="008D74B2"/>
    <w:rsid w:val="008E1CEC"/>
    <w:rsid w:val="008E4A24"/>
    <w:rsid w:val="008E78B4"/>
    <w:rsid w:val="009372FA"/>
    <w:rsid w:val="00967AE3"/>
    <w:rsid w:val="00967CFE"/>
    <w:rsid w:val="00974FDE"/>
    <w:rsid w:val="0098685F"/>
    <w:rsid w:val="00994FEA"/>
    <w:rsid w:val="009D4084"/>
    <w:rsid w:val="009D5D6A"/>
    <w:rsid w:val="00A35EA0"/>
    <w:rsid w:val="00A651B8"/>
    <w:rsid w:val="00A70E50"/>
    <w:rsid w:val="00A85AF6"/>
    <w:rsid w:val="00AE661B"/>
    <w:rsid w:val="00AF00E7"/>
    <w:rsid w:val="00B3711A"/>
    <w:rsid w:val="00B435BF"/>
    <w:rsid w:val="00B55F4A"/>
    <w:rsid w:val="00B608D2"/>
    <w:rsid w:val="00B62E32"/>
    <w:rsid w:val="00BB02C2"/>
    <w:rsid w:val="00BC4AAB"/>
    <w:rsid w:val="00BD6081"/>
    <w:rsid w:val="00BE6163"/>
    <w:rsid w:val="00C31F22"/>
    <w:rsid w:val="00CA3BEE"/>
    <w:rsid w:val="00CF5FF7"/>
    <w:rsid w:val="00D02818"/>
    <w:rsid w:val="00D14D2C"/>
    <w:rsid w:val="00D67282"/>
    <w:rsid w:val="00D84C2C"/>
    <w:rsid w:val="00DB147D"/>
    <w:rsid w:val="00E67D67"/>
    <w:rsid w:val="00E85A2B"/>
    <w:rsid w:val="00E870C6"/>
    <w:rsid w:val="00EB053A"/>
    <w:rsid w:val="00EB46EF"/>
    <w:rsid w:val="00F01308"/>
    <w:rsid w:val="00F10AF9"/>
    <w:rsid w:val="00F24D2F"/>
    <w:rsid w:val="00F24DAB"/>
    <w:rsid w:val="00F27388"/>
    <w:rsid w:val="00F43EBE"/>
    <w:rsid w:val="00F74473"/>
    <w:rsid w:val="00F81BB3"/>
    <w:rsid w:val="00F878F2"/>
    <w:rsid w:val="00FA73CA"/>
    <w:rsid w:val="00FA7483"/>
    <w:rsid w:val="00FB0A95"/>
    <w:rsid w:val="00FC1E68"/>
    <w:rsid w:val="00FD6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FF4C"/>
  <w15:chartTrackingRefBased/>
  <w15:docId w15:val="{55488D73-9DE1-476E-96C5-AEDD2807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4B2"/>
    <w:pPr>
      <w:ind w:left="720"/>
      <w:contextualSpacing/>
    </w:pPr>
  </w:style>
  <w:style w:type="character" w:styleId="CommentReference">
    <w:name w:val="annotation reference"/>
    <w:basedOn w:val="DefaultParagraphFont"/>
    <w:uiPriority w:val="99"/>
    <w:semiHidden/>
    <w:unhideWhenUsed/>
    <w:rsid w:val="008B3D94"/>
    <w:rPr>
      <w:sz w:val="16"/>
      <w:szCs w:val="16"/>
    </w:rPr>
  </w:style>
  <w:style w:type="paragraph" w:styleId="CommentText">
    <w:name w:val="annotation text"/>
    <w:basedOn w:val="Normal"/>
    <w:link w:val="CommentTextChar"/>
    <w:uiPriority w:val="99"/>
    <w:semiHidden/>
    <w:unhideWhenUsed/>
    <w:rsid w:val="008B3D94"/>
    <w:pPr>
      <w:spacing w:line="240" w:lineRule="auto"/>
    </w:pPr>
    <w:rPr>
      <w:sz w:val="20"/>
      <w:szCs w:val="20"/>
    </w:rPr>
  </w:style>
  <w:style w:type="character" w:customStyle="1" w:styleId="CommentTextChar">
    <w:name w:val="Comment Text Char"/>
    <w:basedOn w:val="DefaultParagraphFont"/>
    <w:link w:val="CommentText"/>
    <w:uiPriority w:val="99"/>
    <w:semiHidden/>
    <w:rsid w:val="008B3D94"/>
    <w:rPr>
      <w:sz w:val="20"/>
      <w:szCs w:val="20"/>
    </w:rPr>
  </w:style>
  <w:style w:type="paragraph" w:styleId="CommentSubject">
    <w:name w:val="annotation subject"/>
    <w:basedOn w:val="CommentText"/>
    <w:next w:val="CommentText"/>
    <w:link w:val="CommentSubjectChar"/>
    <w:uiPriority w:val="99"/>
    <w:semiHidden/>
    <w:unhideWhenUsed/>
    <w:rsid w:val="008B3D94"/>
    <w:rPr>
      <w:b/>
      <w:bCs/>
    </w:rPr>
  </w:style>
  <w:style w:type="character" w:customStyle="1" w:styleId="CommentSubjectChar">
    <w:name w:val="Comment Subject Char"/>
    <w:basedOn w:val="CommentTextChar"/>
    <w:link w:val="CommentSubject"/>
    <w:uiPriority w:val="99"/>
    <w:semiHidden/>
    <w:rsid w:val="008B3D94"/>
    <w:rPr>
      <w:b/>
      <w:bCs/>
      <w:sz w:val="20"/>
      <w:szCs w:val="20"/>
    </w:rPr>
  </w:style>
  <w:style w:type="paragraph" w:styleId="BalloonText">
    <w:name w:val="Balloon Text"/>
    <w:basedOn w:val="Normal"/>
    <w:link w:val="BalloonTextChar"/>
    <w:uiPriority w:val="99"/>
    <w:semiHidden/>
    <w:unhideWhenUsed/>
    <w:rsid w:val="008B3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D94"/>
    <w:rPr>
      <w:rFonts w:ascii="Segoe UI" w:hAnsi="Segoe UI" w:cs="Segoe UI"/>
      <w:sz w:val="18"/>
      <w:szCs w:val="18"/>
    </w:rPr>
  </w:style>
  <w:style w:type="paragraph" w:styleId="Bibliography">
    <w:name w:val="Bibliography"/>
    <w:basedOn w:val="Normal"/>
    <w:next w:val="Normal"/>
    <w:uiPriority w:val="37"/>
    <w:unhideWhenUsed/>
    <w:rsid w:val="00F24D2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3927">
      <w:bodyDiv w:val="1"/>
      <w:marLeft w:val="0"/>
      <w:marRight w:val="0"/>
      <w:marTop w:val="0"/>
      <w:marBottom w:val="0"/>
      <w:divBdr>
        <w:top w:val="none" w:sz="0" w:space="0" w:color="auto"/>
        <w:left w:val="none" w:sz="0" w:space="0" w:color="auto"/>
        <w:bottom w:val="none" w:sz="0" w:space="0" w:color="auto"/>
        <w:right w:val="none" w:sz="0" w:space="0" w:color="auto"/>
      </w:divBdr>
    </w:div>
    <w:div w:id="362828937">
      <w:bodyDiv w:val="1"/>
      <w:marLeft w:val="0"/>
      <w:marRight w:val="0"/>
      <w:marTop w:val="0"/>
      <w:marBottom w:val="0"/>
      <w:divBdr>
        <w:top w:val="none" w:sz="0" w:space="0" w:color="auto"/>
        <w:left w:val="none" w:sz="0" w:space="0" w:color="auto"/>
        <w:bottom w:val="none" w:sz="0" w:space="0" w:color="auto"/>
        <w:right w:val="none" w:sz="0" w:space="0" w:color="auto"/>
      </w:divBdr>
    </w:div>
    <w:div w:id="528221361">
      <w:bodyDiv w:val="1"/>
      <w:marLeft w:val="0"/>
      <w:marRight w:val="0"/>
      <w:marTop w:val="0"/>
      <w:marBottom w:val="0"/>
      <w:divBdr>
        <w:top w:val="none" w:sz="0" w:space="0" w:color="auto"/>
        <w:left w:val="none" w:sz="0" w:space="0" w:color="auto"/>
        <w:bottom w:val="none" w:sz="0" w:space="0" w:color="auto"/>
        <w:right w:val="none" w:sz="0" w:space="0" w:color="auto"/>
      </w:divBdr>
    </w:div>
    <w:div w:id="564800322">
      <w:bodyDiv w:val="1"/>
      <w:marLeft w:val="0"/>
      <w:marRight w:val="0"/>
      <w:marTop w:val="0"/>
      <w:marBottom w:val="0"/>
      <w:divBdr>
        <w:top w:val="none" w:sz="0" w:space="0" w:color="auto"/>
        <w:left w:val="none" w:sz="0" w:space="0" w:color="auto"/>
        <w:bottom w:val="none" w:sz="0" w:space="0" w:color="auto"/>
        <w:right w:val="none" w:sz="0" w:space="0" w:color="auto"/>
      </w:divBdr>
    </w:div>
    <w:div w:id="704714643">
      <w:bodyDiv w:val="1"/>
      <w:marLeft w:val="0"/>
      <w:marRight w:val="0"/>
      <w:marTop w:val="0"/>
      <w:marBottom w:val="0"/>
      <w:divBdr>
        <w:top w:val="none" w:sz="0" w:space="0" w:color="auto"/>
        <w:left w:val="none" w:sz="0" w:space="0" w:color="auto"/>
        <w:bottom w:val="none" w:sz="0" w:space="0" w:color="auto"/>
        <w:right w:val="none" w:sz="0" w:space="0" w:color="auto"/>
      </w:divBdr>
    </w:div>
    <w:div w:id="939727216">
      <w:bodyDiv w:val="1"/>
      <w:marLeft w:val="0"/>
      <w:marRight w:val="0"/>
      <w:marTop w:val="0"/>
      <w:marBottom w:val="0"/>
      <w:divBdr>
        <w:top w:val="none" w:sz="0" w:space="0" w:color="auto"/>
        <w:left w:val="none" w:sz="0" w:space="0" w:color="auto"/>
        <w:bottom w:val="none" w:sz="0" w:space="0" w:color="auto"/>
        <w:right w:val="none" w:sz="0" w:space="0" w:color="auto"/>
      </w:divBdr>
    </w:div>
    <w:div w:id="948045896">
      <w:bodyDiv w:val="1"/>
      <w:marLeft w:val="0"/>
      <w:marRight w:val="0"/>
      <w:marTop w:val="0"/>
      <w:marBottom w:val="0"/>
      <w:divBdr>
        <w:top w:val="none" w:sz="0" w:space="0" w:color="auto"/>
        <w:left w:val="none" w:sz="0" w:space="0" w:color="auto"/>
        <w:bottom w:val="none" w:sz="0" w:space="0" w:color="auto"/>
        <w:right w:val="none" w:sz="0" w:space="0" w:color="auto"/>
      </w:divBdr>
    </w:div>
    <w:div w:id="1454052236">
      <w:bodyDiv w:val="1"/>
      <w:marLeft w:val="0"/>
      <w:marRight w:val="0"/>
      <w:marTop w:val="0"/>
      <w:marBottom w:val="0"/>
      <w:divBdr>
        <w:top w:val="none" w:sz="0" w:space="0" w:color="auto"/>
        <w:left w:val="none" w:sz="0" w:space="0" w:color="auto"/>
        <w:bottom w:val="none" w:sz="0" w:space="0" w:color="auto"/>
        <w:right w:val="none" w:sz="0" w:space="0" w:color="auto"/>
      </w:divBdr>
    </w:div>
    <w:div w:id="2081059326">
      <w:bodyDiv w:val="1"/>
      <w:marLeft w:val="0"/>
      <w:marRight w:val="0"/>
      <w:marTop w:val="0"/>
      <w:marBottom w:val="0"/>
      <w:divBdr>
        <w:top w:val="none" w:sz="0" w:space="0" w:color="auto"/>
        <w:left w:val="none" w:sz="0" w:space="0" w:color="auto"/>
        <w:bottom w:val="none" w:sz="0" w:space="0" w:color="auto"/>
        <w:right w:val="none" w:sz="0" w:space="0" w:color="auto"/>
      </w:divBdr>
    </w:div>
    <w:div w:id="212017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3F7CF-1C06-4543-8C33-D91273ED5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3185</TotalTime>
  <Pages>1</Pages>
  <Words>5514</Words>
  <Characters>31432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Fengxiu Zhang</dc:creator>
  <cp:keywords/>
  <dc:description/>
  <cp:lastModifiedBy>Fengxiu Zhang</cp:lastModifiedBy>
  <cp:revision>62</cp:revision>
  <dcterms:created xsi:type="dcterms:W3CDTF">2018-12-19T06:49:00Z</dcterms:created>
  <dcterms:modified xsi:type="dcterms:W3CDTF">2019-06-10T21:31:00Z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id="JtEFgehW"/&gt;&lt;style id="http://www.zotero.org/styles/apa-edit123" locale="en-US"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