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global energy crisis has emerged as one of the most pressing challenges of the 21st century, driven by a confluence of factors including escalating energy demand, climate change, and geopolitical instabilities. As nations strive to transition towards sustainable energy systems, the need for accurate forecasting and effective management of energy resources has never been more critical. Recent studies highlight unresolved biases in climate models, which can lead to significant discrepancies in energy demand predictions and resource allocation strategies (Hyndman &amp; Athanasopoulos, 2018; Liu et al., 2008). These biases underscore the limitations of traditional forecasting methods, which often rely on linear models that fail to capture the complexities of energy consumption patterns.</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models, particularly traditional statistical approaches such as Autoregressive Integrated Moving Average (ARIMA) and Vector Autoregression (VAR), are limited in their ability to account for nonlinear relationships and external factors such as weather fluctuations, economic changes, and policy shifts. This limitation significantly impacts their predictive accuracy, leading to suboptimal decision-making in energy management (Box et al., 2015; Stock &amp; Watson, 2001). For instance, ARIMA models, while effective for short-term forecasting, struggle to adapt to sudden changes in energy consumption patterns caused by external shocks, such as natural disasters or economic downturns. Similarly, VAR models, which analyze the interdependencies between multiple time series, often fail to incorporate real-time data, limiting their effectiveness in dynamic environments.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rapid evolution of energy markets and the increasing integration of renewable energy sources necessitate a more dynamic and responsive approach to forecasting. As countries commit to reducing their carbon footprints and increasing the share of renewables in their energy mix, the ability to accurately predict energy demand becomes paramount. Traditional models often overlook the impact of renewable energy variability, which can lead to significant forecasting errors and inefficient resource allocation. This gap in the literature highlights the urgent need for innovative approaches that can better accommodate the complexities of modern energy systems.</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novelty of this research lies in its integration of machine learning (ML) techniques with real-time analytics to enhance energy crisis detection and forecasting. By leveraging advanced ML models, such as Long Short-Term Memory (LSTM) networks and ensemble methods like Random Forest and Gradient Boosting, this study aims to improve the accuracy of energy demand predictions. These models are particularly well-suited for capturing complex, nonlinear relationships in large datasets, making them ideal for addressing the challenges posed by the dynamic nature of energy consumption. For example, LSTM networks, which are designed to recognize patterns in sequential data, can effectively model the temporal dependencies inherent in energy consumption time series, allowing for more accurate long-term forecasts.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hypothesize that employing these advanced ML techniques can significantly reduce uncertainty in energy forecasting, leading to more effective crisis management. Specifically, we anticipate that the integration of real-time data sources, including economic indicators, climate variables, and energy market dynamics, will enhance the robustness of our predictive models. This approach not only aims to improve forecasting accuracy but also seeks to provide actionable insights for policymakers and energy providers. By utilizing real-time data, our models can adapt to changing conditions, allowing for timely interventions that can mitigate potential energy crises.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significance of this research extends beyond theoretical advancements; accurate predictions could save billions annually in disaster mitigation and energy management. For instance, improved forecasting could lead to more efficient energy distribution, reducing waste and lowering costs for consumers and businesses alike. According to estimates, optimizing energy management through accurate forecasting could result in savings of up to $100 billion annually in the United States alone. Furthermore, the societal impact of this research is profound, as it aligns with global efforts to achieve energy sustainability and resilience in the face of climate change. By providing a framework for better energy management, this research can contribute to the development of policies that promote renewable energy adoption and reduce greenhouse gas emissions.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objectives of this research are threefold: (1) to develop a hybrid framework for energy forecasting that integrates ML techniques with real-time data, (2) to validate the framework using historical energy consumption and production data, and (3) to conduct a comparative analysis with traditional forecasting methods to demonstrate the efficacy of the proposed approach. Through these contributions, this research seeks to provide a comprehensive understanding of how machine learning and real-time analytics can be harnessed to create more resilient energy systems.</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summary, this research aims to address the existing gaps in energy forecasting literature by proposing a novel approach that combines machine learning with real-time data analytics. By improving the accuracy of energy demand predictions, this study seeks to empower policymakers and energy providers with the tools necessary to navigate the complexities of modern energy systems. Ultimately, the findings of this research could pave the way for more effective energy policies and practices that align with sustainability goals, fostering a more resilient and efficient energy future.</w:t>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Box, G. E., Jenkins, G. M., &amp; Reinsel, G. C. (2015). Time series analysis: Forecasting and control.</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T., &amp; Guestrin, C. (2016). XGBoost: A scalable tree boosting system. Proceedings of the 22nd ACM SIGKDD.</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Hyndman, R. J., &amp; Athanasopoulos, G. (2018). Forecasting: Principles and practice.</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F. T., Ting, K. M., &amp; Zhou, Z. H. (2008). Isolation forest. 2008 Eighth IEEE International Conference on Data Mining.</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 J. H., &amp; Watson, M. W. (2001). Vector autoregression. Journal of Economic Perspectives, 15(4), 101-115.</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Papadopoulos, S., &amp; Azar, E. (2016). Integrating building performance simulation in agent-based modeling using regression surrogate models: A novel human-in-the-loop energy modeling approach. Energy and Buildings. https://doi.org/10.1016/j.enbuild.2016.06.079</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Emission Monitoring System Market Size, Share, Growth &amp; Forecast By 2031. https://www.metastatinsight.com/press-details/emission-monitoring-system-market</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Renewable Energy Drone Service Market In-Depth Study of Size, Share, G -. https://www.knockinglive.com/renewable-energy-drone-service-market-in-depth-study-of-size-share-g/</w:t>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 Identifying and Mitigating Energy Crises Through Real-Time Analytics of Global Energy Consumption and Production Data</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global energy crisis has become an urgent issue as demand for energy continues to rise, exacerbated by climate change, geopolitical instabilities, and inefficient energy distribution. Machine learning (ML) and energy informatics have emerged as crucial tools in understanding and mitigating energy crises. This literature review synthesizes existing research on energy crisis detection, forecasting models, and mitigation strategies using real-time analytics.</w:t>
      </w:r>
    </w:p>
    <w:p w:rsidR="00000000" w:rsidDel="00000000" w:rsidP="00000000" w:rsidRDefault="00000000" w:rsidRPr="00000000" w14:paraId="0000001C">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 Classical Models for Energy Crisis Prediction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Traditional energy forecasting methods have relied on statistical and econometric models, such as: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Autoregressive Integrated Moving Average (ARIMA): Used in short-term energy consumption forecasting but limited in handling nonlinear patterns (Hyndman &amp; Athanasopoulos, 2018).</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Vector Autoregression (VAR): Applied in economic and policy impact analysis, often used to study energy price shocks (Stock &amp; Watson, 2001).</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Series Decomposition: Extracts seasonal and trend components but struggles with high-frequency anomalies (Box et al., 2015). Despite their widespread use, these models lack real-time adaptability and fail to integrate external variables such as weather, economic fluctuations, and policy changes.</w:t>
      </w:r>
    </w:p>
    <w:p w:rsidR="00000000" w:rsidDel="00000000" w:rsidP="00000000" w:rsidRDefault="00000000" w:rsidRPr="00000000" w14:paraId="0000002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 Machine Learning Approaches for Energy Forecasting and Crisis Detection</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studies have demonstrated the efficacy of ML techniques in improving energy forecasting accuracy:</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 Short-Term Memory (LSTM) Networks: Effective in capturing long-range dependencies and seasonal variations in energy consumption (Hochreiter &amp; Schmidhuber, 1997).</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Facebook Prophet Model: A robust tool for time series forecasting, suitable for handling missing data and trend shifts (Taylor &amp; Letham, 2018).</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and Gradient Boosting: Used for feature selection and enhancing predictive accuracy in energy demand modeling (Chen &amp; Guestrin, 2016).</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Anomaly Detection Models (Autoencoders, Isolation Forest): Identify outliers in energy consumption patterns, critical for early warning systems (Liu et al., 2008). These approaches outperform traditional methods by leveraging vast amounts of real-time data, but they require high computational resources and careful model tuning.</w:t>
      </w:r>
    </w:p>
    <w:p w:rsidR="00000000" w:rsidDel="00000000" w:rsidP="00000000" w:rsidRDefault="00000000" w:rsidRPr="00000000" w14:paraId="0000002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 Real-Time Energy Analytics and Crisis Mitigation Strategies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studies emphasize integrating ML with real-time energy data for proactive crisis management:</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Energy Agency (IEA) Data Integration: Provides comprehensive insights into energy supply-demand mismatches across regions (IEA, 2023).</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Geopolitical and Climate Event Analysis: Incorporating external factors such as natural disasters, economic sanctions, and fuel price volatility (EIA, 2023).</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Grid Optimization: Reinforcement learning models for demand-side management and energy storage optimization (Sutton &amp; Barto, 2018).</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 Impact Simulations: Predicting the effect of carbon taxes, subsidies, and energy market liberalization on crisis mitigation (World Bank, 2023). These strategies enable policymakers and energy providers to develop more adaptive and resilient energy systems.</w:t>
      </w:r>
    </w:p>
    <w:p w:rsidR="00000000" w:rsidDel="00000000" w:rsidP="00000000" w:rsidRDefault="00000000" w:rsidRPr="00000000" w14:paraId="0000002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 Research Gaps and Future Directions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significant advancements, key research gaps remain:</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Data Integration: Existing studies lack frameworks for seamless real-time energy data fusion from multiple global sources.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of ML Models: Most ML models require extensive computational resources, limiting their deployment in low-resource settings.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Ethical and Sustainability Considerations: Limited research explores the ethical implications of AI-driven energy policies and their alignment with sustainability goals. Addressing these gaps requires interdisciplinary collaboration between data scientists, energy policymakers, and environmental researchers.</w:t>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i w:val="1"/>
        </w:rPr>
      </w:pPr>
      <w:r w:rsidDel="00000000" w:rsidR="00000000" w:rsidRPr="00000000">
        <w:rPr>
          <w:b w:val="1"/>
          <w:i w:val="1"/>
          <w:rtl w:val="0"/>
        </w:rPr>
        <w:t xml:space="preserve">5. Comparative Analysis of Key Studies</w:t>
      </w:r>
    </w:p>
    <w:p w:rsidR="00000000" w:rsidDel="00000000" w:rsidP="00000000" w:rsidRDefault="00000000" w:rsidRPr="00000000" w14:paraId="00000034">
      <w:pPr>
        <w:rPr>
          <w:b w:val="1"/>
          <w:sz w:val="28"/>
          <w:szCs w:val="28"/>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1"/>
        <w:gridCol w:w="2649"/>
        <w:gridCol w:w="2050"/>
        <w:gridCol w:w="2340"/>
        <w:tblGridChange w:id="0">
          <w:tblGrid>
            <w:gridCol w:w="2311"/>
            <w:gridCol w:w="2649"/>
            <w:gridCol w:w="2050"/>
            <w:gridCol w:w="2340"/>
          </w:tblGrid>
        </w:tblGridChange>
      </w:tblGrid>
      <w:tr>
        <w:trPr>
          <w:cantSplit w:val="0"/>
          <w:trHeight w:val="270" w:hRule="atLeast"/>
          <w:tblHeader w:val="0"/>
        </w:trPr>
        <w:tc>
          <w:tcPr>
            <w:tcMar>
              <w:top w:w="20.0" w:type="dxa"/>
              <w:left w:w="20.0" w:type="dxa"/>
              <w:bottom w:w="20.0" w:type="dxa"/>
              <w:right w:w="20.0" w:type="dxa"/>
            </w:tcMar>
          </w:tcPr>
          <w:p w:rsidR="00000000" w:rsidDel="00000000" w:rsidP="00000000" w:rsidRDefault="00000000" w:rsidRPr="00000000" w14:paraId="00000035">
            <w:pPr>
              <w:rPr>
                <w:b w:val="1"/>
              </w:rPr>
            </w:pPr>
            <w:r w:rsidDel="00000000" w:rsidR="00000000" w:rsidRPr="00000000">
              <w:rPr>
                <w:b w:val="1"/>
                <w:rtl w:val="0"/>
              </w:rPr>
              <w:t xml:space="preserve">Study</w:t>
            </w:r>
          </w:p>
        </w:tc>
        <w:tc>
          <w:tcPr>
            <w:tcMar>
              <w:top w:w="20.0" w:type="dxa"/>
              <w:left w:w="20.0" w:type="dxa"/>
              <w:bottom w:w="20.0" w:type="dxa"/>
              <w:right w:w="20.0" w:type="dxa"/>
            </w:tcMar>
          </w:tcPr>
          <w:p w:rsidR="00000000" w:rsidDel="00000000" w:rsidP="00000000" w:rsidRDefault="00000000" w:rsidRPr="00000000" w14:paraId="00000036">
            <w:pPr>
              <w:rPr>
                <w:b w:val="1"/>
              </w:rPr>
            </w:pPr>
            <w:r w:rsidDel="00000000" w:rsidR="00000000" w:rsidRPr="00000000">
              <w:rPr>
                <w:b w:val="1"/>
                <w:rtl w:val="0"/>
              </w:rPr>
              <w:t xml:space="preserve">Methodology</w:t>
            </w:r>
          </w:p>
        </w:tc>
        <w:tc>
          <w:tcPr>
            <w:tcMar>
              <w:top w:w="20.0" w:type="dxa"/>
              <w:left w:w="20.0" w:type="dxa"/>
              <w:bottom w:w="20.0" w:type="dxa"/>
              <w:right w:w="20.0" w:type="dxa"/>
            </w:tcMar>
          </w:tcPr>
          <w:p w:rsidR="00000000" w:rsidDel="00000000" w:rsidP="00000000" w:rsidRDefault="00000000" w:rsidRPr="00000000" w14:paraId="00000037">
            <w:pPr>
              <w:rPr>
                <w:b w:val="1"/>
              </w:rPr>
            </w:pPr>
            <w:r w:rsidDel="00000000" w:rsidR="00000000" w:rsidRPr="00000000">
              <w:rPr>
                <w:b w:val="1"/>
                <w:rtl w:val="0"/>
              </w:rPr>
              <w:t xml:space="preserve">Strengths</w:t>
            </w:r>
          </w:p>
        </w:tc>
        <w:tc>
          <w:tcPr>
            <w:tcMar>
              <w:top w:w="20.0" w:type="dxa"/>
              <w:left w:w="20.0" w:type="dxa"/>
              <w:bottom w:w="20.0" w:type="dxa"/>
              <w:right w:w="20.0" w:type="dxa"/>
            </w:tcMar>
          </w:tcPr>
          <w:p w:rsidR="00000000" w:rsidDel="00000000" w:rsidP="00000000" w:rsidRDefault="00000000" w:rsidRPr="00000000" w14:paraId="00000038">
            <w:pPr>
              <w:rPr>
                <w:b w:val="1"/>
              </w:rPr>
            </w:pPr>
            <w:r w:rsidDel="00000000" w:rsidR="00000000" w:rsidRPr="00000000">
              <w:rPr>
                <w:b w:val="1"/>
                <w:rtl w:val="0"/>
              </w:rPr>
              <w:t xml:space="preserve">Limitations</w:t>
            </w:r>
          </w:p>
        </w:tc>
      </w:tr>
      <w:tr>
        <w:trPr>
          <w:cantSplit w:val="0"/>
          <w:trHeight w:val="495" w:hRule="atLeast"/>
          <w:tblHeader w:val="0"/>
        </w:trPr>
        <w:tc>
          <w:tcPr>
            <w:tcMar>
              <w:top w:w="20.0" w:type="dxa"/>
              <w:left w:w="20.0" w:type="dxa"/>
              <w:bottom w:w="20.0" w:type="dxa"/>
              <w:right w:w="20.0" w:type="dxa"/>
            </w:tcMar>
          </w:tcPr>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Hyndman &amp; Athanasopoulos (2018)</w:t>
            </w:r>
          </w:p>
        </w:tc>
        <w:tc>
          <w:tcPr>
            <w:tcMar>
              <w:top w:w="20.0" w:type="dxa"/>
              <w:left w:w="20.0" w:type="dxa"/>
              <w:bottom w:w="20.0" w:type="dxa"/>
              <w:right w:w="20.0" w:type="dxa"/>
            </w:tcMar>
          </w:tcPr>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 for energy forecasting</w:t>
            </w:r>
          </w:p>
        </w:tc>
        <w:tc>
          <w:tcPr>
            <w:tcMar>
              <w:top w:w="20.0" w:type="dxa"/>
              <w:left w:w="20.0" w:type="dxa"/>
              <w:bottom w:w="20.0" w:type="dxa"/>
              <w:right w:w="20.0" w:type="dxa"/>
            </w:tcMar>
          </w:tcPr>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interpretable</w:t>
            </w:r>
          </w:p>
        </w:tc>
        <w:tc>
          <w:tcPr>
            <w:tcMar>
              <w:top w:w="20.0" w:type="dxa"/>
              <w:left w:w="20.0" w:type="dxa"/>
              <w:bottom w:w="20.0" w:type="dxa"/>
              <w:right w:w="20.0" w:type="dxa"/>
            </w:tcMar>
          </w:tcPr>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 handling of nonlinearities</w:t>
            </w:r>
          </w:p>
        </w:tc>
      </w:tr>
      <w:tr>
        <w:trPr>
          <w:cantSplit w:val="0"/>
          <w:trHeight w:val="495" w:hRule="atLeast"/>
          <w:tblHeader w:val="0"/>
        </w:trPr>
        <w:tc>
          <w:tcPr>
            <w:tcMar>
              <w:top w:w="20.0" w:type="dxa"/>
              <w:left w:w="20.0" w:type="dxa"/>
              <w:bottom w:w="20.0" w:type="dxa"/>
              <w:right w:w="20.0" w:type="dxa"/>
            </w:tcMar>
          </w:tcPr>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Hochreiter &amp; Schmidhuber (1997)</w:t>
            </w:r>
          </w:p>
        </w:tc>
        <w:tc>
          <w:tcPr>
            <w:tcMar>
              <w:top w:w="20.0" w:type="dxa"/>
              <w:left w:w="20.0" w:type="dxa"/>
              <w:bottom w:w="20.0" w:type="dxa"/>
              <w:right w:w="20.0" w:type="dxa"/>
            </w:tcMar>
          </w:tcPr>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 for time series forecasting</w:t>
            </w:r>
          </w:p>
        </w:tc>
        <w:tc>
          <w:tcPr>
            <w:tcMar>
              <w:top w:w="20.0" w:type="dxa"/>
              <w:left w:w="20.0" w:type="dxa"/>
              <w:bottom w:w="20.0" w:type="dxa"/>
              <w:right w:w="20.0" w:type="dxa"/>
            </w:tcMar>
          </w:tcPr>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Captures long-term dependencies</w:t>
            </w:r>
          </w:p>
        </w:tc>
        <w:tc>
          <w:tcPr>
            <w:tcMar>
              <w:top w:w="20.0" w:type="dxa"/>
              <w:left w:w="20.0" w:type="dxa"/>
              <w:bottom w:w="20.0" w:type="dxa"/>
              <w:right w:w="20.0" w:type="dxa"/>
            </w:tcMar>
          </w:tcPr>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computational cost</w:t>
            </w:r>
          </w:p>
        </w:tc>
      </w:tr>
      <w:tr>
        <w:trPr>
          <w:cantSplit w:val="0"/>
          <w:trHeight w:val="495" w:hRule="atLeast"/>
          <w:tblHeader w:val="0"/>
        </w:trPr>
        <w:tc>
          <w:tcPr>
            <w:tcMar>
              <w:top w:w="20.0" w:type="dxa"/>
              <w:left w:w="20.0" w:type="dxa"/>
              <w:bottom w:w="20.0" w:type="dxa"/>
              <w:right w:w="20.0" w:type="dxa"/>
            </w:tcMar>
          </w:tcPr>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et al. (2008)</w:t>
            </w:r>
          </w:p>
        </w:tc>
        <w:tc>
          <w:tcPr>
            <w:tcMar>
              <w:top w:w="20.0" w:type="dxa"/>
              <w:left w:w="20.0" w:type="dxa"/>
              <w:bottom w:w="20.0" w:type="dxa"/>
              <w:right w:w="20.0" w:type="dxa"/>
            </w:tcMar>
          </w:tcPr>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Anomaly detection in energy systems</w:t>
            </w:r>
          </w:p>
        </w:tc>
        <w:tc>
          <w:tcPr>
            <w:tcMar>
              <w:top w:w="20.0" w:type="dxa"/>
              <w:left w:w="20.0" w:type="dxa"/>
              <w:bottom w:w="20.0" w:type="dxa"/>
              <w:right w:w="20.0" w:type="dxa"/>
            </w:tcMar>
          </w:tcPr>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 for crisis detection</w:t>
            </w:r>
          </w:p>
        </w:tc>
        <w:tc>
          <w:tcPr>
            <w:tcMar>
              <w:top w:w="20.0" w:type="dxa"/>
              <w:left w:w="20.0" w:type="dxa"/>
              <w:bottom w:w="20.0" w:type="dxa"/>
              <w:right w:w="20.0" w:type="dxa"/>
            </w:tcMar>
          </w:tcPr>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labeled anomaly data</w:t>
            </w:r>
          </w:p>
        </w:tc>
      </w:tr>
      <w:tr>
        <w:trPr>
          <w:cantSplit w:val="0"/>
          <w:trHeight w:val="495" w:hRule="atLeast"/>
          <w:tblHeader w:val="0"/>
        </w:trPr>
        <w:tc>
          <w:tcPr>
            <w:tcMar>
              <w:top w:w="20.0" w:type="dxa"/>
              <w:left w:w="20.0" w:type="dxa"/>
              <w:bottom w:w="20.0" w:type="dxa"/>
              <w:right w:w="20.0" w:type="dxa"/>
            </w:tcMar>
          </w:tcPr>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Sutton &amp; Barto (2018)</w:t>
            </w:r>
          </w:p>
        </w:tc>
        <w:tc>
          <w:tcPr>
            <w:tcMar>
              <w:top w:w="20.0" w:type="dxa"/>
              <w:left w:w="20.0" w:type="dxa"/>
              <w:bottom w:w="20.0" w:type="dxa"/>
              <w:right w:w="20.0" w:type="dxa"/>
            </w:tcMar>
          </w:tcPr>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Reinforcement learning for energy optimization</w:t>
            </w:r>
          </w:p>
        </w:tc>
        <w:tc>
          <w:tcPr>
            <w:tcMar>
              <w:top w:w="20.0" w:type="dxa"/>
              <w:left w:w="20.0" w:type="dxa"/>
              <w:bottom w:w="20.0" w:type="dxa"/>
              <w:right w:w="20.0" w:type="dxa"/>
            </w:tcMar>
          </w:tcPr>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Adapts to dynamic conditions</w:t>
            </w:r>
          </w:p>
        </w:tc>
        <w:tc>
          <w:tcPr>
            <w:tcMar>
              <w:top w:w="20.0" w:type="dxa"/>
              <w:left w:w="20.0" w:type="dxa"/>
              <w:bottom w:w="20.0" w:type="dxa"/>
              <w:right w:w="20.0" w:type="dxa"/>
            </w:tcMar>
          </w:tcPr>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Complex reward engineering</w:t>
            </w:r>
          </w:p>
        </w:tc>
      </w:tr>
      <w:tr>
        <w:trPr>
          <w:cantSplit w:val="0"/>
          <w:trHeight w:val="421" w:hRule="atLeast"/>
          <w:tblHeader w:val="0"/>
        </w:trPr>
        <w:tc>
          <w:tcPr>
            <w:tcMar>
              <w:top w:w="20.0" w:type="dxa"/>
              <w:left w:w="20.0" w:type="dxa"/>
              <w:bottom w:w="20.0" w:type="dxa"/>
              <w:right w:w="20.0" w:type="dxa"/>
            </w:tcMar>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&amp; Letham (2018)</w:t>
            </w:r>
          </w:p>
        </w:tc>
        <w:tc>
          <w:tcPr>
            <w:tcMar>
              <w:top w:w="20.0" w:type="dxa"/>
              <w:left w:w="20.0" w:type="dxa"/>
              <w:bottom w:w="20.0" w:type="dxa"/>
              <w:right w:w="20.0" w:type="dxa"/>
            </w:tcMar>
          </w:tcPr>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Prophet model for demand forecasting</w:t>
            </w:r>
          </w:p>
        </w:tc>
        <w:tc>
          <w:tcPr>
            <w:tcMar>
              <w:top w:w="20.0" w:type="dxa"/>
              <w:left w:w="20.0" w:type="dxa"/>
              <w:bottom w:w="20.0" w:type="dxa"/>
              <w:right w:w="20.0" w:type="dxa"/>
            </w:tcMar>
          </w:tcPr>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Handles missing data well</w:t>
            </w:r>
          </w:p>
        </w:tc>
        <w:tc>
          <w:tcPr>
            <w:tcMar>
              <w:top w:w="20.0" w:type="dxa"/>
              <w:left w:w="20.0" w:type="dxa"/>
              <w:bottom w:w="20.0" w:type="dxa"/>
              <w:right w:w="20.0" w:type="dxa"/>
            </w:tcMar>
          </w:tcPr>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Less effective in highly volatile markets</w:t>
            </w:r>
          </w:p>
        </w:tc>
      </w:tr>
    </w:tbl>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and real-time analytics offer promising solutions to identify and mitigate energy crises. While ML models enhance forecasting accuracy and crisis detection, challenges such as data integration, scalability, and ethical considerations must be addressed. Future research should focus on developing energy-aware AI systems that balance efficiency, sustainability, and ethical governance.</w:t>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Box, G. E., Jenkins, G. M., &amp; Reinsel, G. C. (2015). Time series analysis: Forecasting and control.</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T., &amp; Guestrin, C. (2016). XGBoost: A scalable tree boosting system. Proceedings of the 22nd ACM SIGKDD.</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Hochreiter, S., &amp; Schmidhuber, J. (1997). Long short-term memory. Neural computation.</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Hyndman, R. J., &amp; Athanasopoulos, G. (2018). Forecasting: Principles and practice.</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International Energy Agency (IEA). (2023). Data and Statistics. https://www.iea.org/data-and-statistics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F. T., Ting, K. M., &amp; Zhou, Z. H. (2008). Isolation forest. 2008 Eighth IEEE International Conference on Data Mining.</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Sutton, R. S., &amp; Barto, A. G. (2018). Reinforcement learning: An introduction.</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Taylor, S. J., &amp; Letham, B. (2018). Forecasting at scale. The American Statistician.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 Energy Information Administration (EIA). (2023). Open Data. https://www.eia.gov/opendata/</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World Bank. (2023). Energy Data. </w:t>
      </w:r>
      <w:hyperlink r:id="rId7">
        <w:r w:rsidDel="00000000" w:rsidR="00000000" w:rsidRPr="00000000">
          <w:rPr>
            <w:rFonts w:ascii="Times New Roman" w:cs="Times New Roman" w:eastAsia="Times New Roman" w:hAnsi="Times New Roman"/>
            <w:color w:val="0563c1"/>
            <w:u w:val="single"/>
            <w:rtl w:val="0"/>
          </w:rPr>
          <w:t xml:space="preserve">https://data.worldbank.org/topic/energy</w:t>
        </w:r>
      </w:hyperlink>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Collection</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collection involves scraping data from reliable sources such as government databases and research publications, followed by cleaning to address missing values, outliers, and inconsistencies. The dataset was augmented by introducing random noise to numeric features, excluding the "Year" column, to enhance diversity. Original and augmented data were combined, resulting in a larger dataset saved for further analysis and model training. Data balancing and stratified sampling were applied to ensure unbiased representation. Key predictive factors include economic indicators, governance metrics, renewable energy potential, and environmental data. These features align with research questions on energy crises, climate change, and energy independence, providing a robust foundation for predictive modeling and future insights.</w:t>
      </w:r>
    </w:p>
    <w:p w:rsidR="00000000" w:rsidDel="00000000" w:rsidP="00000000" w:rsidRDefault="00000000" w:rsidRPr="00000000" w14:paraId="000000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EDA</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EDA involved analyzing numerical and categorical features using univariate, bivariate, and multivariate techniques. Numerical columns were converted to appropriate data types to handle inconsistencies, and missing values were dropped for accurate visualization. Distributions of key variables like GDP, Energy Consumption, CO2 Emissions, and Renewable Energy Jobs were plotted. Correlation heatmaps highlighted relationships between variables, aiding feature selection. Scatterplots and pairplots explored interdependencies, while boxplots assessed variations in energy consumption across energy types. These insights informed subsequent modeling and analysis.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0" distT="0" distL="0" distR="0">
            <wp:extent cx="5018448" cy="3013214"/>
            <wp:effectExtent b="0" l="0" r="0" t="0"/>
            <wp:docPr id="196377163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018448" cy="301321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Figure-x</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fig-x shows a box plot comparing energy consumption across different renewable energy types (Solar, Geothermal, Biomass, Wind, and Hydro). It shows the distribution, median, and variability of energy consumption for each type, helping identify trends and outliers.</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(correlation heatmap) in fig-1(a) represents a bivariate analysis since it examines the pairwise relationships between different variables, highlighting their correlation strengths. It helps identify whether two variables have a positive, negative, or no correlation.</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(pair plot) in fig-1(b) represents a multivariate analysis, as it visualizes relationships among multiple variables simultaneously. It provides scatter plots for each pair of variables while also incorporating KDE (Kernel Density Estimation) plots on the diagonal, allowing for a deeper understanding of interactions among GDP, energy consumption, CO2 emissions, and renewable energy jobs across different energy types.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graphs in fig-1(c) represent a </w:t>
      </w:r>
      <w:r w:rsidDel="00000000" w:rsidR="00000000" w:rsidRPr="00000000">
        <w:rPr>
          <w:rFonts w:ascii="Times New Roman" w:cs="Times New Roman" w:eastAsia="Times New Roman" w:hAnsi="Times New Roman"/>
          <w:b w:val="1"/>
          <w:rtl w:val="0"/>
        </w:rPr>
        <w:t xml:space="preserve">univariate analysis</w:t>
      </w:r>
      <w:r w:rsidDel="00000000" w:rsidR="00000000" w:rsidRPr="00000000">
        <w:rPr>
          <w:rFonts w:ascii="Times New Roman" w:cs="Times New Roman" w:eastAsia="Times New Roman" w:hAnsi="Times New Roman"/>
          <w:rtl w:val="0"/>
        </w:rPr>
        <w:t xml:space="preserve"> of four key variables: </w:t>
      </w:r>
      <w:r w:rsidDel="00000000" w:rsidR="00000000" w:rsidRPr="00000000">
        <w:rPr>
          <w:rFonts w:ascii="Times New Roman" w:cs="Times New Roman" w:eastAsia="Times New Roman" w:hAnsi="Times New Roman"/>
          <w:b w:val="1"/>
          <w:rtl w:val="0"/>
        </w:rPr>
        <w:t xml:space="preserve">GDP, Energy Consumption, CO₂ Emissions, and Renewable Energy Jobs</w:t>
      </w:r>
      <w:r w:rsidDel="00000000" w:rsidR="00000000" w:rsidRPr="00000000">
        <w:rPr>
          <w:rFonts w:ascii="Times New Roman" w:cs="Times New Roman" w:eastAsia="Times New Roman" w:hAnsi="Times New Roman"/>
          <w:rtl w:val="0"/>
        </w:rPr>
        <w:t xml:space="preserve">. Each histogram illustrates the frequency distribution of values, with an overlaid </w:t>
      </w:r>
      <w:r w:rsidDel="00000000" w:rsidR="00000000" w:rsidRPr="00000000">
        <w:rPr>
          <w:rFonts w:ascii="Times New Roman" w:cs="Times New Roman" w:eastAsia="Times New Roman" w:hAnsi="Times New Roman"/>
          <w:b w:val="1"/>
          <w:rtl w:val="0"/>
        </w:rPr>
        <w:t xml:space="preserve">Kernel Density Estimate (KDE) curve</w:t>
      </w:r>
      <w:r w:rsidDel="00000000" w:rsidR="00000000" w:rsidRPr="00000000">
        <w:rPr>
          <w:rFonts w:ascii="Times New Roman" w:cs="Times New Roman" w:eastAsia="Times New Roman" w:hAnsi="Times New Roman"/>
          <w:rtl w:val="0"/>
        </w:rPr>
        <w:t xml:space="preserve"> to visualize the data trend. The distribution of GDP and energy consumption appears relatively uniform, while CO₂ emissions and renewable energy jobs exhibit slight variations and possible skewness. The KDE curves help identify patterns, such as clustering or outliers, making this analysis essential for understanding the spread and concentration of these energy and economic indicators.</w:t>
      </w:r>
    </w:p>
    <w:p w:rsidR="00000000" w:rsidDel="00000000" w:rsidP="00000000" w:rsidRDefault="00000000" w:rsidRPr="00000000" w14:paraId="00000074">
      <w:pPr>
        <w:rPr/>
      </w:pPr>
      <w:r w:rsidDel="00000000" w:rsidR="00000000" w:rsidRPr="00000000">
        <w:rPr/>
        <w:drawing>
          <wp:inline distB="0" distT="0" distL="0" distR="0">
            <wp:extent cx="5943600" cy="4860925"/>
            <wp:effectExtent b="0" l="0" r="0" t="0"/>
            <wp:docPr id="196377163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8609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Figure-1(a)</w:t>
      </w:r>
    </w:p>
    <w:p w:rsidR="00000000" w:rsidDel="00000000" w:rsidP="00000000" w:rsidRDefault="00000000" w:rsidRPr="00000000" w14:paraId="00000076">
      <w:pPr>
        <w:rPr/>
      </w:pPr>
      <w:r w:rsidDel="00000000" w:rsidR="00000000" w:rsidRPr="00000000">
        <w:rPr/>
        <w:drawing>
          <wp:inline distB="0" distT="0" distL="0" distR="0">
            <wp:extent cx="2958982" cy="2135696"/>
            <wp:effectExtent b="0" l="0" r="0" t="0"/>
            <wp:docPr id="196377163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958982" cy="2135696"/>
                    </a:xfrm>
                    <a:prstGeom prst="rect"/>
                    <a:ln/>
                  </pic:spPr>
                </pic:pic>
              </a:graphicData>
            </a:graphic>
          </wp:inline>
        </w:drawing>
      </w:r>
      <w:r w:rsidDel="00000000" w:rsidR="00000000" w:rsidRPr="00000000">
        <w:rPr/>
        <w:drawing>
          <wp:inline distB="0" distT="0" distL="0" distR="0">
            <wp:extent cx="3019276" cy="2158370"/>
            <wp:effectExtent b="0" l="0" r="0" t="0"/>
            <wp:docPr id="196377163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19276" cy="215837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Figure-1(b)                                                          Figure-1(c)</w:t>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Synthetic Data Generation (SDG)</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data limitations and improve the robustness of our analysis, a Synthetic Data Generation (SDG) approach was employed using noise augmentation. Numerical attributes in the dataset were augmented by introducing controlled random noise, while categorical variables, such as 'Year,' were preserved to maintain data integrity. This process effectively increased the dataset size from 2,500 to 5,000 records, enhancing its diversity and representativeness. Key variables in the augmented dataset include energy production, investments, population, CO2 emissions, renewable energy policies, climatic conditions, and economic indicators. The synthetic data generated ensures realistic variations, enabling more accurate modeling, simulation, and forecasting in renewable energy research. This approach facilitates improved decision-making and policy development in the renewable energy sector.</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Preprocessing and Feature Engineering</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Preprocessing involved handling missing data, scaling numerical features to a uniform range, and applying log transformations to address skewness. Feature engineering generated new attributes to enhance predictive capability. For example, “Renewable Potential Score” combined solar, wind, hydro, geothermal, and biomass potentials, while “Policy Impact” aggregated policy-related factors like subsidies and efficiency programs. Scores such as Catastrophe Score and Development Score were computed to analyze energy crises in underdeveloped countries. Energy Efficiency Scores quantified energy sustainability, and investment metrics such as “Investment per MW” highlighted efficiency. These engineered features captured intricate relationships and supported domain-specific insights into energy independence and sustainability.</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Predictive Modeling</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modeling in this study is structured into four key segments: baseline models, advanced models, model comparison, and cross-validation.</w:t>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Baseline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Polynomial Regression was used to capture non-linear relationships between features and target variables, such as energy production and consumption. By applying PolynomialFeatures (degree=3), additional polynomial terms like squared and cubic variables were created. This model served as an initial benchmark to explore the potential improvement over linear models.</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Advanced Models</w:t>
      </w:r>
      <w:r w:rsidDel="00000000" w:rsidR="00000000" w:rsidRPr="00000000">
        <w:rPr>
          <w:rtl w:val="0"/>
        </w:rPr>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Forest Regressor</w:t>
      </w:r>
      <w:r w:rsidDel="00000000" w:rsidR="00000000" w:rsidRPr="00000000">
        <w:rPr>
          <w:rFonts w:ascii="Times New Roman" w:cs="Times New Roman" w:eastAsia="Times New Roman" w:hAnsi="Times New Roman"/>
          <w:rtl w:val="0"/>
        </w:rPr>
        <w:t xml:space="preserve">: This model aggregated predictions from 500 decision trees, effectively capturing complex, non-linear interactions in the dataset. It also ranked feature importance, identifying critical predictors such as GDP, energy consumption, and renewable energy targets. Its ensemble nature enhanced generalization and reduced overfitting.</w:t>
      </w:r>
    </w:p>
    <w:p w:rsidR="00000000" w:rsidDel="00000000" w:rsidP="00000000" w:rsidRDefault="00000000" w:rsidRPr="00000000" w14:paraId="0000008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Gradient Boosting Regressor</w:t>
      </w:r>
      <w:r w:rsidDel="00000000" w:rsidR="00000000" w:rsidRPr="00000000">
        <w:rPr>
          <w:rFonts w:ascii="Times New Roman" w:cs="Times New Roman" w:eastAsia="Times New Roman" w:hAnsi="Times New Roman"/>
          <w:rtl w:val="0"/>
        </w:rPr>
        <w:t xml:space="preserve">: Designed for sequential learning, this model corrected errors iteratively, providing high prediction accuracy for intricate datasets. Features like regulatory quality, subsidies, and public awareness campaigns were analyzed to understand their policy implications. Hyperparameter tuning ensured optimal performance.</w:t>
      </w:r>
    </w:p>
    <w:p w:rsidR="00000000" w:rsidDel="00000000" w:rsidP="00000000" w:rsidRDefault="00000000" w:rsidRPr="00000000" w14:paraId="00000086">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LSTM (Long Short-Term Memory)</w:t>
      </w:r>
      <w:r w:rsidDel="00000000" w:rsidR="00000000" w:rsidRPr="00000000">
        <w:rPr>
          <w:rFonts w:ascii="Times New Roman" w:cs="Times New Roman" w:eastAsia="Times New Roman" w:hAnsi="Times New Roman"/>
          <w:rtl w:val="0"/>
        </w:rPr>
        <w:t xml:space="preserve">: LSTM layers were applied to extract temporal patterns from features like GDP, energy consumption, and population. Dropout layers reduced overfitting, while ReLU activation functions captured complex relationships. The output predicted continuous values such as R&amp;D expenditure, vital for energy governance.</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Comparison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Advanced models like Gradient Boosting and Random Forest outperformed Polynomial Regression in handling non-linear relationships and high-dimensional data. Feature importance analysis revealed governance metrics and renewable energy potential as key influencers.</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Cross-Validation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K-fold cross-validation ensured model robustness across different data subsets. Hyperparameter tuning for Gradient Boosting (learning rate, tree depth) and Random Forest (number of estimators) balanced accuracy and computational efficiency.</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and Insights</w:t>
      </w:r>
      <w:r w:rsidDel="00000000" w:rsidR="00000000" w:rsidRPr="00000000">
        <w:rPr>
          <w:rFonts w:ascii="Times New Roman" w:cs="Times New Roman" w:eastAsia="Times New Roman" w:hAnsi="Times New Roman"/>
          <w:rtl w:val="0"/>
        </w:rPr>
        <w:t xml:space="preserve"> The models aimed to improve policy and governance by:</w:t>
      </w:r>
    </w:p>
    <w:p w:rsidR="00000000" w:rsidDel="00000000" w:rsidP="00000000" w:rsidRDefault="00000000" w:rsidRPr="00000000" w14:paraId="0000008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Highlighting governance gaps and quantifying policy impacts.</w:t>
      </w:r>
    </w:p>
    <w:p w:rsidR="00000000" w:rsidDel="00000000" w:rsidP="00000000" w:rsidRDefault="00000000" w:rsidRPr="00000000" w14:paraId="0000008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Supporting evidence-based decisions, such as optimal subsidies or regulatory improvements.</w:t>
      </w:r>
    </w:p>
    <w:p w:rsidR="00000000" w:rsidDel="00000000" w:rsidP="00000000" w:rsidRDefault="00000000" w:rsidRPr="00000000" w14:paraId="0000008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Enabling scenario analysis for targeted interventions.</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insights contribute to sustainable energy practices and informed policy-making, addressing global energy challenges effectively.</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outperformed Random Forest with a lower MSE (181.94 vs. 413.75) and a higher R² (0.77 vs. 0.49), making it a better choice for capturing complex data patterns. LSTM models demonstrated strong predictive performance in forecasting renewable energy production (R²: 96.22% training, 92.65% testing) and CO₂ emissions (R²: 95.96% training, 93.89% testing), indicating minimal overfitting. Gradient Boosting is used for general machine learning tasks, while LSTM models are applied for time-series forecasting in renewable energy trends and CO₂ emissions.</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Grid Search achieved the best performance with the lowest RMSE (16,180.82) and the highest R² (0.67), while Random Search had a slightly higher RMSE (16,200.63) but a lower MAE (12,197.96). Optuna, though efficient, had a higher RMSE (16,562.62) and a slightly lower R² (0.66), making it less effective in this case.</w:t>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Hyperparameter Tuning</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Hyperparameter tuning ensures optimal model performance by systematically adjusting key parameters. Three techniques were utilized:</w:t>
      </w:r>
    </w:p>
    <w:p w:rsidR="00000000" w:rsidDel="00000000" w:rsidP="00000000" w:rsidRDefault="00000000" w:rsidRPr="00000000" w14:paraId="000000A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GridSearchCV</w:t>
      </w:r>
      <w:r w:rsidDel="00000000" w:rsidR="00000000" w:rsidRPr="00000000">
        <w:rPr>
          <w:rFonts w:ascii="Times New Roman" w:cs="Times New Roman" w:eastAsia="Times New Roman" w:hAnsi="Times New Roman"/>
          <w:rtl w:val="0"/>
        </w:rPr>
        <w:t xml:space="preserve">: Exhaustive search over predefined hyperparameter grids, ideal for smaller parameter spaces. For Random Forest, it determined optimal parameters like n_estimators=300 and max_depth=15.</w:t>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RandomizedSearchCV</w:t>
      </w:r>
      <w:r w:rsidDel="00000000" w:rsidR="00000000" w:rsidRPr="00000000">
        <w:rPr>
          <w:rFonts w:ascii="Times New Roman" w:cs="Times New Roman" w:eastAsia="Times New Roman" w:hAnsi="Times New Roman"/>
          <w:rtl w:val="0"/>
        </w:rPr>
        <w:t xml:space="preserve">: Random sampling of hyperparameter combinations, used for larger spaces to reduce computation time. It provided comparable results for Random Forest and Gradient Boosting with faster execution.</w:t>
      </w:r>
    </w:p>
    <w:p w:rsidR="00000000" w:rsidDel="00000000" w:rsidP="00000000" w:rsidRDefault="00000000" w:rsidRPr="00000000" w14:paraId="000000A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Optuna</w:t>
      </w:r>
      <w:r w:rsidDel="00000000" w:rsidR="00000000" w:rsidRPr="00000000">
        <w:rPr>
          <w:rFonts w:ascii="Times New Roman" w:cs="Times New Roman" w:eastAsia="Times New Roman" w:hAnsi="Times New Roman"/>
          <w:rtl w:val="0"/>
        </w:rPr>
        <w:t xml:space="preserve">: An advanced optimization library using Tree-structured Parzen Estimator (TPE) for efficient tuning. For Random Forest, it confirmed parameters such as n_estimators=300 and max_depth=20, while for Gradient Boosting, it optimized learning_rate=0.14 and max_depth=10.</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insights include the importance of fine-tuned parameters like lower learning rates for Gradient Boosting and deeper trees for Random Forest to enhance model accuracy. LSTM hyperparameters—hidden_size (32), num_layers (2), and dropout (0.1)—balanced complexity and overfitting. Regularization techniques such as weight decay (1e-5) and gradient clipping (max_norm=1.0) ensured stability. Automated tuning methods like Optuna streamlined the process, reducing iterations and improving results.</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Explainable AI(XAI)</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7(a) illustrates two SHAP visualization techniques used to interpret our model's predictions. The top panel shows SHAP summary plots where each dot represents a data point; the x-axis indicates the SHAP value—i.e., the magnitude and direction of a feature’s influence on the prediction—and the dot color reflects the feature value (red for high, blue for low). Key features include Industrialization Rate, which may either increase or decrease predictions depending on its SHAP value, Local Manufacturing Capacity with its variable impact, and Policy Impact, which consistently pushes predictions upward. In addition, features such as Population, Energy Consumption, Corruption Perception Index, Renewable Potential Score, and Urbanization Rate exhibit varying influences, while climate-related factors generally contribute positively. The bottom panel of Figure 7(b) presents SHAP waterfall plots that explain individual predictions. One plot shows how positive contributions—from Policy Impact, Average Annual Temperature, R&amp;D Expenditure, Solar Irradiance, and GDP—raise the prediction from a base value of 48,817.42 to 77,579.73. In contrast, another plot details how negative contributions from Industrialization Rate, Local Manufacturing Capacity, Corruption Perception Index, the Proportion of Energy from Renewables, Energy Consumption, and Urbanization Rate reduce the prediction from 495,832.64 to 309,432.44. These visualizations collectively underscore the complex interplay of factors influencing our model’s outputs.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3194685</wp:posOffset>
            </wp:positionH>
            <wp:positionV relativeFrom="paragraph">
              <wp:posOffset>8255</wp:posOffset>
            </wp:positionV>
            <wp:extent cx="2748915" cy="2279650"/>
            <wp:effectExtent b="0" l="0" r="0" t="0"/>
            <wp:wrapNone/>
            <wp:docPr id="196377164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48915" cy="2279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8255</wp:posOffset>
            </wp:positionV>
            <wp:extent cx="2700020" cy="2273300"/>
            <wp:effectExtent b="0" l="0" r="0" t="0"/>
            <wp:wrapNone/>
            <wp:docPr id="196377163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700020" cy="2273300"/>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Figure-7(a)                </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316865</wp:posOffset>
            </wp:positionV>
            <wp:extent cx="3110865" cy="1930400"/>
            <wp:effectExtent b="0" l="0" r="0" t="0"/>
            <wp:wrapNone/>
            <wp:docPr id="196377162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110865" cy="1930400"/>
                    </a:xfrm>
                    <a:prstGeom prst="rect"/>
                    <a:ln/>
                  </pic:spPr>
                </pic:pic>
              </a:graphicData>
            </a:graphic>
          </wp:anchor>
        </w:drawing>
      </w:r>
    </w:p>
    <w:p w:rsidR="00000000" w:rsidDel="00000000" w:rsidP="00000000" w:rsidRDefault="00000000" w:rsidRPr="00000000" w14:paraId="000000B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3232150</wp:posOffset>
            </wp:positionH>
            <wp:positionV relativeFrom="paragraph">
              <wp:posOffset>6350</wp:posOffset>
            </wp:positionV>
            <wp:extent cx="3057539" cy="1911350"/>
            <wp:effectExtent b="0" l="0" r="0" t="0"/>
            <wp:wrapNone/>
            <wp:docPr id="196377162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057539" cy="1911350"/>
                    </a:xfrm>
                    <a:prstGeom prst="rect"/>
                    <a:ln/>
                  </pic:spPr>
                </pic:pic>
              </a:graphicData>
            </a:graphic>
          </wp:anchor>
        </w:drawing>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Figure-7(b)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Figure 8 presents two LIME explanations that elucidate how the model arrives at its predictions by approximating its behavior locally with an interpretable surrogate. The top LIME plot (Prediction 1) indicates a predicted value ranging from 30,529.32 to 79,243.50. Here, positive contributions such as R&amp;D Expenditure (+2753.3), Average Annual Temperature (+2040.87), Policy Impact (+1758.83), Local Manufacturing Capacity (+207.64), Annual Rainfall (+200.72), GDP (+1033.76), and Solar Irradiance (+652.53) work together to push the prediction upward, whereas negative contributions from Renewable Potential Score (–487.88), Wind Speed (–134.09), and Energy Exports (–112.49) slightly counteract this increase. The key takeaway is that factors like R&amp;D, Policy Impact, and Temperature predominantly drive the prediction upward, with Renewable Potential and Wind Speed having a modest mitigating effect. In contrast, the bottom LIME plot (Prediction 2) reveals a predicted value between 247,338.34 and 785,787.80. In this instance, positive contributions from Population (+6634.44), Local Manufacturing Capacity (+6231.02), Policy Impact (+5056.34), and Renewable Potential Score (+1237.30) elevate the prediction, while negative contributions from Industrialization Rate (–1115.23), Proportion of Energy from Renewables (–8245.33), Energy Consumption (–6490.99), Corruption Perception Index (–4549.97), and Urbanization Rate (–1564.77) serve to lower it. Overall, Figure 8 highlights that while Population, Manufacturing, and Policy Impact are key drivers in increasing predictions, features such as Industrialization Rate, Renewable Energy Proportion, and Corruption exert a reducing effect, with Energy Consumption also contributing negatively.</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Arial" w:cs="Arial" w:eastAsia="Arial" w:hAnsi="Arial"/>
          <w:color w:val="000000"/>
          <w:sz w:val="28"/>
          <w:szCs w:val="28"/>
        </w:rPr>
        <w:drawing>
          <wp:inline distB="0" distT="0" distL="0" distR="0">
            <wp:extent cx="5943600" cy="1555750"/>
            <wp:effectExtent b="0" l="0" r="0" t="0"/>
            <wp:docPr id="196377163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5557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Fonts w:ascii="Arial" w:cs="Arial" w:eastAsia="Arial" w:hAnsi="Arial"/>
          <w:color w:val="000000"/>
          <w:sz w:val="22"/>
          <w:szCs w:val="22"/>
        </w:rPr>
        <w:drawing>
          <wp:inline distB="0" distT="0" distL="0" distR="0">
            <wp:extent cx="5943600" cy="1530350"/>
            <wp:effectExtent b="0" l="0" r="0" t="0"/>
            <wp:docPr id="196377164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15303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Figure-8</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Results</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Findings</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section presents a detailed analysis of the experimental results obtained using Gradient Boosting, Random Forest, LSTM, and regression techniques. The performance of these models is evaluated using key metrics such as Mean Squared Error (MSE) and R-squared (R²). Additionally, SHAP and LIME techniques are applied for interpretability analysis to understand the impact of various features on predictions.</w:t>
      </w:r>
    </w:p>
    <w:p w:rsidR="00000000" w:rsidDel="00000000" w:rsidP="00000000" w:rsidRDefault="00000000" w:rsidRPr="00000000" w14:paraId="000000D0">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1) Gradient Boosting: Actual vs. Predicted</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illustrates the actual versus predicted values for R&amp;D expenditure using the Gradient Boosting model. The clustering of data points around the perfect prediction line (dashed red) indicates a high level of predictive accuracy, as confirmed by an R² score of </w:t>
      </w:r>
      <w:r w:rsidDel="00000000" w:rsidR="00000000" w:rsidRPr="00000000">
        <w:rPr>
          <w:rFonts w:ascii="Times New Roman" w:cs="Times New Roman" w:eastAsia="Times New Roman" w:hAnsi="Times New Roman"/>
          <w:b w:val="1"/>
          <w:rtl w:val="0"/>
        </w:rPr>
        <w:t xml:space="preserve">0.77</w:t>
      </w:r>
      <w:r w:rsidDel="00000000" w:rsidR="00000000" w:rsidRPr="00000000">
        <w:rPr>
          <w:rFonts w:ascii="Times New Roman" w:cs="Times New Roman" w:eastAsia="Times New Roman" w:hAnsi="Times New Roman"/>
          <w:rtl w:val="0"/>
        </w:rPr>
        <w:t xml:space="preserve">. This model's effectiveness suggests that improvements in </w:t>
      </w:r>
      <w:r w:rsidDel="00000000" w:rsidR="00000000" w:rsidRPr="00000000">
        <w:rPr>
          <w:rFonts w:ascii="Times New Roman" w:cs="Times New Roman" w:eastAsia="Times New Roman" w:hAnsi="Times New Roman"/>
          <w:b w:val="1"/>
          <w:rtl w:val="0"/>
        </w:rPr>
        <w:t xml:space="preserve">Policy and Governance</w:t>
      </w:r>
      <w:r w:rsidDel="00000000" w:rsidR="00000000" w:rsidRPr="00000000">
        <w:rPr>
          <w:rFonts w:ascii="Times New Roman" w:cs="Times New Roman" w:eastAsia="Times New Roman" w:hAnsi="Times New Roman"/>
          <w:rtl w:val="0"/>
        </w:rPr>
        <w:t xml:space="preserve"> can significantly impact predictive accuracy and overall model performance.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0" distT="0" distL="0" distR="0">
            <wp:extent cx="5627958" cy="3607666"/>
            <wp:effectExtent b="0" l="0" r="0" t="0"/>
            <wp:docPr id="196377164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627958" cy="360766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Figure-1</w:t>
      </w:r>
    </w:p>
    <w:p w:rsidR="00000000" w:rsidDel="00000000" w:rsidP="00000000" w:rsidRDefault="00000000" w:rsidRPr="00000000" w14:paraId="000000D5">
      <w:pPr>
        <w:jc w:val="cente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 Random Forest: Actual vs. Predicted</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presents the performance of the Random Forest model. Compared to Gradient Boosting, the increased dispersion of points around the perfect prediction line suggests lower predictive accuracy. The model achieves an R² score of </w:t>
      </w:r>
      <w:r w:rsidDel="00000000" w:rsidR="00000000" w:rsidRPr="00000000">
        <w:rPr>
          <w:rFonts w:ascii="Times New Roman" w:cs="Times New Roman" w:eastAsia="Times New Roman" w:hAnsi="Times New Roman"/>
          <w:b w:val="1"/>
          <w:rtl w:val="0"/>
        </w:rPr>
        <w:t xml:space="preserve">0.49</w:t>
      </w:r>
      <w:r w:rsidDel="00000000" w:rsidR="00000000" w:rsidRPr="00000000">
        <w:rPr>
          <w:rFonts w:ascii="Times New Roman" w:cs="Times New Roman" w:eastAsia="Times New Roman" w:hAnsi="Times New Roman"/>
          <w:rtl w:val="0"/>
        </w:rPr>
        <w:t xml:space="preserve">, confirming its relatively weaker performance. The results indicate that </w:t>
      </w:r>
      <w:r w:rsidDel="00000000" w:rsidR="00000000" w:rsidRPr="00000000">
        <w:rPr>
          <w:rFonts w:ascii="Times New Roman" w:cs="Times New Roman" w:eastAsia="Times New Roman" w:hAnsi="Times New Roman"/>
          <w:b w:val="1"/>
          <w:rtl w:val="0"/>
        </w:rPr>
        <w:t xml:space="preserve">Policy and Governance</w:t>
      </w:r>
      <w:r w:rsidDel="00000000" w:rsidR="00000000" w:rsidRPr="00000000">
        <w:rPr>
          <w:rFonts w:ascii="Times New Roman" w:cs="Times New Roman" w:eastAsia="Times New Roman" w:hAnsi="Times New Roman"/>
          <w:rtl w:val="0"/>
        </w:rPr>
        <w:t xml:space="preserve"> improvements could enhance model reliability by reducing variability and improving feature interactions.</w:t>
      </w:r>
    </w:p>
    <w:p w:rsidR="00000000" w:rsidDel="00000000" w:rsidP="00000000" w:rsidRDefault="00000000" w:rsidRPr="00000000" w14:paraId="000000D9">
      <w:pPr>
        <w:rPr/>
      </w:pPr>
      <w:r w:rsidDel="00000000" w:rsidR="00000000" w:rsidRPr="00000000">
        <w:rPr/>
        <w:drawing>
          <wp:inline distB="0" distT="0" distL="0" distR="0">
            <wp:extent cx="5846961" cy="3746722"/>
            <wp:effectExtent b="0" l="0" r="0" t="0"/>
            <wp:docPr id="196377164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846961" cy="374672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t xml:space="preserve">Figure-2</w:t>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 Residuals Distribution</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and Figure 4 illustrate the residual distributions for Gradient Boosting and Random Forest models, respectively. The </w:t>
      </w:r>
      <w:r w:rsidDel="00000000" w:rsidR="00000000" w:rsidRPr="00000000">
        <w:rPr>
          <w:rFonts w:ascii="Times New Roman" w:cs="Times New Roman" w:eastAsia="Times New Roman" w:hAnsi="Times New Roman"/>
          <w:b w:val="1"/>
          <w:rtl w:val="0"/>
        </w:rPr>
        <w:t xml:space="preserve">Gradient Boosting Residuals</w:t>
      </w:r>
      <w:r w:rsidDel="00000000" w:rsidR="00000000" w:rsidRPr="00000000">
        <w:rPr>
          <w:rFonts w:ascii="Times New Roman" w:cs="Times New Roman" w:eastAsia="Times New Roman" w:hAnsi="Times New Roman"/>
          <w:rtl w:val="0"/>
        </w:rPr>
        <w:t xml:space="preserve"> exhibit a symmetric distribution centered around zero, indicating unbiased predictions. In contrast, the </w:t>
      </w:r>
      <w:r w:rsidDel="00000000" w:rsidR="00000000" w:rsidRPr="00000000">
        <w:rPr>
          <w:rFonts w:ascii="Times New Roman" w:cs="Times New Roman" w:eastAsia="Times New Roman" w:hAnsi="Times New Roman"/>
          <w:b w:val="1"/>
          <w:rtl w:val="0"/>
        </w:rPr>
        <w:t xml:space="preserve">Random Forest Residuals</w:t>
      </w:r>
      <w:r w:rsidDel="00000000" w:rsidR="00000000" w:rsidRPr="00000000">
        <w:rPr>
          <w:rFonts w:ascii="Times New Roman" w:cs="Times New Roman" w:eastAsia="Times New Roman" w:hAnsi="Times New Roman"/>
          <w:rtl w:val="0"/>
        </w:rPr>
        <w:t xml:space="preserve"> display a wider spread, highlighting inconsistencies in predictions and a greater variance in error distribution.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196848</wp:posOffset>
            </wp:positionH>
            <wp:positionV relativeFrom="paragraph">
              <wp:posOffset>0</wp:posOffset>
            </wp:positionV>
            <wp:extent cx="2696622" cy="1736683"/>
            <wp:effectExtent b="0" l="0" r="0" t="0"/>
            <wp:wrapNone/>
            <wp:docPr id="196377163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696622" cy="173668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3221355</wp:posOffset>
            </wp:positionH>
            <wp:positionV relativeFrom="paragraph">
              <wp:posOffset>0</wp:posOffset>
            </wp:positionV>
            <wp:extent cx="2722245" cy="1748434"/>
            <wp:effectExtent b="0" l="0" r="0" t="0"/>
            <wp:wrapNone/>
            <wp:docPr id="196377162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722245" cy="1748434"/>
                    </a:xfrm>
                    <a:prstGeom prst="rect"/>
                    <a:ln/>
                  </pic:spPr>
                </pic:pic>
              </a:graphicData>
            </a:graphic>
          </wp:anchor>
        </w:drawing>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Figure-3                                                                   Figure-4</w:t>
      </w:r>
    </w:p>
    <w:p w:rsidR="00000000" w:rsidDel="00000000" w:rsidP="00000000" w:rsidRDefault="00000000" w:rsidRPr="00000000" w14:paraId="000000E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firstLine="72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 Feature Importance Analysis</w:t>
      </w:r>
    </w:p>
    <w:p w:rsidR="00000000" w:rsidDel="00000000" w:rsidP="00000000" w:rsidRDefault="00000000" w:rsidRPr="00000000" w14:paraId="000000E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a)Random Forest Feature Importance</w:t>
      </w:r>
    </w:p>
    <w:p w:rsidR="00000000" w:rsidDel="00000000" w:rsidP="00000000" w:rsidRDefault="00000000" w:rsidRPr="00000000" w14:paraId="000000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presents the top 10 most influential features in the Random Forest model. The key contributors include </w:t>
      </w:r>
      <w:r w:rsidDel="00000000" w:rsidR="00000000" w:rsidRPr="00000000">
        <w:rPr>
          <w:rFonts w:ascii="Times New Roman" w:cs="Times New Roman" w:eastAsia="Times New Roman" w:hAnsi="Times New Roman"/>
          <w:b w:val="1"/>
          <w:rtl w:val="0"/>
        </w:rPr>
        <w:t xml:space="preserve">Policy Impact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Energy Consumption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Urbanization Rate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Improve Policy and Governance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Arial" w:cs="Arial" w:eastAsia="Arial" w:hAnsi="Arial"/>
          <w:color w:val="d6d6dd"/>
          <w:sz w:val="20"/>
          <w:szCs w:val="20"/>
          <w:shd w:fill="181818" w:val="clear"/>
        </w:rPr>
        <w:drawing>
          <wp:inline distB="0" distT="0" distL="0" distR="0">
            <wp:extent cx="4951704" cy="2626651"/>
            <wp:effectExtent b="0" l="0" r="0" t="0"/>
            <wp:docPr id="196377164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951704" cy="2626651"/>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Figure-5</w:t>
      </w:r>
    </w:p>
    <w:p w:rsidR="00000000" w:rsidDel="00000000" w:rsidP="00000000" w:rsidRDefault="00000000" w:rsidRPr="00000000" w14:paraId="000000F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b)Gradient Boosting Feature Importance</w:t>
      </w:r>
    </w:p>
    <w:p w:rsidR="00000000" w:rsidDel="00000000" w:rsidP="00000000" w:rsidRDefault="00000000" w:rsidRPr="00000000" w14:paraId="000000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illustrates the feature importance rankings for Gradient Boosting, emphasizing the role of </w:t>
      </w:r>
      <w:r w:rsidDel="00000000" w:rsidR="00000000" w:rsidRPr="00000000">
        <w:rPr>
          <w:rFonts w:ascii="Times New Roman" w:cs="Times New Roman" w:eastAsia="Times New Roman" w:hAnsi="Times New Roman"/>
          <w:b w:val="1"/>
          <w:rtl w:val="0"/>
        </w:rPr>
        <w:t xml:space="preserve">Industrialization Rate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Policy Impact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Local Manufacturing Capacity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Improve Policy and Governance</w:t>
      </w:r>
      <w:r w:rsidDel="00000000" w:rsidR="00000000" w:rsidRPr="00000000">
        <w:rPr>
          <w:rFonts w:ascii="Times New Roman" w:cs="Times New Roman" w:eastAsia="Times New Roman" w:hAnsi="Times New Roman"/>
          <w:rtl w:val="0"/>
        </w:rPr>
        <w:t xml:space="preserve"> in influencing model predictions.</w:t>
      </w:r>
    </w:p>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Arial" w:cs="Arial" w:eastAsia="Arial" w:hAnsi="Arial"/>
          <w:color w:val="d6d6dd"/>
          <w:sz w:val="20"/>
          <w:szCs w:val="20"/>
          <w:shd w:fill="181818" w:val="clear"/>
        </w:rPr>
        <w:drawing>
          <wp:inline distB="0" distT="0" distL="0" distR="0">
            <wp:extent cx="4876800" cy="2603120"/>
            <wp:effectExtent b="0" l="0" r="0" t="0"/>
            <wp:docPr id="196377164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876800" cy="260312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Figure-6</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 Cross-Validation R² Scores</w:t>
      </w: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displays the R² scores across different cross-validation folds, confirming that </w:t>
      </w:r>
      <w:r w:rsidDel="00000000" w:rsidR="00000000" w:rsidRPr="00000000">
        <w:rPr>
          <w:rFonts w:ascii="Times New Roman" w:cs="Times New Roman" w:eastAsia="Times New Roman" w:hAnsi="Times New Roman"/>
          <w:b w:val="1"/>
          <w:rtl w:val="0"/>
        </w:rPr>
        <w:t xml:space="preserve">Gradient Boosting demonstrates superior consistency compared to Random Forest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5357573" cy="2120706"/>
            <wp:effectExtent b="0" l="0" r="0" t="0"/>
            <wp:docPr id="196377164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57573" cy="2120706"/>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Figure-6</w:t>
      </w:r>
    </w:p>
    <w:p w:rsidR="00000000" w:rsidDel="00000000" w:rsidP="00000000" w:rsidRDefault="00000000" w:rsidRPr="00000000" w14:paraId="000000FB">
      <w:pPr>
        <w:ind w:firstLine="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Statistical Analysis of Renewable Energy Dataset</w:t>
      </w:r>
    </w:p>
    <w:p w:rsidR="00000000" w:rsidDel="00000000" w:rsidP="00000000" w:rsidRDefault="00000000" w:rsidRPr="00000000" w14:paraId="000000F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statistical analysis of the renewable energy dataset reveals key insights into energy independence and investment trends. The correlation analysis indicates that the "Proportion of Energy from Renewables" has weak associations with "Local Manufacturing Capacity" (0.040) and "Capacity Factor" (0.031). The chi-square test results show that "Country" has a marginally significant relationship with renewable energy proportion (statistic = 38.91, p-value = 0.0645), whereas "Energy Type" exhibits a highly significant influence (statistic = 32.02, p-value = 0.0014).</w:t>
      </w:r>
    </w:p>
    <w:p w:rsidR="00000000" w:rsidDel="00000000" w:rsidP="00000000" w:rsidRDefault="00000000" w:rsidRPr="00000000" w14:paraId="0000010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performance metrics highlight the effectiveness of different predictive approaches. The Root Mean Square Error (RMSE) values for Grid Search, Random Search, and Optuna are 16,180.82, 16,200.63, and 16,562.62, respectively. The Mean Absolute Error (MAE) values are 12,251.13, 12,197.96, and 12,464.38. The R-squared values indicate that the first two models explain approximately 67% of the variance, whereas the third model slightly underperforms (R² = 0.66). These results suggest room for improvement in model accuracy and feature selection.</w:t>
      </w:r>
    </w:p>
    <w:p w:rsidR="00000000" w:rsidDel="00000000" w:rsidP="00000000" w:rsidRDefault="00000000" w:rsidRPr="00000000" w14:paraId="00000101">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drawing>
          <wp:inline distB="0" distT="0" distL="0" distR="0">
            <wp:extent cx="4895850" cy="3568700"/>
            <wp:effectExtent b="0" l="0" r="0" t="0"/>
            <wp:docPr id="196377164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8958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w:t>
      </w:r>
    </w:p>
    <w:p w:rsidR="00000000" w:rsidDel="00000000" w:rsidP="00000000" w:rsidRDefault="00000000" w:rsidRPr="00000000" w14:paraId="00000104">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B. Ablation Studies</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Ablation studies were conducted to evaluate the impact of key features:</w:t>
      </w:r>
    </w:p>
    <w:p w:rsidR="00000000" w:rsidDel="00000000" w:rsidP="00000000" w:rsidRDefault="00000000" w:rsidRPr="00000000" w14:paraId="00000106">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Excluding Policy Impact</w:t>
      </w:r>
      <w:r w:rsidDel="00000000" w:rsidR="00000000" w:rsidRPr="00000000">
        <w:rPr>
          <w:rFonts w:ascii="Times New Roman" w:cs="Times New Roman" w:eastAsia="Times New Roman" w:hAnsi="Times New Roman"/>
          <w:rtl w:val="0"/>
        </w:rPr>
        <w:t xml:space="preserve"> led to a </w:t>
      </w:r>
      <w:r w:rsidDel="00000000" w:rsidR="00000000" w:rsidRPr="00000000">
        <w:rPr>
          <w:rFonts w:ascii="Times New Roman" w:cs="Times New Roman" w:eastAsia="Times New Roman" w:hAnsi="Times New Roman"/>
          <w:b w:val="1"/>
          <w:rtl w:val="0"/>
        </w:rPr>
        <w:t xml:space="preserve">9.4% reduction</w:t>
      </w:r>
      <w:r w:rsidDel="00000000" w:rsidR="00000000" w:rsidRPr="00000000">
        <w:rPr>
          <w:rFonts w:ascii="Times New Roman" w:cs="Times New Roman" w:eastAsia="Times New Roman" w:hAnsi="Times New Roman"/>
          <w:rtl w:val="0"/>
        </w:rPr>
        <w:t xml:space="preserve"> in Gradient Boosting’s R² score.</w:t>
      </w:r>
    </w:p>
    <w:p w:rsidR="00000000" w:rsidDel="00000000" w:rsidP="00000000" w:rsidRDefault="00000000" w:rsidRPr="00000000" w14:paraId="00000107">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Removing Energy Consumption</w:t>
      </w:r>
      <w:r w:rsidDel="00000000" w:rsidR="00000000" w:rsidRPr="00000000">
        <w:rPr>
          <w:rFonts w:ascii="Times New Roman" w:cs="Times New Roman" w:eastAsia="Times New Roman" w:hAnsi="Times New Roman"/>
          <w:rtl w:val="0"/>
        </w:rPr>
        <w:t xml:space="preserve"> in Random Forest resulted in a </w:t>
      </w:r>
      <w:r w:rsidDel="00000000" w:rsidR="00000000" w:rsidRPr="00000000">
        <w:rPr>
          <w:rFonts w:ascii="Times New Roman" w:cs="Times New Roman" w:eastAsia="Times New Roman" w:hAnsi="Times New Roman"/>
          <w:b w:val="1"/>
          <w:rtl w:val="0"/>
        </w:rPr>
        <w:t xml:space="preserve">6.7% drop</w:t>
      </w:r>
      <w:r w:rsidDel="00000000" w:rsidR="00000000" w:rsidRPr="00000000">
        <w:rPr>
          <w:rFonts w:ascii="Times New Roman" w:cs="Times New Roman" w:eastAsia="Times New Roman" w:hAnsi="Times New Roman"/>
          <w:rtl w:val="0"/>
        </w:rPr>
        <w:t xml:space="preserve"> in performance.</w:t>
      </w:r>
    </w:p>
    <w:p w:rsidR="00000000" w:rsidDel="00000000" w:rsidP="00000000" w:rsidRDefault="00000000" w:rsidRPr="00000000" w14:paraId="00000108">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Omitting Industrialization Rate</w:t>
      </w:r>
      <w:r w:rsidDel="00000000" w:rsidR="00000000" w:rsidRPr="00000000">
        <w:rPr>
          <w:rFonts w:ascii="Times New Roman" w:cs="Times New Roman" w:eastAsia="Times New Roman" w:hAnsi="Times New Roman"/>
          <w:rtl w:val="0"/>
        </w:rPr>
        <w:t xml:space="preserve"> from LSTM caused a </w:t>
      </w:r>
      <w:r w:rsidDel="00000000" w:rsidR="00000000" w:rsidRPr="00000000">
        <w:rPr>
          <w:rFonts w:ascii="Times New Roman" w:cs="Times New Roman" w:eastAsia="Times New Roman" w:hAnsi="Times New Roman"/>
          <w:b w:val="1"/>
          <w:rtl w:val="0"/>
        </w:rPr>
        <w:t xml:space="preserve">5.3% decrease</w:t>
      </w:r>
      <w:r w:rsidDel="00000000" w:rsidR="00000000" w:rsidRPr="00000000">
        <w:rPr>
          <w:rFonts w:ascii="Times New Roman" w:cs="Times New Roman" w:eastAsia="Times New Roman" w:hAnsi="Times New Roman"/>
          <w:rtl w:val="0"/>
        </w:rPr>
        <w:t xml:space="preserve"> in prediction accuracy.</w:t>
      </w:r>
    </w:p>
    <w:p w:rsidR="00000000" w:rsidDel="00000000" w:rsidP="00000000" w:rsidRDefault="00000000" w:rsidRPr="00000000" w14:paraId="000001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Ablation studies were conducted to assess the contribution of different features to model performance. The SHapley Additive exPlanations (SHAP) analysis reveals that GDP and the Innovation Index are the most influential factors, significantly impacting R&amp;D expenditure predictions. The Urbanization Rate and Year features have moderate influence, while Population contributes negatively in some cases.</w:t>
      </w:r>
    </w:p>
    <w:p w:rsidR="00000000" w:rsidDel="00000000" w:rsidP="00000000" w:rsidRDefault="00000000" w:rsidRPr="00000000" w14:paraId="000001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Local Interpretable Model-agnostic Explanations (LIME) method provides additional interpretability for model decisions. The Random Forest model predicts an R&amp;D expenditure of approximately $22.3 billion, with "Year" as the strongest positive contributor (1.38), while "Population" contributes negatively (-0.24). In contrast, the Gradient Boosting model produces significantly different predictions, highlighting its sensitivity to feature importance.</w:t>
      </w:r>
    </w:p>
    <w:p w:rsidR="00000000" w:rsidDel="00000000" w:rsidP="00000000" w:rsidRDefault="00000000" w:rsidRPr="00000000" w14:paraId="000001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results highlight the importance of these features in ensuring model robustness.</w:t>
      </w:r>
    </w:p>
    <w:p w:rsidR="00000000" w:rsidDel="00000000" w:rsidP="00000000" w:rsidRDefault="00000000" w:rsidRPr="00000000" w14:paraId="0000010C">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Comparative Performance Analysis</w:t>
      </w:r>
    </w:p>
    <w:tbl>
      <w:tblPr>
        <w:tblStyle w:val="Table2"/>
        <w:tblW w:w="7529.0" w:type="dxa"/>
        <w:jc w:val="left"/>
        <w:tblLayout w:type="fixed"/>
        <w:tblLook w:val="0400"/>
      </w:tblPr>
      <w:tblGrid>
        <w:gridCol w:w="2687"/>
        <w:gridCol w:w="3101"/>
        <w:gridCol w:w="1741"/>
        <w:tblGridChange w:id="0">
          <w:tblGrid>
            <w:gridCol w:w="2687"/>
            <w:gridCol w:w="3101"/>
            <w:gridCol w:w="174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Mean Squared Error (MSE)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R-squared (R²)</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413.75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0.49</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181.94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55,221.71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0.9389</w:t>
            </w:r>
          </w:p>
        </w:tc>
      </w:tr>
    </w:tbl>
    <w:p w:rsidR="00000000" w:rsidDel="00000000" w:rsidP="00000000" w:rsidRDefault="00000000" w:rsidRPr="00000000" w14:paraId="00000119">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LSTM model achieves superior performance</w:t>
      </w:r>
      <w:r w:rsidDel="00000000" w:rsidR="00000000" w:rsidRPr="00000000">
        <w:rPr>
          <w:rFonts w:ascii="Times New Roman" w:cs="Times New Roman" w:eastAsia="Times New Roman" w:hAnsi="Times New Roman"/>
          <w:rtl w:val="0"/>
        </w:rPr>
        <w:t xml:space="preserve">, capturing temporal dependencies more effectively than the ensemble methods.</w:t>
      </w:r>
    </w:p>
    <w:p w:rsidR="00000000" w:rsidDel="00000000" w:rsidP="00000000" w:rsidRDefault="00000000" w:rsidRPr="00000000" w14:paraId="0000011B">
      <w:pPr>
        <w:ind w:firstLine="720"/>
        <w:jc w:val="both"/>
        <w:rPr>
          <w:rFonts w:ascii="Times New Roman" w:cs="Times New Roman" w:eastAsia="Times New Roman" w:hAnsi="Times New Roman"/>
        </w:rPr>
      </w:pPr>
      <w:r w:rsidDel="00000000" w:rsidR="00000000" w:rsidRPr="00000000">
        <w:rPr>
          <w:rtl w:val="0"/>
        </w:rPr>
      </w:r>
    </w:p>
    <w:tbl>
      <w:tblPr>
        <w:tblStyle w:val="Table3"/>
        <w:tblW w:w="6497.0" w:type="dxa"/>
        <w:jc w:val="left"/>
        <w:tblLayout w:type="fixed"/>
        <w:tblLook w:val="0400"/>
      </w:tblPr>
      <w:tblGrid>
        <w:gridCol w:w="894"/>
        <w:gridCol w:w="2161"/>
        <w:gridCol w:w="2282"/>
        <w:gridCol w:w="1160"/>
        <w:tblGridChange w:id="0">
          <w:tblGrid>
            <w:gridCol w:w="894"/>
            <w:gridCol w:w="2161"/>
            <w:gridCol w:w="2282"/>
            <w:gridCol w:w="1160"/>
          </w:tblGrid>
        </w:tblGridChange>
      </w:tblGrid>
      <w:tr>
        <w:trPr>
          <w:cantSplit w:val="0"/>
          <w:trHeight w:val="921"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Metric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Grid Search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Random 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Optuna</w:t>
            </w:r>
            <w:r w:rsidDel="00000000" w:rsidR="00000000" w:rsidRPr="00000000">
              <w:rPr>
                <w:rtl w:val="0"/>
              </w:rPr>
            </w:r>
          </w:p>
        </w:tc>
      </w:tr>
      <w:tr>
        <w:trPr>
          <w:cantSplit w:val="0"/>
          <w:trHeight w:val="72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RMSE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16,180.82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16,200.63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16,562.62</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12,251.13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12,197.96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12,464.38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R²</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w:t>
            </w:r>
          </w:p>
        </w:tc>
      </w:tr>
    </w:tbl>
    <w:p w:rsidR="00000000" w:rsidDel="00000000" w:rsidP="00000000" w:rsidRDefault="00000000" w:rsidRPr="00000000" w14:paraId="0000012C">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Grid Search achieved the lowest RMSE (16,180.82) and a slightly higher MAE (12,251.13) than Random Search, which had an RMSE of 16,200.63 and a lower MAE of 12,197.96. Optuna resulted in a higher RMSE (16,562.62) and MAE (12,464.38). Both Grid Search and Random Search attained an R² score of 0.67, while Optuna had a slightly lower R² of 0.66. Grid Search provided the best overall accuracy.</w:t>
      </w:r>
    </w:p>
    <w:p w:rsidR="00000000" w:rsidDel="00000000" w:rsidP="00000000" w:rsidRDefault="00000000" w:rsidRPr="00000000" w14:paraId="0000012E">
      <w:pPr>
        <w:ind w:firstLine="720"/>
        <w:jc w:val="both"/>
        <w:rPr>
          <w:rFonts w:ascii="Times New Roman" w:cs="Times New Roman" w:eastAsia="Times New Roman" w:hAnsi="Times New Roman"/>
        </w:rPr>
      </w:pPr>
      <w:r w:rsidDel="00000000" w:rsidR="00000000" w:rsidRPr="00000000">
        <w:rPr>
          <w:rtl w:val="0"/>
        </w:rPr>
      </w:r>
    </w:p>
    <w:tbl>
      <w:tblPr>
        <w:tblStyle w:val="Table4"/>
        <w:tblW w:w="8527.0" w:type="dxa"/>
        <w:jc w:val="left"/>
        <w:tblLayout w:type="fixed"/>
        <w:tblLook w:val="0400"/>
      </w:tblPr>
      <w:tblGrid>
        <w:gridCol w:w="3154"/>
        <w:gridCol w:w="1795"/>
        <w:gridCol w:w="1660"/>
        <w:gridCol w:w="1918"/>
        <w:tblGridChange w:id="0">
          <w:tblGrid>
            <w:gridCol w:w="3154"/>
            <w:gridCol w:w="1795"/>
            <w:gridCol w:w="1660"/>
            <w:gridCol w:w="1918"/>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Train R²</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R²</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MSE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3">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Polynomial Regression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-0.0280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8.47×10ⁱ⁸</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0.9543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0.6724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2.70×10ⁱ⁸</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0.5364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0.2756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5.97×10ⁱ⁸</w:t>
            </w:r>
          </w:p>
        </w:tc>
      </w:tr>
    </w:tbl>
    <w:p w:rsidR="00000000" w:rsidDel="00000000" w:rsidP="00000000" w:rsidRDefault="00000000" w:rsidRPr="00000000" w14:paraId="000001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Polynomial Regression model performs poorly, with a negative test R² (-0.0280), indicating overfitting and lack of generalization. The Random Forest model achieves the best performance, with a high training R² (0.9543) and a reasonable test R² (0.6724), showing effective learning. Gradient Boosting, while better than Polynomial Regression, remains suboptimal compared to Random Forest.</w:t>
      </w:r>
    </w:p>
    <w:p w:rsidR="00000000" w:rsidDel="00000000" w:rsidP="00000000" w:rsidRDefault="00000000" w:rsidRPr="00000000" w14:paraId="000001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 Error Analysis</w:t>
      </w:r>
    </w:p>
    <w:p w:rsidR="00000000" w:rsidDel="00000000" w:rsidP="00000000" w:rsidRDefault="00000000" w:rsidRPr="00000000" w14:paraId="000001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Prediction errors primarily arise due to </w:t>
      </w:r>
      <w:r w:rsidDel="00000000" w:rsidR="00000000" w:rsidRPr="00000000">
        <w:rPr>
          <w:rFonts w:ascii="Times New Roman" w:cs="Times New Roman" w:eastAsia="Times New Roman" w:hAnsi="Times New Roman"/>
          <w:b w:val="1"/>
          <w:rtl w:val="0"/>
        </w:rPr>
        <w:t xml:space="preserve">dataset inconsistencies</w:t>
      </w:r>
      <w:r w:rsidDel="00000000" w:rsidR="00000000" w:rsidRPr="00000000">
        <w:rPr>
          <w:rFonts w:ascii="Times New Roman" w:cs="Times New Roman" w:eastAsia="Times New Roman" w:hAnsi="Times New Roman"/>
          <w:rtl w:val="0"/>
        </w:rPr>
        <w:t xml:space="preserve">, including- </w:t>
      </w:r>
      <w:r w:rsidDel="00000000" w:rsidR="00000000" w:rsidRPr="00000000">
        <w:rPr>
          <w:rFonts w:ascii="Times New Roman" w:cs="Times New Roman" w:eastAsia="Times New Roman" w:hAnsi="Times New Roman"/>
          <w:b w:val="1"/>
          <w:rtl w:val="0"/>
        </w:rPr>
        <w:t xml:space="preserve">Noisy or missing values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Limited variation in key features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temporal inconsistencies in LSTM training</w:t>
      </w:r>
      <w:r w:rsidDel="00000000" w:rsidR="00000000" w:rsidRPr="00000000">
        <w:rPr>
          <w:rFonts w:ascii="Times New Roman" w:cs="Times New Roman" w:eastAsia="Times New Roman" w:hAnsi="Times New Roman"/>
          <w:rtl w:val="0"/>
        </w:rPr>
        <w:t xml:space="preserve">, leading to instability in predictions.</w:t>
      </w:r>
    </w:p>
    <w:p w:rsidR="00000000" w:rsidDel="00000000" w:rsidP="00000000" w:rsidRDefault="00000000" w:rsidRPr="00000000" w14:paraId="000001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source of errors in the predictive models stems from dataset inconsistencies, including missing values and imbalanced distributions. The high variance in model predictions, especially in Polynomial Regression, suggests that feature selection and preprocessing require further refinement to enhance robustness.</w:t>
      </w:r>
    </w:p>
    <w:p w:rsidR="00000000" w:rsidDel="00000000" w:rsidP="00000000" w:rsidRDefault="00000000" w:rsidRPr="00000000" w14:paraId="00000145">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 Statistical Rigor</w:t>
      </w:r>
    </w:p>
    <w:p w:rsidR="00000000" w:rsidDel="00000000" w:rsidP="00000000" w:rsidRDefault="00000000" w:rsidRPr="00000000" w14:paraId="000001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95% Confidence Intervals</w:t>
      </w:r>
    </w:p>
    <w:tbl>
      <w:tblPr>
        <w:tblStyle w:val="Table5"/>
        <w:tblW w:w="6733.0" w:type="dxa"/>
        <w:jc w:val="left"/>
        <w:tblLayout w:type="fixed"/>
        <w:tblLook w:val="0400"/>
      </w:tblPr>
      <w:tblGrid>
        <w:gridCol w:w="2687"/>
        <w:gridCol w:w="4046"/>
        <w:tblGridChange w:id="0">
          <w:tblGrid>
            <w:gridCol w:w="2687"/>
            <w:gridCol w:w="4046"/>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MSE Confidence Interval (95%)</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(390.32, 437.18)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(172.10, 191.78)</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(52,000.45, 58,442.97)</w:t>
            </w:r>
          </w:p>
        </w:tc>
      </w:tr>
    </w:tbl>
    <w:p w:rsidR="00000000" w:rsidDel="00000000" w:rsidP="00000000" w:rsidRDefault="00000000" w:rsidRPr="00000000" w14:paraId="0000015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ANOVA Test Results</w:t>
      </w:r>
    </w:p>
    <w:tbl>
      <w:tblPr>
        <w:tblStyle w:val="Table6"/>
        <w:tblW w:w="6014.0" w:type="dxa"/>
        <w:jc w:val="left"/>
        <w:tblLayout w:type="fixed"/>
        <w:tblLook w:val="0400"/>
      </w:tblPr>
      <w:tblGrid>
        <w:gridCol w:w="1820"/>
        <w:gridCol w:w="1100"/>
        <w:gridCol w:w="440"/>
        <w:gridCol w:w="980"/>
        <w:gridCol w:w="740"/>
        <w:gridCol w:w="934"/>
        <w:tblGridChange w:id="0">
          <w:tblGrid>
            <w:gridCol w:w="1820"/>
            <w:gridCol w:w="1100"/>
            <w:gridCol w:w="440"/>
            <w:gridCol w:w="980"/>
            <w:gridCol w:w="740"/>
            <w:gridCol w:w="934"/>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 </w:t>
            </w:r>
          </w:p>
          <w:p w:rsidR="00000000" w:rsidDel="00000000" w:rsidP="00000000" w:rsidRDefault="00000000" w:rsidRPr="00000000" w14:paraId="000001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  Variation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P-value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Models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7892.45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3946.23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0.0004</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Models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25148.32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523.92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6">
            <w:pPr>
              <w:ind w:firstLine="720"/>
              <w:jc w:val="both"/>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67">
            <w:pPr>
              <w:ind w:firstLine="72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low p-value (0.0004)</w:t>
      </w:r>
      <w:r w:rsidDel="00000000" w:rsidR="00000000" w:rsidRPr="00000000">
        <w:rPr>
          <w:rFonts w:ascii="Times New Roman" w:cs="Times New Roman" w:eastAsia="Times New Roman" w:hAnsi="Times New Roman"/>
          <w:rtl w:val="0"/>
        </w:rPr>
        <w:t xml:space="preserve"> confirms a statistically significant difference in model performance, justifying the hypothesis that model selection affects accuracy.</w:t>
      </w:r>
    </w:p>
    <w:p w:rsidR="00000000" w:rsidDel="00000000" w:rsidP="00000000" w:rsidRDefault="00000000" w:rsidRPr="00000000" w14:paraId="000001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 Conclusion</w:t>
      </w:r>
    </w:p>
    <w:p w:rsidR="00000000" w:rsidDel="00000000" w:rsidP="00000000" w:rsidRDefault="00000000" w:rsidRPr="00000000" w14:paraId="0000016C">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LSTM achieves the highest predictive accuracy with an R² of 0.9389.</w:t>
      </w:r>
    </w:p>
    <w:p w:rsidR="00000000" w:rsidDel="00000000" w:rsidP="00000000" w:rsidRDefault="00000000" w:rsidRPr="00000000" w14:paraId="0000016D">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 surpasses Random Forest in capturing complex patterns.</w:t>
      </w:r>
    </w:p>
    <w:p w:rsidR="00000000" w:rsidDel="00000000" w:rsidP="00000000" w:rsidRDefault="00000000" w:rsidRPr="00000000" w14:paraId="0000016E">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 and LIME analyses provide interpretability, explaining feature contributions.</w:t>
      </w:r>
    </w:p>
    <w:p w:rsidR="00000000" w:rsidDel="00000000" w:rsidP="00000000" w:rsidRDefault="00000000" w:rsidRPr="00000000" w14:paraId="0000016F">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Statistical validation ensures model robustness.</w:t>
      </w:r>
    </w:p>
    <w:p w:rsidR="00000000" w:rsidDel="00000000" w:rsidP="00000000" w:rsidRDefault="00000000" w:rsidRPr="00000000" w14:paraId="00000170">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should focus on enhancing dataset quality and expanding feature selection to improve predictive modeling.</w:t>
      </w:r>
    </w:p>
    <w:p w:rsidR="00000000" w:rsidDel="00000000" w:rsidP="00000000" w:rsidRDefault="00000000" w:rsidRPr="00000000" w14:paraId="000001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demonstrates the effectiveness of </w:t>
      </w:r>
      <w:r w:rsidDel="00000000" w:rsidR="00000000" w:rsidRPr="00000000">
        <w:rPr>
          <w:rFonts w:ascii="Times New Roman" w:cs="Times New Roman" w:eastAsia="Times New Roman" w:hAnsi="Times New Roman"/>
          <w:b w:val="1"/>
          <w:rtl w:val="0"/>
        </w:rPr>
        <w:t xml:space="preserve">machine learning and ensemble-based techniques</w:t>
      </w:r>
      <w:r w:rsidDel="00000000" w:rsidR="00000000" w:rsidRPr="00000000">
        <w:rPr>
          <w:rFonts w:ascii="Times New Roman" w:cs="Times New Roman" w:eastAsia="Times New Roman" w:hAnsi="Times New Roman"/>
          <w:rtl w:val="0"/>
        </w:rPr>
        <w:t xml:space="preserve"> for forecasting energy trends and optimizing predictive analytics strategies.</w:t>
      </w:r>
    </w:p>
    <w:p w:rsidR="00000000" w:rsidDel="00000000" w:rsidP="00000000" w:rsidRDefault="00000000" w:rsidRPr="00000000" w14:paraId="000001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Discussion</w:t>
      </w:r>
    </w:p>
    <w:p w:rsidR="00000000" w:rsidDel="00000000" w:rsidP="00000000" w:rsidRDefault="00000000" w:rsidRPr="00000000" w14:paraId="00000174">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Hypothesis Alignment</w:t>
      </w:r>
    </w:p>
    <w:p w:rsidR="00000000" w:rsidDel="00000000" w:rsidP="00000000" w:rsidRDefault="00000000" w:rsidRPr="00000000" w14:paraId="000001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research confirm that integrating advanced machine learning techniques with real-time data analytics significantly enhances the accuracy of energy demand predictions, as hypothesized. By employing models such as Long Short-Term Memory (LSTM) networks and ensemble methods like Random Forest and Gradient Boosting, we observed a marked improvement in forecasting performance compared to traditional statistical models. This alignment with our hypothesis underscores the potential of machine learning to address the complexities and nonlinearities inherent in energy consumption patterns, ultimately leading to more reliable predictions (Hochreiter &amp; Schmidhuber, 1997; Chen &amp; Guestrin, 2016).</w:t>
      </w:r>
    </w:p>
    <w:p w:rsidR="00000000" w:rsidDel="00000000" w:rsidP="00000000" w:rsidRDefault="00000000" w:rsidRPr="00000000" w14:paraId="00000176">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Comparative Table</w:t>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rPr>
      </w:pPr>
      <w:r w:rsidDel="00000000" w:rsidR="00000000" w:rsidRPr="00000000">
        <w:rPr>
          <w:rtl w:val="0"/>
        </w:rPr>
      </w:r>
    </w:p>
    <w:tbl>
      <w:tblPr>
        <w:tblStyle w:val="Table7"/>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3495"/>
        <w:gridCol w:w="3900"/>
        <w:tblGridChange w:id="0">
          <w:tblGrid>
            <w:gridCol w:w="1875"/>
            <w:gridCol w:w="3495"/>
            <w:gridCol w:w="3900"/>
          </w:tblGrid>
        </w:tblGridChange>
      </w:tblGrid>
      <w:tr>
        <w:trPr>
          <w:cantSplit w:val="0"/>
          <w:trHeight w:val="540"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 Type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Performance Metric</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7E">
            <w:pPr>
              <w:widowControl w:val="0"/>
              <w:spacing w:after="0" w:line="276" w:lineRule="auto"/>
              <w:ind w:left="-9360" w:right="-936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Improvement Over Prior Models</w:t>
            </w:r>
          </w:p>
        </w:tc>
      </w:tr>
      <w:tr>
        <w:trPr>
          <w:cantSplit w:val="0"/>
          <w:trHeight w:val="540"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Traditional ARIMA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Error (MAE)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25% higher accuracy</w:t>
            </w:r>
          </w:p>
        </w:tc>
      </w:tr>
      <w:tr>
        <w:trPr>
          <w:cantSplit w:val="0"/>
          <w:trHeight w:val="780"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Vector Autoregression (VAR)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Root Mean Square Error (RMSE)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 faster convergence</w:t>
            </w:r>
          </w:p>
        </w:tc>
      </w:tr>
      <w:tr>
        <w:trPr>
          <w:cantSplit w:val="0"/>
          <w:trHeight w:val="780"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LSTM Network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Mean Absolute Percentage Error (MAPE)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40% reduction in forecasting error</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Random Forest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R-squared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35% improvement in predictive power</w:t>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Gradient Boosting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Execution Time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 faster than traditional methods</w:t>
            </w:r>
          </w:p>
        </w:tc>
      </w:tr>
    </w:tbl>
    <w:p w:rsidR="00000000" w:rsidDel="00000000" w:rsidP="00000000" w:rsidRDefault="00000000" w:rsidRPr="00000000" w14:paraId="000001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comparative analysis demonstrates that our proposed hybrid framework not only outperforms traditional models in terms of accuracy but also exhibits faster convergence rates. For instance, the LSTM network achieved a 40% reduction in forecasting error compared to ARIMA, while Random Forest showed a 35% improvement in predictive power over VAR. These enhancements highlight the effectiveness of machine learning in capturing the complexities of energy data (Hyndman &amp; Athanasopoulos, 2018; Liu et al., 2008).</w:t>
      </w:r>
    </w:p>
    <w:p w:rsidR="00000000" w:rsidDel="00000000" w:rsidP="00000000" w:rsidRDefault="00000000" w:rsidRPr="00000000" w14:paraId="00000190">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Implications</w:t>
      </w:r>
    </w:p>
    <w:p w:rsidR="00000000" w:rsidDel="00000000" w:rsidP="00000000" w:rsidRDefault="00000000" w:rsidRPr="00000000" w14:paraId="000001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implications of this research are significant, particularly in enabling real-time adaptation of energy management policies. The ability to accurately forecast energy demand allows for timely interventions that can mitigate potential crises, such as energy shortages or surpluses. For example, improved forecasting can facilitate better flood forecasting and management by predicting energy consumption patterns during extreme weather events (EIA, 2023). This capability not only enhances the resilience of energy systems but also supports the development of adaptive policies that can respond to changing conditions in real time.</w:t>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integration of real-time data sources, including economic indicators and climate variables, empowers policymakers to make informed decisions that align with sustainability goals. By leveraging accurate predictions, energy providers can optimize resource allocation, reduce waste, and ultimately lower costs for consumers (IEA, 2023). This research contributes to the broader discourse on sustainable energy practices, emphasizing the importance of data-driven decision-making in achieving energy resilience.</w:t>
      </w:r>
    </w:p>
    <w:p w:rsidR="00000000" w:rsidDel="00000000" w:rsidP="00000000" w:rsidRDefault="00000000" w:rsidRPr="00000000" w14:paraId="0000019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Limitations</w:t>
      </w:r>
    </w:p>
    <w:p w:rsidR="00000000" w:rsidDel="00000000" w:rsidP="00000000" w:rsidRDefault="00000000" w:rsidRPr="00000000" w14:paraId="0000019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promising results, this research is not without its limitations. The training of advanced machine learning models requires high computational resources, which may pose challenges for implementation in low-resource settings (Sutton &amp; Barto, 2018). Additionally, the reliance on extensive datasets for training and validation can be a barrier, particularly in regions where data availability is limited. While our models demonstrated significant improvements in forecasting accuracy, the effectiveness of these approaches may vary depending on the quality and quantity of the data used. Future research should focus on addressing these limitations by exploring more efficient training methods and enhancing data collection efforts to support the deployment of machine learning in energy forecasting.</w:t>
      </w:r>
    </w:p>
    <w:p w:rsidR="00000000" w:rsidDel="00000000" w:rsidP="00000000" w:rsidRDefault="00000000" w:rsidRPr="00000000" w14:paraId="000001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19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 Sections</w:t>
      </w:r>
    </w:p>
    <w:p w:rsidR="00000000" w:rsidDel="00000000" w:rsidP="00000000" w:rsidRDefault="00000000" w:rsidRPr="00000000" w14:paraId="0000019A">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Data Availability:</w:t>
      </w:r>
    </w:p>
    <w:p w:rsidR="00000000" w:rsidDel="00000000" w:rsidP="00000000" w:rsidRDefault="00000000" w:rsidRPr="00000000" w14:paraId="000001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used in this research is available at the following repository:</w:t>
        <w:br w:type="textWrapping"/>
      </w:r>
      <w:hyperlink r:id="rId26">
        <w:r w:rsidDel="00000000" w:rsidR="00000000" w:rsidRPr="00000000">
          <w:rPr>
            <w:rFonts w:ascii="Times New Roman" w:cs="Times New Roman" w:eastAsia="Times New Roman" w:hAnsi="Times New Roman"/>
            <w:color w:val="0563c1"/>
            <w:u w:val="single"/>
            <w:rtl w:val="0"/>
          </w:rPr>
          <w:t xml:space="preserve">Research Repository on GitHub</w:t>
        </w:r>
      </w:hyperlink>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Code Availability:</w:t>
      </w:r>
    </w:p>
    <w:p w:rsidR="00000000" w:rsidDel="00000000" w:rsidP="00000000" w:rsidRDefault="00000000" w:rsidRPr="00000000" w14:paraId="0000019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open-source code, including Jupyter notebooks for the analysis, can be accessed via the following links:</w:t>
      </w:r>
    </w:p>
    <w:p w:rsidR="00000000" w:rsidDel="00000000" w:rsidP="00000000" w:rsidRDefault="00000000" w:rsidRPr="00000000" w14:paraId="0000019E">
      <w:pPr>
        <w:numPr>
          <w:ilvl w:val="0"/>
          <w:numId w:val="8"/>
        </w:numPr>
        <w:ind w:left="720" w:hanging="360"/>
        <w:jc w:val="both"/>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0563c1"/>
            <w:u w:val="single"/>
            <w:rtl w:val="0"/>
          </w:rPr>
          <w:t xml:space="preserve">Q1: Updated Notebook</w:t>
        </w:r>
      </w:hyperlink>
      <w:r w:rsidDel="00000000" w:rsidR="00000000" w:rsidRPr="00000000">
        <w:rPr>
          <w:rtl w:val="0"/>
        </w:rPr>
      </w:r>
    </w:p>
    <w:p w:rsidR="00000000" w:rsidDel="00000000" w:rsidP="00000000" w:rsidRDefault="00000000" w:rsidRPr="00000000" w14:paraId="0000019F">
      <w:pPr>
        <w:numPr>
          <w:ilvl w:val="0"/>
          <w:numId w:val="8"/>
        </w:numPr>
        <w:ind w:left="720" w:hanging="360"/>
        <w:jc w:val="both"/>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0563c1"/>
            <w:u w:val="single"/>
            <w:rtl w:val="0"/>
          </w:rPr>
          <w:t xml:space="preserve">Q3: Research Notebook</w:t>
        </w:r>
      </w:hyperlink>
      <w:r w:rsidDel="00000000" w:rsidR="00000000" w:rsidRPr="00000000">
        <w:rPr>
          <w:rtl w:val="0"/>
        </w:rPr>
      </w:r>
    </w:p>
    <w:p w:rsidR="00000000" w:rsidDel="00000000" w:rsidP="00000000" w:rsidRDefault="00000000" w:rsidRPr="00000000" w14:paraId="000001A0">
      <w:pPr>
        <w:numPr>
          <w:ilvl w:val="0"/>
          <w:numId w:val="8"/>
        </w:numPr>
        <w:ind w:left="720" w:hanging="360"/>
        <w:jc w:val="both"/>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0563c1"/>
            <w:u w:val="single"/>
            <w:rtl w:val="0"/>
          </w:rPr>
          <w:t xml:space="preserve">Q7: Research Notebook</w:t>
        </w:r>
      </w:hyperlink>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Competing Interests:</w:t>
      </w:r>
    </w:p>
    <w:p w:rsidR="00000000" w:rsidDel="00000000" w:rsidP="00000000" w:rsidRDefault="00000000" w:rsidRPr="00000000" w14:paraId="000001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declare no conflicts of interest.</w:t>
      </w:r>
    </w:p>
    <w:p w:rsidR="00000000" w:rsidDel="00000000" w:rsidP="00000000" w:rsidRDefault="00000000" w:rsidRPr="00000000" w14:paraId="000001A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E">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Supplementary Information (SI)</w:t>
      </w:r>
    </w:p>
    <w:p w:rsidR="00000000" w:rsidDel="00000000" w:rsidP="00000000" w:rsidRDefault="00000000" w:rsidRPr="00000000" w14:paraId="000001AF">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220363</wp:posOffset>
            </wp:positionV>
            <wp:extent cx="5943600" cy="2349500"/>
            <wp:effectExtent b="0" l="0" r="0" t="0"/>
            <wp:wrapSquare wrapText="bothSides" distB="114300" distT="114300" distL="114300" distR="114300"/>
            <wp:docPr id="196377163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2349500"/>
                    </a:xfrm>
                    <a:prstGeom prst="rect"/>
                    <a:ln/>
                  </pic:spPr>
                </pic:pic>
              </a:graphicData>
            </a:graphic>
          </wp:anchor>
        </w:drawing>
      </w:r>
    </w:p>
    <w:p w:rsidR="00000000" w:rsidDel="00000000" w:rsidP="00000000" w:rsidRDefault="00000000" w:rsidRPr="00000000" w14:paraId="000001B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B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Figure-1</w:t>
      </w:r>
    </w:p>
    <w:p w:rsidR="00000000" w:rsidDel="00000000" w:rsidP="00000000" w:rsidRDefault="00000000" w:rsidRPr="00000000" w14:paraId="000001B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analysis of energy dependency across various countries and years in fig-1 reveals significant variations in energy self-sufficiency. By calculating net energy imports as the difference between energy imports and exports and normalizing it against total energy consumption, we identified energy-dependent nations (positive values) and energy-independent (net exporter) nations (negative values). The visualization highlights that countries like Germany exhibit high energy dependency in certain years, whereas nations like Russia, Canada, and China consistently show negative dependency, indicating surplus energy production. Temporal fluctuations suggest shifts in energy policies, production capabilities, and economic factors. Notably, anomalies like Canada’s unusually high dependency in 2013 indicate potential data inconsistencies or exceptional circumstances. These findings underscore the importance of energy diversification and strategic investments in renewable energy to enhance national energy security.</w:t>
      </w:r>
    </w:p>
    <w:p w:rsidR="00000000" w:rsidDel="00000000" w:rsidP="00000000" w:rsidRDefault="00000000" w:rsidRPr="00000000" w14:paraId="000001C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294224</wp:posOffset>
            </wp:positionV>
            <wp:extent cx="5691188" cy="2809112"/>
            <wp:effectExtent b="0" l="0" r="0" t="0"/>
            <wp:wrapSquare wrapText="bothSides" distB="114300" distT="114300" distL="114300" distR="114300"/>
            <wp:docPr id="196377162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91188" cy="2809112"/>
                    </a:xfrm>
                    <a:prstGeom prst="rect"/>
                    <a:ln/>
                  </pic:spPr>
                </pic:pic>
              </a:graphicData>
            </a:graphic>
          </wp:anchor>
        </w:drawing>
      </w:r>
    </w:p>
    <w:p w:rsidR="00000000" w:rsidDel="00000000" w:rsidP="00000000" w:rsidRDefault="00000000" w:rsidRPr="00000000" w14:paraId="000001D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Figure-2</w:t>
      </w:r>
    </w:p>
    <w:p w:rsidR="00000000" w:rsidDel="00000000" w:rsidP="00000000" w:rsidRDefault="00000000" w:rsidRPr="00000000" w14:paraId="000001E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stacked bar chart in fig-2 illustrates the total renewable energy production across various countries, categorized by energy type, including biomass, geothermal, hydro, solar, and wind. The dataset is grouped by country and energy type, summing up the total energy production (in GWh) for each category. The visualization reveals significant variations in renewable energy contributions among nations. China and France exhibit the highest renewable energy production, with a substantial share from hydro and wind power, while countries like Canada and Brazil rely heavily on hydro energy. The balanced distribution of energy sources in some nations, such as Germany and the USA, indicates a diversified renewable energy mix. The findings highlight the importance of renewable energy diversification, with some countries prioritizing certain energy types based on geographic and economic factors. This analysis provides insights into global renewable energy strategies and underscores the need for further investments in underutilized sources such as geothermal and biomass to enhance sustainability.</w:t>
      </w:r>
    </w:p>
    <w:p w:rsidR="00000000" w:rsidDel="00000000" w:rsidP="00000000" w:rsidRDefault="00000000" w:rsidRPr="00000000" w14:paraId="000001E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24513" cy="3722634"/>
            <wp:effectExtent b="0" l="0" r="0" t="0"/>
            <wp:docPr id="196377163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624513" cy="3722634"/>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spacing w:after="0" w:line="276" w:lineRule="auto"/>
        <w:rPr>
          <w:rFonts w:ascii="Arial" w:cs="Arial" w:eastAsia="Arial" w:hAnsi="Arial"/>
          <w:color w:val="cccccc"/>
          <w:sz w:val="21"/>
          <w:szCs w:val="21"/>
          <w:shd w:fill="cccccc" w:val="clear"/>
        </w:rPr>
      </w:pPr>
      <w:r w:rsidDel="00000000" w:rsidR="00000000" w:rsidRPr="00000000">
        <w:rPr>
          <w:rtl w:val="0"/>
        </w:rPr>
      </w:r>
    </w:p>
    <w:p w:rsidR="00000000" w:rsidDel="00000000" w:rsidP="00000000" w:rsidRDefault="00000000" w:rsidRPr="00000000" w14:paraId="000001F1">
      <w:pPr>
        <w:spacing w:after="0" w:line="276" w:lineRule="auto"/>
        <w:jc w:val="center"/>
        <w:rPr>
          <w:rFonts w:ascii="Arial" w:cs="Arial" w:eastAsia="Arial" w:hAnsi="Arial"/>
          <w:sz w:val="21"/>
          <w:szCs w:val="21"/>
        </w:rPr>
      </w:pPr>
      <w:r w:rsidDel="00000000" w:rsidR="00000000" w:rsidRPr="00000000">
        <w:rPr>
          <w:rFonts w:ascii="Arial" w:cs="Arial" w:eastAsia="Arial" w:hAnsi="Arial"/>
          <w:sz w:val="21"/>
          <w:szCs w:val="21"/>
          <w:rtl w:val="0"/>
        </w:rPr>
        <w:t xml:space="preserve">Figure-3</w:t>
      </w:r>
    </w:p>
    <w:p w:rsidR="00000000" w:rsidDel="00000000" w:rsidP="00000000" w:rsidRDefault="00000000" w:rsidRPr="00000000" w14:paraId="000001F2">
      <w:pPr>
        <w:spacing w:after="0" w:line="276" w:lineRule="auto"/>
        <w:rPr>
          <w:rFonts w:ascii="Arial" w:cs="Arial" w:eastAsia="Arial" w:hAnsi="Arial"/>
          <w:sz w:val="21"/>
          <w:szCs w:val="21"/>
        </w:rPr>
      </w:pPr>
      <w:r w:rsidDel="00000000" w:rsidR="00000000" w:rsidRPr="00000000">
        <w:rPr>
          <w:rtl w:val="0"/>
        </w:rPr>
      </w:r>
    </w:p>
    <w:p w:rsidR="00000000" w:rsidDel="00000000" w:rsidP="00000000" w:rsidRDefault="00000000" w:rsidRPr="00000000" w14:paraId="000001F3">
      <w:pPr>
        <w:spacing w:after="0" w:line="276"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This scatter fig-3 plot illustrates the relationship between energy storage utilization (%) and curtailment impact (MW) across different countries. Each bubble represents a country, with its size corresponding to installed energy capacity (MW) and color distinguishing different nations. The majority of data points are clustered near low storage utilization, indicating underuse of energy storage despite varying curtailment impacts. A red dashed line at 20% marks the low storage utilization threshold, while an orange dashed line at 1000 MW highlights high curtailment impact. Notably, some countries with high installed capacity still experience significant curtailment, emphasizing the need for better energy storage optimization.</w:t>
      </w:r>
    </w:p>
    <w:p w:rsidR="00000000" w:rsidDel="00000000" w:rsidP="00000000" w:rsidRDefault="00000000" w:rsidRPr="00000000" w14:paraId="000001F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-909637</wp:posOffset>
            </wp:positionH>
            <wp:positionV relativeFrom="paragraph">
              <wp:posOffset>114300</wp:posOffset>
            </wp:positionV>
            <wp:extent cx="7758113" cy="3275648"/>
            <wp:effectExtent b="0" l="0" r="0" t="0"/>
            <wp:wrapSquare wrapText="bothSides" distB="114300" distT="114300" distL="114300" distR="114300"/>
            <wp:docPr id="1963771641"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7758113" cy="3275648"/>
                    </a:xfrm>
                    <a:prstGeom prst="rect"/>
                    <a:ln/>
                  </pic:spPr>
                </pic:pic>
              </a:graphicData>
            </a:graphic>
          </wp:anchor>
        </w:drawing>
      </w:r>
    </w:p>
    <w:p w:rsidR="00000000" w:rsidDel="00000000" w:rsidP="00000000" w:rsidRDefault="00000000" w:rsidRPr="00000000" w14:paraId="000001FA">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Figure-4</w:t>
      </w:r>
    </w:p>
    <w:p w:rsidR="00000000" w:rsidDel="00000000" w:rsidP="00000000" w:rsidRDefault="00000000" w:rsidRPr="00000000" w14:paraId="000001FB">
      <w:pPr>
        <w:pStyle w:val="Heading3"/>
        <w:keepNext w:val="0"/>
        <w:keepLines w:val="0"/>
        <w:spacing w:before="280" w:line="276" w:lineRule="auto"/>
        <w:rPr>
          <w:rFonts w:ascii="Arial" w:cs="Arial" w:eastAsia="Arial" w:hAnsi="Arial"/>
          <w:b w:val="1"/>
          <w:color w:val="000000"/>
          <w:sz w:val="26"/>
          <w:szCs w:val="26"/>
        </w:rPr>
      </w:pPr>
      <w:bookmarkStart w:colFirst="0" w:colLast="0" w:name="_heading=h.9whlywpk7xg" w:id="0"/>
      <w:bookmarkEnd w:id="0"/>
      <w:r w:rsidDel="00000000" w:rsidR="00000000" w:rsidRPr="00000000">
        <w:rPr>
          <w:rFonts w:ascii="Arial" w:cs="Arial" w:eastAsia="Arial" w:hAnsi="Arial"/>
          <w:b w:val="1"/>
          <w:color w:val="000000"/>
          <w:sz w:val="26"/>
          <w:szCs w:val="26"/>
          <w:rtl w:val="0"/>
        </w:rPr>
        <w:t xml:space="preserve">Trends in Investments and R&amp;D Expenditure in Renewable Energy</w:t>
      </w:r>
    </w:p>
    <w:p w:rsidR="00000000" w:rsidDel="00000000" w:rsidP="00000000" w:rsidRDefault="00000000" w:rsidRPr="00000000" w14:paraId="000001FC">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analysis according to fig-4 explores the temporal trends in investments and research &amp; development (R&amp;D) expenditure in the renewable energy sector. A time-series analysis was conducted to investigate the correlation between financial investments and technological advancements over the years.</w:t>
      </w:r>
    </w:p>
    <w:p w:rsidR="00000000" w:rsidDel="00000000" w:rsidP="00000000" w:rsidRDefault="00000000" w:rsidRPr="00000000" w14:paraId="000001FD">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dataset consists of global energy data categorized by country, energy type, production capacity, financial investments, and grid integration capability. The study aggregated annual investments (USD) and R&amp;D expenditures to evaluate long-term patterns. Figure [X] presents the trends in total investments and R&amp;D expenditure over time, indicating periodic fluctuations. The findings reveal a cyclical nature of investment trends, characterized by sharp increases followed by sudden declines.</w:t>
      </w:r>
    </w:p>
    <w:p w:rsidR="00000000" w:rsidDel="00000000" w:rsidP="00000000" w:rsidRDefault="00000000" w:rsidRPr="00000000" w14:paraId="000001FE">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Further analysis of energy types revealed that hydro and wind energy receive higher investments, whereas geothermal and biomass remain underfunded despite their technical potential. This disparity suggests the need for policy interventions to balance investments across various renewable sources to ensure diversified energy security.</w:t>
      </w:r>
    </w:p>
    <w:p w:rsidR="00000000" w:rsidDel="00000000" w:rsidP="00000000" w:rsidRDefault="00000000" w:rsidRPr="00000000" w14:paraId="000001FF">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conclusion, the study underscores the importance of sustained investments in renewable energy R&amp;D to drive innovation, improve grid integration, and enhance long-term energy sustainability. The insights from this study can inform policymakers and industry stakeholders on strategic investment decisions to accelerate the transition towards renewable energy.</w:t>
      </w:r>
    </w:p>
    <w:p w:rsidR="00000000" w:rsidDel="00000000" w:rsidP="00000000" w:rsidRDefault="00000000" w:rsidRPr="00000000" w14:paraId="00000200">
      <w:pPr>
        <w:spacing w:after="240" w:before="240" w:line="276" w:lineRule="auto"/>
        <w:rPr>
          <w:rFonts w:ascii="Arial" w:cs="Arial" w:eastAsia="Arial" w:hAnsi="Arial"/>
          <w:b w:val="1"/>
          <w:sz w:val="26"/>
          <w:szCs w:val="26"/>
        </w:rPr>
      </w:pPr>
      <w:r w:rsidDel="00000000" w:rsidR="00000000" w:rsidRPr="00000000">
        <w:rPr>
          <w:rFonts w:ascii="Arial" w:cs="Arial" w:eastAsia="Arial" w:hAnsi="Arial"/>
          <w:sz w:val="20"/>
          <w:szCs w:val="20"/>
        </w:rPr>
        <w:drawing>
          <wp:inline distB="114300" distT="114300" distL="114300" distR="114300">
            <wp:extent cx="5895975" cy="2933700"/>
            <wp:effectExtent b="0" l="0" r="0" t="0"/>
            <wp:docPr id="1963771649" name="image24.png"/>
            <a:graphic>
              <a:graphicData uri="http://schemas.openxmlformats.org/drawingml/2006/picture">
                <pic:pic>
                  <pic:nvPicPr>
                    <pic:cNvPr id="0" name="image24.png"/>
                    <pic:cNvPicPr preferRelativeResize="0"/>
                  </pic:nvPicPr>
                  <pic:blipFill>
                    <a:blip r:embed="rId34"/>
                    <a:srcRect b="0" l="801"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Heading3"/>
        <w:keepNext w:val="0"/>
        <w:keepLines w:val="0"/>
        <w:spacing w:before="280" w:line="276" w:lineRule="auto"/>
        <w:jc w:val="center"/>
        <w:rPr>
          <w:rFonts w:ascii="Arial" w:cs="Arial" w:eastAsia="Arial" w:hAnsi="Arial"/>
          <w:color w:val="000000"/>
          <w:sz w:val="22"/>
          <w:szCs w:val="22"/>
        </w:rPr>
      </w:pPr>
      <w:bookmarkStart w:colFirst="0" w:colLast="0" w:name="_heading=h.rlb1umvou3n6" w:id="1"/>
      <w:bookmarkEnd w:id="1"/>
      <w:r w:rsidDel="00000000" w:rsidR="00000000" w:rsidRPr="00000000">
        <w:rPr>
          <w:rFonts w:ascii="Arial" w:cs="Arial" w:eastAsia="Arial" w:hAnsi="Arial"/>
          <w:color w:val="000000"/>
          <w:sz w:val="22"/>
          <w:szCs w:val="22"/>
          <w:rtl w:val="0"/>
        </w:rPr>
        <w:t xml:space="preserve">Figure-5</w:t>
      </w:r>
    </w:p>
    <w:p w:rsidR="00000000" w:rsidDel="00000000" w:rsidP="00000000" w:rsidRDefault="00000000" w:rsidRPr="00000000" w14:paraId="00000202">
      <w:pPr>
        <w:spacing w:after="240" w:before="240" w:line="276" w:lineRule="auto"/>
        <w:rPr>
          <w:rFonts w:ascii="Arial" w:cs="Arial" w:eastAsia="Arial" w:hAnsi="Arial"/>
          <w:b w:val="1"/>
          <w:sz w:val="26"/>
          <w:szCs w:val="26"/>
        </w:rPr>
      </w:pPr>
      <w:r w:rsidDel="00000000" w:rsidR="00000000" w:rsidRPr="00000000">
        <w:rPr>
          <w:rFonts w:ascii="Arial" w:cs="Arial" w:eastAsia="Arial" w:hAnsi="Arial"/>
          <w:sz w:val="20"/>
          <w:szCs w:val="20"/>
          <w:rtl w:val="0"/>
        </w:rPr>
        <w:t xml:space="preserve">The line chart in fig-5 illustrates the trends in Energy Efficiency Scores (EES) over time for three categories of countries: 1st World (developed), 2nd World (developing), and 3rd World (underdeveloped). It reveals how energy efficiency has fluctuated in different economic contexts. Developed countries initially show significant variability, with dramatic peaks and declines, potentially reflecting shifts in energy policies, technologies, or economic factors. In contrast, underdeveloped and developing countries display more stable trends with gradual changes, indicating slower adoption of energy-efficient practices or limited access to advanced technologies. Comparing these trajectories highlights disparities in energy efficiency progress, which may point to inefficiencies in resource utilization or barriers to sustainable energy transitions. Such analysis is critical for identifying regions needing targeted interventions to improve efficiency and mitigate energy crises.</w:t>
      </w:r>
      <w:r w:rsidDel="00000000" w:rsidR="00000000" w:rsidRPr="00000000">
        <w:rPr>
          <w:rtl w:val="0"/>
        </w:rPr>
      </w:r>
    </w:p>
    <w:p w:rsidR="00000000" w:rsidDel="00000000" w:rsidP="00000000" w:rsidRDefault="00000000" w:rsidRPr="00000000" w14:paraId="00000203">
      <w:pPr>
        <w:pStyle w:val="Heading3"/>
        <w:keepNext w:val="0"/>
        <w:keepLines w:val="0"/>
        <w:spacing w:before="280" w:line="276" w:lineRule="auto"/>
        <w:rPr>
          <w:rFonts w:ascii="Arial" w:cs="Arial" w:eastAsia="Arial" w:hAnsi="Arial"/>
          <w:b w:val="1"/>
          <w:color w:val="000000"/>
          <w:sz w:val="26"/>
          <w:szCs w:val="26"/>
        </w:rPr>
      </w:pPr>
      <w:bookmarkStart w:colFirst="0" w:colLast="0" w:name="_heading=h.n7on97pxtjn2" w:id="2"/>
      <w:bookmarkEnd w:id="2"/>
      <w:r w:rsidDel="00000000" w:rsidR="00000000" w:rsidRPr="00000000">
        <w:rPr>
          <w:rtl w:val="0"/>
        </w:rPr>
      </w:r>
    </w:p>
    <w:p w:rsidR="00000000" w:rsidDel="00000000" w:rsidP="00000000" w:rsidRDefault="00000000" w:rsidRPr="00000000" w14:paraId="00000204">
      <w:pPr>
        <w:pStyle w:val="Heading3"/>
        <w:keepNext w:val="0"/>
        <w:keepLines w:val="0"/>
        <w:spacing w:before="280" w:line="276" w:lineRule="auto"/>
        <w:rPr>
          <w:rFonts w:ascii="Arial" w:cs="Arial" w:eastAsia="Arial" w:hAnsi="Arial"/>
          <w:b w:val="1"/>
          <w:color w:val="000000"/>
          <w:sz w:val="26"/>
          <w:szCs w:val="26"/>
        </w:rPr>
      </w:pPr>
      <w:bookmarkStart w:colFirst="0" w:colLast="0" w:name="_heading=h.4p0ivo3nh3x3" w:id="3"/>
      <w:bookmarkEnd w:id="3"/>
      <w:r w:rsidDel="00000000" w:rsidR="00000000" w:rsidRPr="00000000">
        <w:rPr>
          <w:rtl w:val="0"/>
        </w:rPr>
      </w:r>
    </w:p>
    <w:p w:rsidR="00000000" w:rsidDel="00000000" w:rsidP="00000000" w:rsidRDefault="00000000" w:rsidRPr="00000000" w14:paraId="00000205">
      <w:pPr>
        <w:pStyle w:val="Heading3"/>
        <w:keepNext w:val="0"/>
        <w:keepLines w:val="0"/>
        <w:spacing w:before="280" w:line="276" w:lineRule="auto"/>
        <w:rPr>
          <w:rFonts w:ascii="Arial" w:cs="Arial" w:eastAsia="Arial" w:hAnsi="Arial"/>
          <w:b w:val="1"/>
          <w:color w:val="000000"/>
          <w:sz w:val="26"/>
          <w:szCs w:val="26"/>
        </w:rPr>
      </w:pPr>
      <w:bookmarkStart w:colFirst="0" w:colLast="0" w:name="_heading=h.rqi044uid4yd" w:id="4"/>
      <w:bookmarkEnd w:id="4"/>
      <w:r w:rsidDel="00000000" w:rsidR="00000000" w:rsidRPr="00000000">
        <w:rPr>
          <w:rtl w:val="0"/>
        </w:rPr>
      </w:r>
    </w:p>
    <w:p w:rsidR="00000000" w:rsidDel="00000000" w:rsidP="00000000" w:rsidRDefault="00000000" w:rsidRPr="00000000" w14:paraId="00000206">
      <w:pPr>
        <w:pStyle w:val="Heading3"/>
        <w:keepNext w:val="0"/>
        <w:keepLines w:val="0"/>
        <w:spacing w:before="280" w:line="276" w:lineRule="auto"/>
        <w:rPr>
          <w:rFonts w:ascii="Arial" w:cs="Arial" w:eastAsia="Arial" w:hAnsi="Arial"/>
          <w:b w:val="1"/>
          <w:color w:val="000000"/>
          <w:sz w:val="26"/>
          <w:szCs w:val="26"/>
        </w:rPr>
      </w:pPr>
      <w:bookmarkStart w:colFirst="0" w:colLast="0" w:name="_heading=h.39u1qzny2sj4" w:id="5"/>
      <w:bookmarkEnd w:id="5"/>
      <w:r w:rsidDel="00000000" w:rsidR="00000000" w:rsidRPr="00000000">
        <w:rPr>
          <w:rtl w:val="0"/>
        </w:rPr>
      </w:r>
    </w:p>
    <w:p w:rsidR="00000000" w:rsidDel="00000000" w:rsidP="00000000" w:rsidRDefault="00000000" w:rsidRPr="00000000" w14:paraId="00000207">
      <w:pPr>
        <w:pStyle w:val="Heading3"/>
        <w:keepNext w:val="0"/>
        <w:keepLines w:val="0"/>
        <w:spacing w:before="280" w:line="276" w:lineRule="auto"/>
        <w:rPr>
          <w:rFonts w:ascii="Arial" w:cs="Arial" w:eastAsia="Arial" w:hAnsi="Arial"/>
          <w:b w:val="1"/>
          <w:color w:val="000000"/>
          <w:sz w:val="26"/>
          <w:szCs w:val="26"/>
        </w:rPr>
      </w:pPr>
      <w:bookmarkStart w:colFirst="0" w:colLast="0" w:name="_heading=h.yr94r8mxzzt9" w:id="6"/>
      <w:bookmarkEnd w:id="6"/>
      <w:r w:rsidDel="00000000" w:rsidR="00000000" w:rsidRPr="00000000">
        <w:rPr>
          <w:rtl w:val="0"/>
        </w:rPr>
      </w:r>
    </w:p>
    <w:p w:rsidR="00000000" w:rsidDel="00000000" w:rsidP="00000000" w:rsidRDefault="00000000" w:rsidRPr="00000000" w14:paraId="00000208">
      <w:pPr>
        <w:pStyle w:val="Heading3"/>
        <w:keepNext w:val="0"/>
        <w:keepLines w:val="0"/>
        <w:spacing w:before="280" w:line="276" w:lineRule="auto"/>
        <w:rPr>
          <w:rFonts w:ascii="Arial" w:cs="Arial" w:eastAsia="Arial" w:hAnsi="Arial"/>
          <w:b w:val="1"/>
          <w:color w:val="000000"/>
          <w:sz w:val="26"/>
          <w:szCs w:val="26"/>
        </w:rPr>
      </w:pPr>
      <w:bookmarkStart w:colFirst="0" w:colLast="0" w:name="_heading=h.dt8pkjq07adl" w:id="7"/>
      <w:bookmarkEnd w:id="7"/>
      <w:r w:rsidDel="00000000" w:rsidR="00000000" w:rsidRPr="00000000">
        <w:rPr>
          <w:rtl w:val="0"/>
        </w:rPr>
      </w:r>
    </w:p>
    <w:p w:rsidR="00000000" w:rsidDel="00000000" w:rsidP="00000000" w:rsidRDefault="00000000" w:rsidRPr="00000000" w14:paraId="00000209">
      <w:pPr>
        <w:pStyle w:val="Heading3"/>
        <w:keepNext w:val="0"/>
        <w:keepLines w:val="0"/>
        <w:spacing w:before="280" w:line="276" w:lineRule="auto"/>
        <w:rPr>
          <w:rFonts w:ascii="Arial" w:cs="Arial" w:eastAsia="Arial" w:hAnsi="Arial"/>
          <w:b w:val="1"/>
          <w:color w:val="000000"/>
          <w:sz w:val="26"/>
          <w:szCs w:val="26"/>
        </w:rPr>
      </w:pPr>
      <w:bookmarkStart w:colFirst="0" w:colLast="0" w:name="_heading=h.7w0f4471f21d" w:id="8"/>
      <w:bookmarkEnd w:id="8"/>
      <w:r w:rsidDel="00000000" w:rsidR="00000000" w:rsidRPr="00000000">
        <w:rPr>
          <w:rtl w:val="0"/>
        </w:rPr>
      </w:r>
    </w:p>
    <w:p w:rsidR="00000000" w:rsidDel="00000000" w:rsidP="00000000" w:rsidRDefault="00000000" w:rsidRPr="00000000" w14:paraId="0000020A">
      <w:pPr>
        <w:pStyle w:val="Heading3"/>
        <w:keepNext w:val="0"/>
        <w:keepLines w:val="0"/>
        <w:spacing w:before="280" w:line="276" w:lineRule="auto"/>
        <w:rPr>
          <w:rFonts w:ascii="Arial" w:cs="Arial" w:eastAsia="Arial" w:hAnsi="Arial"/>
          <w:b w:val="1"/>
          <w:color w:val="000000"/>
          <w:sz w:val="26"/>
          <w:szCs w:val="26"/>
        </w:rPr>
      </w:pPr>
      <w:bookmarkStart w:colFirst="0" w:colLast="0" w:name="_heading=h.o1qwh1sqbmlx" w:id="9"/>
      <w:bookmarkEnd w:id="9"/>
      <w:r w:rsidDel="00000000" w:rsidR="00000000" w:rsidRPr="00000000">
        <w:rPr>
          <w:rtl w:val="0"/>
        </w:rPr>
      </w:r>
    </w:p>
    <w:p w:rsidR="00000000" w:rsidDel="00000000" w:rsidP="00000000" w:rsidRDefault="00000000" w:rsidRPr="00000000" w14:paraId="0000020B">
      <w:pPr>
        <w:pStyle w:val="Heading3"/>
        <w:keepNext w:val="0"/>
        <w:keepLines w:val="0"/>
        <w:spacing w:before="280" w:line="276" w:lineRule="auto"/>
        <w:rPr>
          <w:rFonts w:ascii="Arial" w:cs="Arial" w:eastAsia="Arial" w:hAnsi="Arial"/>
          <w:b w:val="1"/>
          <w:color w:val="000000"/>
          <w:sz w:val="26"/>
          <w:szCs w:val="26"/>
        </w:rPr>
      </w:pPr>
      <w:bookmarkStart w:colFirst="0" w:colLast="0" w:name="_heading=h.92mrz9u208ad" w:id="10"/>
      <w:bookmarkEnd w:id="10"/>
      <w:r w:rsidDel="00000000" w:rsidR="00000000" w:rsidRPr="00000000">
        <w:rPr>
          <w:rtl w:val="0"/>
        </w:rPr>
      </w:r>
    </w:p>
    <w:p w:rsidR="00000000" w:rsidDel="00000000" w:rsidP="00000000" w:rsidRDefault="00000000" w:rsidRPr="00000000" w14:paraId="0000020C">
      <w:pPr>
        <w:pStyle w:val="Heading3"/>
        <w:keepNext w:val="0"/>
        <w:keepLines w:val="0"/>
        <w:spacing w:before="280" w:line="276" w:lineRule="auto"/>
        <w:rPr>
          <w:rFonts w:ascii="Arial" w:cs="Arial" w:eastAsia="Arial" w:hAnsi="Arial"/>
          <w:b w:val="1"/>
          <w:color w:val="000000"/>
          <w:sz w:val="26"/>
          <w:szCs w:val="26"/>
        </w:rPr>
      </w:pPr>
      <w:bookmarkStart w:colFirst="0" w:colLast="0" w:name="_heading=h.gzz0u25u8p3u" w:id="11"/>
      <w:bookmarkEnd w:id="11"/>
      <w:r w:rsidDel="00000000" w:rsidR="00000000" w:rsidRPr="00000000">
        <w:rPr>
          <w:rtl w:val="0"/>
        </w:rPr>
      </w:r>
    </w:p>
    <w:p w:rsidR="00000000" w:rsidDel="00000000" w:rsidP="00000000" w:rsidRDefault="00000000" w:rsidRPr="00000000" w14:paraId="0000020D">
      <w:pPr>
        <w:spacing w:after="240" w:before="240" w:line="276" w:lineRule="auto"/>
        <w:rPr>
          <w:rFonts w:ascii="Arial" w:cs="Arial" w:eastAsia="Arial" w:hAnsi="Arial"/>
          <w:b w:val="1"/>
          <w:sz w:val="26"/>
          <w:szCs w:val="26"/>
        </w:rPr>
      </w:pPr>
      <w:r w:rsidDel="00000000" w:rsidR="00000000" w:rsidRPr="00000000">
        <w:rPr>
          <w:rFonts w:ascii="Arial" w:cs="Arial" w:eastAsia="Arial" w:hAnsi="Arial"/>
          <w:sz w:val="20"/>
          <w:szCs w:val="20"/>
        </w:rPr>
        <w:drawing>
          <wp:inline distB="114300" distT="114300" distL="114300" distR="114300">
            <wp:extent cx="5895975" cy="2933700"/>
            <wp:effectExtent b="0" l="0" r="0" t="0"/>
            <wp:docPr id="1963771627" name="image22.png"/>
            <a:graphic>
              <a:graphicData uri="http://schemas.openxmlformats.org/drawingml/2006/picture">
                <pic:pic>
                  <pic:nvPicPr>
                    <pic:cNvPr id="0" name="image22.png"/>
                    <pic:cNvPicPr preferRelativeResize="0"/>
                  </pic:nvPicPr>
                  <pic:blipFill>
                    <a:blip r:embed="rId35"/>
                    <a:srcRect b="0" l="801"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Style w:val="Heading3"/>
        <w:keepNext w:val="0"/>
        <w:keepLines w:val="0"/>
        <w:spacing w:before="280" w:line="276" w:lineRule="auto"/>
        <w:jc w:val="center"/>
        <w:rPr>
          <w:rFonts w:ascii="Arial" w:cs="Arial" w:eastAsia="Arial" w:hAnsi="Arial"/>
          <w:color w:val="000000"/>
          <w:sz w:val="22"/>
          <w:szCs w:val="22"/>
        </w:rPr>
      </w:pPr>
      <w:bookmarkStart w:colFirst="0" w:colLast="0" w:name="_heading=h.358s6f36m700" w:id="12"/>
      <w:bookmarkEnd w:id="12"/>
      <w:r w:rsidDel="00000000" w:rsidR="00000000" w:rsidRPr="00000000">
        <w:rPr>
          <w:rFonts w:ascii="Arial" w:cs="Arial" w:eastAsia="Arial" w:hAnsi="Arial"/>
          <w:color w:val="000000"/>
          <w:sz w:val="22"/>
          <w:szCs w:val="22"/>
          <w:rtl w:val="0"/>
        </w:rPr>
        <w:t xml:space="preserve">Figure-6</w:t>
      </w:r>
    </w:p>
    <w:p w:rsidR="00000000" w:rsidDel="00000000" w:rsidP="00000000" w:rsidRDefault="00000000" w:rsidRPr="00000000" w14:paraId="0000020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0">
      <w:pPr>
        <w:spacing w:after="240" w:before="240" w:line="276" w:lineRule="auto"/>
        <w:rPr>
          <w:rFonts w:ascii="Arial" w:cs="Arial" w:eastAsia="Arial" w:hAnsi="Arial"/>
          <w:sz w:val="22"/>
          <w:szCs w:val="22"/>
        </w:rPr>
      </w:pPr>
      <w:r w:rsidDel="00000000" w:rsidR="00000000" w:rsidRPr="00000000">
        <w:rPr>
          <w:rFonts w:ascii="Arial" w:cs="Arial" w:eastAsia="Arial" w:hAnsi="Arial"/>
          <w:sz w:val="20"/>
          <w:szCs w:val="20"/>
          <w:rtl w:val="0"/>
        </w:rPr>
        <w:t xml:space="preserve">The line plot in fig-6 illustrates the trends in catastrophe scores over time across three country categories: 1st World, 2nd World, and 3rd World. It highlights distinct differences in resilience and management of catastrophe impacts. The 1st World countries display relatively stable and higher mean scores, indicating consistent capacity to manage and mitigate catastrophe effects. In contrast, 2nd and 3rd World countries show greater fluctuations, suggesting varied levels of preparedness and recovery strategies. The 3rd World category exhibits a narrower range compared to the 2nd World, implying some stabilization over time but still remaining below the performance of 1st World nations. This visualization supports the narrative that developed nations sustain resilience, while developing and underdeveloped regions face growing or inconsistent challenges in catastrophe management.</w:t>
      </w:r>
      <w:r w:rsidDel="00000000" w:rsidR="00000000" w:rsidRPr="00000000">
        <w:rPr>
          <w:rtl w:val="0"/>
        </w:rPr>
      </w:r>
    </w:p>
    <w:p w:rsidR="00000000" w:rsidDel="00000000" w:rsidP="00000000" w:rsidRDefault="00000000" w:rsidRPr="00000000" w14:paraId="00000211">
      <w:pPr>
        <w:pStyle w:val="Heading3"/>
        <w:keepNext w:val="0"/>
        <w:keepLines w:val="0"/>
        <w:spacing w:before="280" w:line="276" w:lineRule="auto"/>
        <w:rPr>
          <w:rFonts w:ascii="Arial" w:cs="Arial" w:eastAsia="Arial" w:hAnsi="Arial"/>
          <w:b w:val="1"/>
          <w:color w:val="000000"/>
          <w:sz w:val="26"/>
          <w:szCs w:val="26"/>
        </w:rPr>
      </w:pPr>
      <w:bookmarkStart w:colFirst="0" w:colLast="0" w:name="_heading=h.sha2b58ts5vz" w:id="13"/>
      <w:bookmarkEnd w:id="13"/>
      <w:r w:rsidDel="00000000" w:rsidR="00000000" w:rsidRPr="00000000">
        <w:rPr>
          <w:rtl w:val="0"/>
        </w:rPr>
      </w:r>
    </w:p>
    <w:p w:rsidR="00000000" w:rsidDel="00000000" w:rsidP="00000000" w:rsidRDefault="00000000" w:rsidRPr="00000000" w14:paraId="00000212">
      <w:pPr>
        <w:pStyle w:val="Heading3"/>
        <w:keepNext w:val="0"/>
        <w:keepLines w:val="0"/>
        <w:spacing w:before="280" w:line="276" w:lineRule="auto"/>
        <w:rPr>
          <w:rFonts w:ascii="Arial" w:cs="Arial" w:eastAsia="Arial" w:hAnsi="Arial"/>
          <w:b w:val="1"/>
          <w:color w:val="000000"/>
          <w:sz w:val="26"/>
          <w:szCs w:val="26"/>
        </w:rPr>
      </w:pPr>
      <w:bookmarkStart w:colFirst="0" w:colLast="0" w:name="_heading=h.v8kfmj8sl928" w:id="14"/>
      <w:bookmarkEnd w:id="14"/>
      <w:r w:rsidDel="00000000" w:rsidR="00000000" w:rsidRPr="00000000">
        <w:rPr>
          <w:rtl w:val="0"/>
        </w:rPr>
      </w:r>
    </w:p>
    <w:p w:rsidR="00000000" w:rsidDel="00000000" w:rsidP="00000000" w:rsidRDefault="00000000" w:rsidRPr="00000000" w14:paraId="00000213">
      <w:pPr>
        <w:pStyle w:val="Heading3"/>
        <w:keepNext w:val="0"/>
        <w:keepLines w:val="0"/>
        <w:spacing w:before="280" w:line="276" w:lineRule="auto"/>
        <w:rPr>
          <w:rFonts w:ascii="Arial" w:cs="Arial" w:eastAsia="Arial" w:hAnsi="Arial"/>
          <w:b w:val="1"/>
          <w:color w:val="000000"/>
          <w:sz w:val="26"/>
          <w:szCs w:val="26"/>
        </w:rPr>
      </w:pPr>
      <w:bookmarkStart w:colFirst="0" w:colLast="0" w:name="_heading=h.oz2y0wvq7jgb" w:id="15"/>
      <w:bookmarkEnd w:id="15"/>
      <w:r w:rsidDel="00000000" w:rsidR="00000000" w:rsidRPr="00000000">
        <w:rPr>
          <w:rtl w:val="0"/>
        </w:rPr>
      </w:r>
    </w:p>
    <w:p w:rsidR="00000000" w:rsidDel="00000000" w:rsidP="00000000" w:rsidRDefault="00000000" w:rsidRPr="00000000" w14:paraId="00000214">
      <w:pPr>
        <w:pStyle w:val="Heading3"/>
        <w:keepNext w:val="0"/>
        <w:keepLines w:val="0"/>
        <w:spacing w:before="280" w:line="276" w:lineRule="auto"/>
        <w:rPr>
          <w:rFonts w:ascii="Arial" w:cs="Arial" w:eastAsia="Arial" w:hAnsi="Arial"/>
          <w:b w:val="1"/>
          <w:color w:val="000000"/>
          <w:sz w:val="26"/>
          <w:szCs w:val="26"/>
        </w:rPr>
      </w:pPr>
      <w:bookmarkStart w:colFirst="0" w:colLast="0" w:name="_heading=h.7lq8gpmmp3ml" w:id="16"/>
      <w:bookmarkEnd w:id="16"/>
      <w:r w:rsidDel="00000000" w:rsidR="00000000" w:rsidRPr="00000000">
        <w:rPr>
          <w:rtl w:val="0"/>
        </w:rPr>
      </w:r>
    </w:p>
    <w:p w:rsidR="00000000" w:rsidDel="00000000" w:rsidP="00000000" w:rsidRDefault="00000000" w:rsidRPr="00000000" w14:paraId="00000215">
      <w:pPr>
        <w:pStyle w:val="Heading3"/>
        <w:keepNext w:val="0"/>
        <w:keepLines w:val="0"/>
        <w:spacing w:before="280" w:line="276" w:lineRule="auto"/>
        <w:rPr>
          <w:rFonts w:ascii="Arial" w:cs="Arial" w:eastAsia="Arial" w:hAnsi="Arial"/>
          <w:b w:val="1"/>
          <w:color w:val="000000"/>
          <w:sz w:val="26"/>
          <w:szCs w:val="26"/>
        </w:rPr>
      </w:pPr>
      <w:bookmarkStart w:colFirst="0" w:colLast="0" w:name="_heading=h.zc6iwjn1iwkr" w:id="17"/>
      <w:bookmarkEnd w:id="17"/>
      <w:r w:rsidDel="00000000" w:rsidR="00000000" w:rsidRPr="00000000">
        <w:rPr>
          <w:rtl w:val="0"/>
        </w:rPr>
      </w:r>
    </w:p>
    <w:p w:rsidR="00000000" w:rsidDel="00000000" w:rsidP="00000000" w:rsidRDefault="00000000" w:rsidRPr="00000000" w14:paraId="00000216">
      <w:pPr>
        <w:spacing w:after="240" w:before="240" w:line="276" w:lineRule="auto"/>
        <w:rPr>
          <w:rFonts w:ascii="Arial" w:cs="Arial" w:eastAsia="Arial" w:hAnsi="Arial"/>
          <w:b w:val="1"/>
          <w:sz w:val="26"/>
          <w:szCs w:val="26"/>
        </w:rPr>
      </w:pPr>
      <w:r w:rsidDel="00000000" w:rsidR="00000000" w:rsidRPr="00000000">
        <w:rPr>
          <w:rFonts w:ascii="Arial" w:cs="Arial" w:eastAsia="Arial" w:hAnsi="Arial"/>
          <w:sz w:val="20"/>
          <w:szCs w:val="20"/>
        </w:rPr>
        <w:drawing>
          <wp:inline distB="114300" distT="114300" distL="114300" distR="114300">
            <wp:extent cx="5943600" cy="4711700"/>
            <wp:effectExtent b="0" l="0" r="0" t="0"/>
            <wp:docPr id="196377163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3"/>
        <w:keepNext w:val="0"/>
        <w:keepLines w:val="0"/>
        <w:spacing w:before="280" w:line="276" w:lineRule="auto"/>
        <w:jc w:val="center"/>
        <w:rPr>
          <w:rFonts w:ascii="Arial" w:cs="Arial" w:eastAsia="Arial" w:hAnsi="Arial"/>
          <w:color w:val="000000"/>
          <w:sz w:val="22"/>
          <w:szCs w:val="22"/>
        </w:rPr>
      </w:pPr>
      <w:bookmarkStart w:colFirst="0" w:colLast="0" w:name="_heading=h.a2n4vikxhof0" w:id="18"/>
      <w:bookmarkEnd w:id="18"/>
      <w:r w:rsidDel="00000000" w:rsidR="00000000" w:rsidRPr="00000000">
        <w:rPr>
          <w:rFonts w:ascii="Arial" w:cs="Arial" w:eastAsia="Arial" w:hAnsi="Arial"/>
          <w:color w:val="000000"/>
          <w:sz w:val="22"/>
          <w:szCs w:val="22"/>
          <w:rtl w:val="0"/>
        </w:rPr>
        <w:t xml:space="preserve">Figure-7</w:t>
      </w:r>
    </w:p>
    <w:p w:rsidR="00000000" w:rsidDel="00000000" w:rsidP="00000000" w:rsidRDefault="00000000" w:rsidRPr="00000000" w14:paraId="00000218">
      <w:pPr>
        <w:pStyle w:val="Heading3"/>
        <w:keepNext w:val="0"/>
        <w:keepLines w:val="0"/>
        <w:spacing w:before="280" w:line="276" w:lineRule="auto"/>
        <w:rPr>
          <w:rFonts w:ascii="Arial" w:cs="Arial" w:eastAsia="Arial" w:hAnsi="Arial"/>
          <w:b w:val="1"/>
          <w:color w:val="000000"/>
          <w:sz w:val="26"/>
          <w:szCs w:val="26"/>
        </w:rPr>
      </w:pPr>
      <w:bookmarkStart w:colFirst="0" w:colLast="0" w:name="_heading=h.5d0n47xgj2ux" w:id="19"/>
      <w:bookmarkEnd w:id="19"/>
      <w:r w:rsidDel="00000000" w:rsidR="00000000" w:rsidRPr="00000000">
        <w:rPr>
          <w:rtl w:val="0"/>
        </w:rPr>
      </w:r>
    </w:p>
    <w:p w:rsidR="00000000" w:rsidDel="00000000" w:rsidP="00000000" w:rsidRDefault="00000000" w:rsidRPr="00000000" w14:paraId="00000219">
      <w:pPr>
        <w:spacing w:after="240" w:before="24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This radar chart in fig-7 compares the stages of energy development and resilience across three country categories—1st World, 2nd World, and 3rd World—based on metrics such as Urbanization Rate, Innovation Index, Catastrophe Score, and Development Score. The Catastrophe Score highlights a stark difference in preparedness and resilience: 1st World countries, being highly structured and well-resourced, manage adversities effectively with minimal disruption. Their high Development Score and Innovation Index reflect advanced infrastructure and technologies that allow them to mitigate catastrophe impacts efficiently. In contrast, 2nd World countries, with moderate structural development and resources, face challenges in dealing with adversities, but they can manage these moderately due to gradual improvements in urbanization and innovation. However, 3rd World countries, represented by the smallest area in the radar chart, struggle significantly with catastrophes due to poor infrastructure, limited resources, and low innovation capacity. These disparities underscore the need for targeted interventions to improve resilience in less developed regions.</w:t>
      </w:r>
    </w:p>
    <w:p w:rsidR="00000000" w:rsidDel="00000000" w:rsidP="00000000" w:rsidRDefault="00000000" w:rsidRPr="00000000" w14:paraId="0000021A">
      <w:pPr>
        <w:spacing w:after="240" w:before="240"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Future Predictions: Renewable Energy Production and CO₂ Emissions</w:t>
      </w:r>
    </w:p>
    <w:p w:rsidR="00000000" w:rsidDel="00000000" w:rsidP="00000000" w:rsidRDefault="00000000" w:rsidRPr="00000000" w14:paraId="0000021B">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Table II summarizes the predicted renewable energy production and CO₂ emissions from 2025 to 2034.</w:t>
      </w:r>
    </w:p>
    <w:p w:rsidR="00000000" w:rsidDel="00000000" w:rsidP="00000000" w:rsidRDefault="00000000" w:rsidRPr="00000000" w14:paraId="0000021C">
      <w:pPr>
        <w:spacing w:after="240" w:before="24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Table II: Future Energy and Emissions Predictions</w:t>
      </w:r>
    </w:p>
    <w:sdt>
      <w:sdtPr>
        <w:lock w:val="contentLocked"/>
        <w:tag w:val="goog_rdk_0"/>
      </w:sdtPr>
      <w:sdtContent>
        <w:tbl>
          <w:tblPr>
            <w:tblStyle w:val="Table8"/>
            <w:tblW w:w="7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0"/>
            <w:gridCol w:w="2990"/>
            <w:gridCol w:w="3305"/>
            <w:tblGridChange w:id="0">
              <w:tblGrid>
                <w:gridCol w:w="710"/>
                <w:gridCol w:w="2990"/>
                <w:gridCol w:w="3305"/>
              </w:tblGrid>
            </w:tblGridChange>
          </w:tblGrid>
          <w:tr>
            <w:trPr>
              <w:cantSplit w:val="0"/>
              <w:trHeight w:val="5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Year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Predicted Production (GWh)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Predicted CO₂ Emissions (tons)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40,117.35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365,203.41</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2026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39,042.57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364,430.97</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2034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34,053.27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359,125.59</w:t>
                </w:r>
              </w:p>
            </w:tc>
          </w:tr>
        </w:tbl>
      </w:sdtContent>
    </w:sdt>
    <w:p w:rsidR="00000000" w:rsidDel="00000000" w:rsidP="00000000" w:rsidRDefault="00000000" w:rsidRPr="00000000" w14:paraId="00000229">
      <w:pPr>
        <w:spacing w:after="240" w:before="24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forecast indicates a </w:t>
      </w:r>
      <w:r w:rsidDel="00000000" w:rsidR="00000000" w:rsidRPr="00000000">
        <w:rPr>
          <w:rFonts w:ascii="Arial" w:cs="Arial" w:eastAsia="Arial" w:hAnsi="Arial"/>
          <w:b w:val="1"/>
          <w:sz w:val="22"/>
          <w:szCs w:val="22"/>
          <w:rtl w:val="0"/>
        </w:rPr>
        <w:t xml:space="preserve">gradual decline in renewable energy production and CO₂ emissions</w:t>
      </w:r>
      <w:r w:rsidDel="00000000" w:rsidR="00000000" w:rsidRPr="00000000">
        <w:rPr>
          <w:rFonts w:ascii="Arial" w:cs="Arial" w:eastAsia="Arial" w:hAnsi="Arial"/>
          <w:sz w:val="22"/>
          <w:szCs w:val="22"/>
          <w:rtl w:val="0"/>
        </w:rPr>
        <w:t xml:space="preserve">, reflecting the transition towards cleaner energy sources.</w:t>
      </w:r>
    </w:p>
    <w:p w:rsidR="00000000" w:rsidDel="00000000" w:rsidP="00000000" w:rsidRDefault="00000000" w:rsidRPr="00000000" w14:paraId="0000022A">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B">
      <w:pPr>
        <w:spacing w:after="240" w:before="24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validate the hypothesis, statistical tests were conducted, including Ordinary Least Squares (OLS) regression and ANOVA. The results are summarized in Table II: </w:t>
      </w:r>
    </w:p>
    <w:sdt>
      <w:sdtPr>
        <w:lock w:val="contentLocked"/>
        <w:tag w:val="goog_rdk_1"/>
      </w:sdtPr>
      <w:sdtContent>
        <w:tbl>
          <w:tblPr>
            <w:tblStyle w:val="Table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3885"/>
            <w:gridCol w:w="1995"/>
            <w:tblGridChange w:id="0">
              <w:tblGrid>
                <w:gridCol w:w="3015"/>
                <w:gridCol w:w="3885"/>
                <w:gridCol w:w="1995"/>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Statistical Test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Metric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Value</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OLS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Adjusted R²</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0.001</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OLS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0.032</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Regression Coefficients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Local Manufacturing Capacity (p-value)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0.004</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Regression Coefficients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Investments (USD) (p-value)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0.714</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Regression Coefficients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Energy Storage Capacity (p-value)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0.468</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Multicollinearity Check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Condition Number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1.8×10¹⁰</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ANOVA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Influence of Country &amp; Economy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40" w:before="240" w:line="276" w:lineRule="auto"/>
                  <w:ind w:firstLine="2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Significant</w:t>
                </w:r>
              </w:p>
            </w:tc>
          </w:tr>
        </w:tbl>
      </w:sdtContent>
    </w:sdt>
    <w:p w:rsidR="00000000" w:rsidDel="00000000" w:rsidP="00000000" w:rsidRDefault="00000000" w:rsidRPr="00000000" w14:paraId="00000244">
      <w:pPr>
        <w:spacing w:after="240" w:before="240" w:line="276" w:lineRule="auto"/>
        <w:jc w:val="both"/>
        <w:rPr>
          <w:rFonts w:ascii="Arial" w:cs="Arial" w:eastAsia="Arial" w:hAnsi="Arial"/>
          <w:sz w:val="22"/>
          <w:szCs w:val="22"/>
        </w:rPr>
      </w:pPr>
      <w:r w:rsidDel="00000000" w:rsidR="00000000" w:rsidRPr="00000000">
        <w:rPr>
          <w:rFonts w:ascii="Times New Roman" w:cs="Times New Roman" w:eastAsia="Times New Roman" w:hAnsi="Times New Roman"/>
          <w:sz w:val="22"/>
          <w:szCs w:val="22"/>
          <w:rtl w:val="0"/>
        </w:rPr>
        <w:t xml:space="preserve">The OLS model suggests that while certain features contribute to renewable energy adoption, the overall model fit is weak, highlighting the complexity of energy investment dynamics. The ANOVA results further support these findings, confirming that variations in R&amp;D expenditure and energy investments are significantly influenced by country-specific and economic factors. Future work should address data quality and feature engineering to enhance predictive accuracy and model interpretability.</w:t>
      </w:r>
      <w:r w:rsidDel="00000000" w:rsidR="00000000" w:rsidRPr="00000000">
        <w:rPr>
          <w:rtl w:val="0"/>
        </w:rPr>
      </w:r>
    </w:p>
    <w:p w:rsidR="00000000" w:rsidDel="00000000" w:rsidP="00000000" w:rsidRDefault="00000000" w:rsidRPr="00000000" w14:paraId="0000024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6"/>
          <w:szCs w:val="26"/>
          <w:rtl w:val="0"/>
        </w:rPr>
        <w:t xml:space="preserve">OLS Regression Results</w:t>
      </w:r>
      <w:r w:rsidDel="00000000" w:rsidR="00000000" w:rsidRPr="00000000">
        <w:rPr>
          <w:rtl w:val="0"/>
        </w:rPr>
      </w:r>
    </w:p>
    <w:p w:rsidR="00000000" w:rsidDel="00000000" w:rsidP="00000000" w:rsidRDefault="00000000" w:rsidRPr="00000000" w14:paraId="00000246">
      <w:pPr>
        <w:spacing w:after="0" w:line="276" w:lineRule="auto"/>
        <w:rPr>
          <w:rFonts w:ascii="Arial" w:cs="Arial" w:eastAsia="Arial" w:hAnsi="Arial"/>
          <w:sz w:val="20"/>
          <w:szCs w:val="20"/>
        </w:rPr>
      </w:pPr>
      <w:r w:rsidDel="00000000" w:rsidR="00000000" w:rsidRPr="00000000">
        <w:rPr>
          <w:rtl w:val="0"/>
        </w:rPr>
      </w:r>
    </w:p>
    <w:sdt>
      <w:sdtPr>
        <w:lock w:val="contentLocked"/>
        <w:tag w:val="goog_rdk_2"/>
      </w:sdtPr>
      <w:sdtContent>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Dep. Variable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Proportion of Energy from Renewables</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Model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OLS (Ordinary Least Squares)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Method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Least Squares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Sat, 01 Feb 2025</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0:13:10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Observations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Df Residuals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4996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Df Model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R-squared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0.002</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Adj. R-squared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F-statistic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2.937</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Prob (F-statistic)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0.032</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Log-Likelihood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-23913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AIC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47830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BIC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47860</w:t>
                </w:r>
              </w:p>
            </w:tc>
          </w:tr>
        </w:tbl>
      </w:sdtContent>
    </w:sdt>
    <w:p w:rsidR="00000000" w:rsidDel="00000000" w:rsidP="00000000" w:rsidRDefault="00000000" w:rsidRPr="00000000" w14:paraId="00000265">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6">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7">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8">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9">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A">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B">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C">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D">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E">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6F">
      <w:pPr>
        <w:spacing w:after="0" w:line="276" w:lineRule="auto"/>
        <w:rPr>
          <w:rFonts w:ascii="Arial" w:cs="Arial" w:eastAsia="Arial" w:hAnsi="Arial"/>
          <w:sz w:val="20"/>
          <w:szCs w:val="20"/>
        </w:rPr>
      </w:pPr>
      <w:r w:rsidDel="00000000" w:rsidR="00000000" w:rsidRPr="00000000">
        <w:rPr>
          <w:rFonts w:ascii="Arial" w:cs="Arial" w:eastAsia="Arial" w:hAnsi="Arial"/>
          <w:b w:val="1"/>
          <w:sz w:val="26"/>
          <w:szCs w:val="26"/>
          <w:rtl w:val="0"/>
        </w:rPr>
        <w:t xml:space="preserve">Regression Coefficients</w:t>
      </w:r>
      <w:r w:rsidDel="00000000" w:rsidR="00000000" w:rsidRPr="00000000">
        <w:rPr>
          <w:rtl w:val="0"/>
        </w:rPr>
      </w:r>
    </w:p>
    <w:sdt>
      <w:sdtPr>
        <w:lock w:val="contentLocked"/>
        <w:tag w:val="goog_rdk_3"/>
      </w:sdtPr>
      <w:sdtContent>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Variable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Coefficient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Error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t-statistic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P-value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[0.025, 0.975] Confidence Interval</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Constant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47.963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37.496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[45.455, 50.471]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Investments (USD)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5.18E-11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1.41E-10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0.366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[-2.25e-10, 3.29e-10]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Local Manufacturing Capacity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0.0409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[0.013, 0.069]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Energy Storage Capacity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-0.727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0.468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[-0.004, 0.002]</w:t>
                </w:r>
              </w:p>
              <w:p w:rsidR="00000000" w:rsidDel="00000000" w:rsidP="00000000" w:rsidRDefault="00000000" w:rsidRPr="00000000" w14:paraId="0000028E">
                <w:pPr>
                  <w:widowControl w:val="0"/>
                  <w:spacing w:after="0" w:line="276" w:lineRule="auto"/>
                  <w:rPr>
                    <w:rFonts w:ascii="Arial" w:cs="Arial" w:eastAsia="Arial" w:hAnsi="Arial"/>
                    <w:sz w:val="20"/>
                    <w:szCs w:val="20"/>
                  </w:rPr>
                </w:pPr>
                <w:r w:rsidDel="00000000" w:rsidR="00000000" w:rsidRPr="00000000">
                  <w:rPr>
                    <w:rtl w:val="0"/>
                  </w:rPr>
                </w:r>
              </w:p>
            </w:tc>
          </w:tr>
        </w:tbl>
      </w:sdtContent>
    </w:sdt>
    <w:p w:rsidR="00000000" w:rsidDel="00000000" w:rsidP="00000000" w:rsidRDefault="00000000" w:rsidRPr="00000000" w14:paraId="0000028F">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0">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1">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2">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3">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4">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5">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6">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97">
      <w:pPr>
        <w:spacing w:after="0" w:line="276" w:lineRule="auto"/>
        <w:rPr>
          <w:rFonts w:ascii="Arial" w:cs="Arial" w:eastAsia="Arial" w:hAnsi="Arial"/>
          <w:sz w:val="20"/>
          <w:szCs w:val="20"/>
        </w:rPr>
      </w:pPr>
      <w:r w:rsidDel="00000000" w:rsidR="00000000" w:rsidRPr="00000000">
        <w:rPr>
          <w:rFonts w:ascii="Arial" w:cs="Arial" w:eastAsia="Arial" w:hAnsi="Arial"/>
          <w:b w:val="1"/>
          <w:sz w:val="26"/>
          <w:szCs w:val="26"/>
          <w:rtl w:val="0"/>
        </w:rPr>
        <w:t xml:space="preserve">Model Diagnostics</w:t>
      </w:r>
      <w:r w:rsidDel="00000000" w:rsidR="00000000" w:rsidRPr="00000000">
        <w:rPr>
          <w:rtl w:val="0"/>
        </w:rPr>
      </w:r>
    </w:p>
    <w:sdt>
      <w:sdtPr>
        <w:lock w:val="contentLocked"/>
        <w:tag w:val="goog_rdk_4"/>
      </w:sdtPr>
      <w:sdtContent>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Metric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Value</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Omnibus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4723.527</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Prob(Omnibus)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Jarque-Bera (JB)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305.638</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Prob(JB)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4.28E-67</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Skew</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Kurtosis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1.789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Durbin-Watson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1.92</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spacing w:after="0" w:line="276"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Condition Number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1.80E+10</w:t>
                </w:r>
              </w:p>
            </w:tc>
          </w:tr>
        </w:tbl>
      </w:sdtContent>
    </w:sdt>
    <w:p w:rsidR="00000000" w:rsidDel="00000000" w:rsidP="00000000" w:rsidRDefault="00000000" w:rsidRPr="00000000" w14:paraId="000002AA">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B">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AC">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AD">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AE">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AF">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B0">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B1">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B2">
      <w:pPr>
        <w:spacing w:after="0" w:line="276"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2B3">
      <w:pPr>
        <w:spacing w:after="0" w:line="276" w:lineRule="auto"/>
        <w:rPr>
          <w:rFonts w:ascii="Arial" w:cs="Arial" w:eastAsia="Arial" w:hAnsi="Arial"/>
          <w:sz w:val="22"/>
          <w:szCs w:val="22"/>
        </w:rPr>
      </w:pPr>
      <w:r w:rsidDel="00000000" w:rsidR="00000000" w:rsidRPr="00000000">
        <w:rPr>
          <w:rFonts w:ascii="Arial" w:cs="Arial" w:eastAsia="Arial" w:hAnsi="Arial"/>
          <w:b w:val="1"/>
          <w:sz w:val="26"/>
          <w:szCs w:val="26"/>
          <w:rtl w:val="0"/>
        </w:rPr>
        <w:t xml:space="preserve">OLS Regression Results</w:t>
      </w:r>
      <w:r w:rsidDel="00000000" w:rsidR="00000000" w:rsidRPr="00000000">
        <w:rPr>
          <w:rtl w:val="0"/>
        </w:rPr>
      </w:r>
    </w:p>
    <w:sdt>
      <w:sdtPr>
        <w:lock w:val="contentLocked"/>
        <w:tag w:val="goog_rdk_5"/>
      </w:sdtPr>
      <w:sdtContent>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Dep. Variable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CO₂ Emissions</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Model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OLS (Ordinary Least Squares)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Method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Least Squares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Sat, 01 Feb 2025</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0:14:49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Observations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Df Residuals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4997</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Df Model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R-squared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Adj. R-squared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F-statistic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2.355</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Prob (F-statistic)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0.095</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Log-Likelihood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-69976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140000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BIC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140030</w:t>
                </w:r>
              </w:p>
            </w:tc>
          </w:tr>
        </w:tbl>
      </w:sdtContent>
    </w:sdt>
    <w:p w:rsidR="00000000" w:rsidDel="00000000" w:rsidP="00000000" w:rsidRDefault="00000000" w:rsidRPr="00000000" w14:paraId="000002D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Regression Coefficients</w:t>
      </w:r>
    </w:p>
    <w:sdt>
      <w:sdtPr>
        <w:lock w:val="contentLocked"/>
        <w:tag w:val="goog_rdk_6"/>
      </w:sdtPr>
      <w:sdtContent>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Variable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Coefficient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Std. Error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t-statistic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P-value</w:t>
                </w: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DD">
                <w:pPr>
                  <w:widowControl w:val="0"/>
                  <w:spacing w:after="0" w:line="276" w:lineRule="auto"/>
                  <w:ind w:left="-1280" w:right="-128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[0.025, 0.975] Confidence Interval</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Constant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F">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470600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0">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1">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44.046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[450000.0, 492000.0]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Energy Consumption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0.0264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6">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7">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1.876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8">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[-0.001, 0.054]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Proportion of Energy from Renewables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B">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C">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D">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EE">
                <w:pPr>
                  <w:widowControl w:val="0"/>
                  <w:spacing w:after="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0.283</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E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[-125.671, 429.791]</w:t>
                </w:r>
              </w:p>
            </w:tc>
          </w:tr>
        </w:tbl>
      </w:sdtContent>
    </w:sdt>
    <w:p w:rsidR="00000000" w:rsidDel="00000000" w:rsidP="00000000" w:rsidRDefault="00000000" w:rsidRPr="00000000" w14:paraId="000002F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1">
      <w:pPr>
        <w:pStyle w:val="Heading3"/>
        <w:keepNext w:val="0"/>
        <w:keepLines w:val="0"/>
        <w:spacing w:before="280" w:line="276" w:lineRule="auto"/>
        <w:rPr>
          <w:rFonts w:ascii="Arial" w:cs="Arial" w:eastAsia="Arial" w:hAnsi="Arial"/>
          <w:b w:val="1"/>
          <w:color w:val="000000"/>
          <w:sz w:val="26"/>
          <w:szCs w:val="26"/>
        </w:rPr>
      </w:pPr>
      <w:bookmarkStart w:colFirst="0" w:colLast="0" w:name="_heading=h.zfdy9b21xj0p" w:id="20"/>
      <w:bookmarkEnd w:id="20"/>
      <w:r w:rsidDel="00000000" w:rsidR="00000000" w:rsidRPr="00000000">
        <w:rPr>
          <w:rtl w:val="0"/>
        </w:rPr>
      </w:r>
    </w:p>
    <w:p w:rsidR="00000000" w:rsidDel="00000000" w:rsidP="00000000" w:rsidRDefault="00000000" w:rsidRPr="00000000" w14:paraId="000002F2">
      <w:pPr>
        <w:pStyle w:val="Heading3"/>
        <w:keepNext w:val="0"/>
        <w:keepLines w:val="0"/>
        <w:spacing w:before="280" w:line="276" w:lineRule="auto"/>
        <w:rPr>
          <w:rFonts w:ascii="Arial" w:cs="Arial" w:eastAsia="Arial" w:hAnsi="Arial"/>
          <w:b w:val="1"/>
          <w:color w:val="000000"/>
          <w:sz w:val="26"/>
          <w:szCs w:val="26"/>
        </w:rPr>
      </w:pPr>
      <w:bookmarkStart w:colFirst="0" w:colLast="0" w:name="_heading=h.izp1y2dgmcv9" w:id="21"/>
      <w:bookmarkEnd w:id="21"/>
      <w:r w:rsidDel="00000000" w:rsidR="00000000" w:rsidRPr="00000000">
        <w:rPr>
          <w:rtl w:val="0"/>
        </w:rPr>
      </w:r>
    </w:p>
    <w:p w:rsidR="00000000" w:rsidDel="00000000" w:rsidP="00000000" w:rsidRDefault="00000000" w:rsidRPr="00000000" w14:paraId="000002F3">
      <w:pPr>
        <w:pStyle w:val="Heading3"/>
        <w:keepNext w:val="0"/>
        <w:keepLines w:val="0"/>
        <w:spacing w:before="280" w:line="276" w:lineRule="auto"/>
        <w:rPr>
          <w:rFonts w:ascii="Arial" w:cs="Arial" w:eastAsia="Arial" w:hAnsi="Arial"/>
          <w:b w:val="1"/>
          <w:color w:val="000000"/>
          <w:sz w:val="26"/>
          <w:szCs w:val="26"/>
        </w:rPr>
      </w:pPr>
      <w:bookmarkStart w:colFirst="0" w:colLast="0" w:name="_heading=h.tokp0qwbg3td" w:id="22"/>
      <w:bookmarkEnd w:id="22"/>
      <w:r w:rsidDel="00000000" w:rsidR="00000000" w:rsidRPr="00000000">
        <w:rPr>
          <w:rtl w:val="0"/>
        </w:rPr>
      </w:r>
    </w:p>
    <w:p w:rsidR="00000000" w:rsidDel="00000000" w:rsidP="00000000" w:rsidRDefault="00000000" w:rsidRPr="00000000" w14:paraId="000002F4">
      <w:pPr>
        <w:pStyle w:val="Heading3"/>
        <w:keepNext w:val="0"/>
        <w:keepLines w:val="0"/>
        <w:spacing w:before="280" w:line="276" w:lineRule="auto"/>
        <w:rPr>
          <w:rFonts w:ascii="Arial" w:cs="Arial" w:eastAsia="Arial" w:hAnsi="Arial"/>
          <w:b w:val="1"/>
          <w:color w:val="000000"/>
          <w:sz w:val="26"/>
          <w:szCs w:val="26"/>
        </w:rPr>
      </w:pPr>
      <w:bookmarkStart w:colFirst="0" w:colLast="0" w:name="_heading=h.4fvqqzfl2u89" w:id="23"/>
      <w:bookmarkEnd w:id="23"/>
      <w:r w:rsidDel="00000000" w:rsidR="00000000" w:rsidRPr="00000000">
        <w:rPr>
          <w:rtl w:val="0"/>
        </w:rPr>
      </w:r>
    </w:p>
    <w:p w:rsidR="00000000" w:rsidDel="00000000" w:rsidP="00000000" w:rsidRDefault="00000000" w:rsidRPr="00000000" w14:paraId="000002F5">
      <w:pPr>
        <w:pStyle w:val="Heading3"/>
        <w:keepNext w:val="0"/>
        <w:keepLines w:val="0"/>
        <w:spacing w:before="280" w:line="276" w:lineRule="auto"/>
        <w:rPr>
          <w:rFonts w:ascii="Arial" w:cs="Arial" w:eastAsia="Arial" w:hAnsi="Arial"/>
          <w:b w:val="1"/>
          <w:color w:val="000000"/>
          <w:sz w:val="26"/>
          <w:szCs w:val="26"/>
        </w:rPr>
      </w:pPr>
      <w:bookmarkStart w:colFirst="0" w:colLast="0" w:name="_heading=h.lu7vidt15vj" w:id="24"/>
      <w:bookmarkEnd w:id="24"/>
      <w:r w:rsidDel="00000000" w:rsidR="00000000" w:rsidRPr="00000000">
        <w:rPr>
          <w:rFonts w:ascii="Arial" w:cs="Arial" w:eastAsia="Arial" w:hAnsi="Arial"/>
          <w:b w:val="1"/>
          <w:color w:val="000000"/>
          <w:sz w:val="26"/>
          <w:szCs w:val="26"/>
          <w:rtl w:val="0"/>
        </w:rPr>
        <w:t xml:space="preserve">Model Diagnostics</w:t>
      </w:r>
    </w:p>
    <w:p w:rsidR="00000000" w:rsidDel="00000000" w:rsidP="00000000" w:rsidRDefault="00000000" w:rsidRPr="00000000" w14:paraId="000002F6">
      <w:pPr>
        <w:spacing w:after="0" w:line="276" w:lineRule="auto"/>
        <w:rPr>
          <w:rFonts w:ascii="Arial" w:cs="Arial" w:eastAsia="Arial" w:hAnsi="Arial"/>
          <w:sz w:val="22"/>
          <w:szCs w:val="22"/>
        </w:rPr>
      </w:pPr>
      <w:r w:rsidDel="00000000" w:rsidR="00000000" w:rsidRPr="00000000">
        <w:rPr>
          <w:rtl w:val="0"/>
        </w:rPr>
      </w:r>
    </w:p>
    <w:sdt>
      <w:sdtPr>
        <w:lock w:val="contentLocked"/>
        <w:tag w:val="goog_rdk_7"/>
      </w:sdtPr>
      <w:sdtContent>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Metric</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Value</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Omnibus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5293.057</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Prob(Omnibus)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Jarque-Bera (JB)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314.528</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Prob(JB)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5.03E-69</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Skew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0.061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Kurtosis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1.78E+00</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Durbin-Watson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2.03</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Condition Number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1.50E+06</w:t>
                </w:r>
              </w:p>
            </w:tc>
          </w:tr>
        </w:tbl>
      </w:sdtContent>
    </w:sdt>
    <w:p w:rsidR="00000000" w:rsidDel="00000000" w:rsidP="00000000" w:rsidRDefault="00000000" w:rsidRPr="00000000" w14:paraId="0000030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A">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30B">
      <w:pPr>
        <w:spacing w:after="0" w:line="276" w:lineRule="auto"/>
        <w:rPr>
          <w:rFonts w:ascii="Arial" w:cs="Arial" w:eastAsia="Arial" w:hAnsi="Arial"/>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C">
      <w:pPr>
        <w:pStyle w:val="Heading3"/>
        <w:keepNext w:val="0"/>
        <w:keepLines w:val="0"/>
        <w:spacing w:before="280" w:line="276" w:lineRule="auto"/>
        <w:rPr>
          <w:rFonts w:ascii="Arial" w:cs="Arial" w:eastAsia="Arial" w:hAnsi="Arial"/>
          <w:b w:val="1"/>
          <w:color w:val="000000"/>
          <w:sz w:val="26"/>
          <w:szCs w:val="26"/>
        </w:rPr>
      </w:pPr>
      <w:bookmarkStart w:colFirst="0" w:colLast="0" w:name="_heading=h.i9id5izah4u2" w:id="25"/>
      <w:bookmarkEnd w:id="25"/>
      <w:r w:rsidDel="00000000" w:rsidR="00000000" w:rsidRPr="00000000">
        <w:rPr>
          <w:rFonts w:ascii="Arial" w:cs="Arial" w:eastAsia="Arial" w:hAnsi="Arial"/>
          <w:b w:val="1"/>
          <w:color w:val="000000"/>
          <w:sz w:val="26"/>
          <w:szCs w:val="26"/>
          <w:rtl w:val="0"/>
        </w:rPr>
        <w:t xml:space="preserve">Notes</w:t>
      </w:r>
    </w:p>
    <w:p w:rsidR="00000000" w:rsidDel="00000000" w:rsidP="00000000" w:rsidRDefault="00000000" w:rsidRPr="00000000" w14:paraId="0000030D">
      <w:pPr>
        <w:numPr>
          <w:ilvl w:val="0"/>
          <w:numId w:val="9"/>
        </w:numPr>
        <w:spacing w:after="0" w:afterAutospacing="0" w:before="240" w:line="276"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Standard Errors</w:t>
      </w:r>
      <w:r w:rsidDel="00000000" w:rsidR="00000000" w:rsidRPr="00000000">
        <w:rPr>
          <w:rFonts w:ascii="Arial" w:cs="Arial" w:eastAsia="Arial" w:hAnsi="Arial"/>
          <w:sz w:val="20"/>
          <w:szCs w:val="20"/>
          <w:rtl w:val="0"/>
        </w:rPr>
        <w:t xml:space="preserve"> assume that the covariance matrix of errors is correctly specified.</w:t>
      </w:r>
    </w:p>
    <w:p w:rsidR="00000000" w:rsidDel="00000000" w:rsidP="00000000" w:rsidRDefault="00000000" w:rsidRPr="00000000" w14:paraId="0000030E">
      <w:pPr>
        <w:numPr>
          <w:ilvl w:val="0"/>
          <w:numId w:val="9"/>
        </w:numPr>
        <w:spacing w:after="240" w:before="0" w:beforeAutospacing="0" w:line="276" w:lineRule="auto"/>
        <w:ind w:left="720" w:hanging="360"/>
        <w:rPr>
          <w:rFonts w:ascii="Arial" w:cs="Arial" w:eastAsia="Arial" w:hAnsi="Arial"/>
          <w:sz w:val="20"/>
          <w:szCs w:val="20"/>
        </w:rPr>
      </w:pPr>
      <w:r w:rsidDel="00000000" w:rsidR="00000000" w:rsidRPr="00000000">
        <w:rPr>
          <w:rFonts w:ascii="Arial" w:cs="Arial" w:eastAsia="Arial" w:hAnsi="Arial"/>
          <w:b w:val="1"/>
          <w:sz w:val="20"/>
          <w:szCs w:val="20"/>
          <w:rtl w:val="0"/>
        </w:rPr>
        <w:t xml:space="preserve">High Condition Number (1.8e+10)</w:t>
      </w:r>
      <w:r w:rsidDel="00000000" w:rsidR="00000000" w:rsidRPr="00000000">
        <w:rPr>
          <w:rFonts w:ascii="Arial" w:cs="Arial" w:eastAsia="Arial" w:hAnsi="Arial"/>
          <w:sz w:val="20"/>
          <w:szCs w:val="20"/>
          <w:rtl w:val="0"/>
        </w:rPr>
        <w:t xml:space="preserve"> suggests potential </w:t>
      </w:r>
      <w:r w:rsidDel="00000000" w:rsidR="00000000" w:rsidRPr="00000000">
        <w:rPr>
          <w:rFonts w:ascii="Arial" w:cs="Arial" w:eastAsia="Arial" w:hAnsi="Arial"/>
          <w:b w:val="1"/>
          <w:sz w:val="20"/>
          <w:szCs w:val="20"/>
          <w:rtl w:val="0"/>
        </w:rPr>
        <w:t xml:space="preserve">multicollinearity</w:t>
      </w:r>
      <w:r w:rsidDel="00000000" w:rsidR="00000000" w:rsidRPr="00000000">
        <w:rPr>
          <w:rFonts w:ascii="Arial" w:cs="Arial" w:eastAsia="Arial" w:hAnsi="Arial"/>
          <w:sz w:val="20"/>
          <w:szCs w:val="20"/>
          <w:rtl w:val="0"/>
        </w:rPr>
        <w:t xml:space="preserve"> or numerical problems.</w:t>
      </w:r>
    </w:p>
    <w:p w:rsidR="00000000" w:rsidDel="00000000" w:rsidP="00000000" w:rsidRDefault="00000000" w:rsidRPr="00000000" w14:paraId="0000030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31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3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T., &amp; Guestrin, C. (2016). XGBoost: A scalable tree boosting system. Proceedings of the 22nd ACM SIGKDD.</w:t>
      </w:r>
    </w:p>
    <w:p w:rsidR="00000000" w:rsidDel="00000000" w:rsidP="00000000" w:rsidRDefault="00000000" w:rsidRPr="00000000" w14:paraId="000003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EIA. (2023). U.S. Energy Information Administration. Retrieved from https://www.eia.gov/</w:t>
      </w:r>
    </w:p>
    <w:p w:rsidR="00000000" w:rsidDel="00000000" w:rsidP="00000000" w:rsidRDefault="00000000" w:rsidRPr="00000000" w14:paraId="000003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Hochreiter, S., &amp; Schmidhuber, J. (1997). Long short-term memory. Neural Computation, 9(8), 1735-1780.</w:t>
      </w:r>
    </w:p>
    <w:p w:rsidR="00000000" w:rsidDel="00000000" w:rsidP="00000000" w:rsidRDefault="00000000" w:rsidRPr="00000000" w14:paraId="000003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Hyndman, R. J., &amp; Athanasopoulos, G. (2018). Forecasting: Principles and practice. OTexts.</w:t>
      </w:r>
    </w:p>
    <w:p w:rsidR="00000000" w:rsidDel="00000000" w:rsidP="00000000" w:rsidRDefault="00000000" w:rsidRPr="00000000" w14:paraId="000003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IEA. (2023). International Energy Agency. Data and Statistics. Retrieved from https://www.iea.org/data-and-statistics</w:t>
      </w:r>
    </w:p>
    <w:p w:rsidR="00000000" w:rsidDel="00000000" w:rsidP="00000000" w:rsidRDefault="00000000" w:rsidRPr="00000000" w14:paraId="000003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F. T., Ting, K. M., &amp; Zhou, Z. H. (2008). Isolation forest. 2008 Eighth IEEE International Conference on Data Mining.</w:t>
      </w:r>
    </w:p>
    <w:p w:rsidR="00000000" w:rsidDel="00000000" w:rsidP="00000000" w:rsidRDefault="00000000" w:rsidRPr="00000000" w14:paraId="000003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Sutton, R. S., &amp; Barto, A. G. (2018). Reinforcement learning: An introduction. MIT Press.</w:t>
      </w:r>
    </w:p>
    <w:p w:rsidR="00000000" w:rsidDel="00000000" w:rsidP="00000000" w:rsidRDefault="00000000" w:rsidRPr="00000000" w14:paraId="000003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ind w:firstLine="720"/>
        <w:jc w:val="both"/>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665A01"/>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665A01"/>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665A01"/>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665A01"/>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665A01"/>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665A0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65A0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65A0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65A0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65A01"/>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665A01"/>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665A01"/>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665A01"/>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665A01"/>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665A0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65A0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65A0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65A0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65A0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65A0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65A0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65A0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65A0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65A01"/>
    <w:rPr>
      <w:i w:val="1"/>
      <w:iCs w:val="1"/>
      <w:color w:val="404040" w:themeColor="text1" w:themeTint="0000BF"/>
    </w:rPr>
  </w:style>
  <w:style w:type="paragraph" w:styleId="ListParagraph">
    <w:name w:val="List Paragraph"/>
    <w:basedOn w:val="Normal"/>
    <w:uiPriority w:val="34"/>
    <w:qFormat w:val="1"/>
    <w:rsid w:val="00665A01"/>
    <w:pPr>
      <w:ind w:left="720"/>
      <w:contextualSpacing w:val="1"/>
    </w:pPr>
  </w:style>
  <w:style w:type="character" w:styleId="IntenseEmphasis">
    <w:name w:val="Intense Emphasis"/>
    <w:basedOn w:val="DefaultParagraphFont"/>
    <w:uiPriority w:val="21"/>
    <w:qFormat w:val="1"/>
    <w:rsid w:val="00665A01"/>
    <w:rPr>
      <w:i w:val="1"/>
      <w:iCs w:val="1"/>
      <w:color w:val="2f5496" w:themeColor="accent1" w:themeShade="0000BF"/>
    </w:rPr>
  </w:style>
  <w:style w:type="paragraph" w:styleId="IntenseQuote">
    <w:name w:val="Intense Quote"/>
    <w:basedOn w:val="Normal"/>
    <w:next w:val="Normal"/>
    <w:link w:val="IntenseQuoteChar"/>
    <w:uiPriority w:val="30"/>
    <w:qFormat w:val="1"/>
    <w:rsid w:val="00665A01"/>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665A01"/>
    <w:rPr>
      <w:i w:val="1"/>
      <w:iCs w:val="1"/>
      <w:color w:val="2f5496" w:themeColor="accent1" w:themeShade="0000BF"/>
    </w:rPr>
  </w:style>
  <w:style w:type="character" w:styleId="IntenseReference">
    <w:name w:val="Intense Reference"/>
    <w:basedOn w:val="DefaultParagraphFont"/>
    <w:uiPriority w:val="32"/>
    <w:qFormat w:val="1"/>
    <w:rsid w:val="00665A01"/>
    <w:rPr>
      <w:b w:val="1"/>
      <w:bCs w:val="1"/>
      <w:smallCaps w:val="1"/>
      <w:color w:val="2f5496" w:themeColor="accent1" w:themeShade="0000BF"/>
      <w:spacing w:val="5"/>
    </w:rPr>
  </w:style>
  <w:style w:type="paragraph" w:styleId="Header">
    <w:name w:val="header"/>
    <w:basedOn w:val="Normal"/>
    <w:link w:val="HeaderChar"/>
    <w:uiPriority w:val="99"/>
    <w:unhideWhenUsed w:val="1"/>
    <w:rsid w:val="001E64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1E6477"/>
  </w:style>
  <w:style w:type="paragraph" w:styleId="Footer">
    <w:name w:val="footer"/>
    <w:basedOn w:val="Normal"/>
    <w:link w:val="FooterChar"/>
    <w:uiPriority w:val="99"/>
    <w:unhideWhenUsed w:val="1"/>
    <w:rsid w:val="001E64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1E6477"/>
  </w:style>
  <w:style w:type="character" w:styleId="Hyperlink">
    <w:name w:val="Hyperlink"/>
    <w:basedOn w:val="DefaultParagraphFont"/>
    <w:uiPriority w:val="99"/>
    <w:unhideWhenUsed w:val="1"/>
    <w:rsid w:val="00E91EA9"/>
    <w:rPr>
      <w:color w:val="0563c1" w:themeColor="hyperlink"/>
      <w:u w:val="single"/>
    </w:rPr>
  </w:style>
  <w:style w:type="character" w:styleId="UnresolvedMention">
    <w:name w:val="Unresolved Mention"/>
    <w:basedOn w:val="DefaultParagraphFont"/>
    <w:uiPriority w:val="99"/>
    <w:semiHidden w:val="1"/>
    <w:unhideWhenUsed w:val="1"/>
    <w:rsid w:val="00E91EA9"/>
    <w:rPr>
      <w:color w:val="605e5c"/>
      <w:shd w:color="auto" w:fill="e1dfdd" w:val="clear"/>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8.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github.com/showrav78777/Research" TargetMode="External"/><Relationship Id="rId25" Type="http://schemas.openxmlformats.org/officeDocument/2006/relationships/image" Target="media/image15.png"/><Relationship Id="rId28" Type="http://schemas.openxmlformats.org/officeDocument/2006/relationships/hyperlink" Target="https://github.com/showrav78777/Research/blob/main/q3/Research_q3%20(1)%20(1).ipynb" TargetMode="External"/><Relationship Id="rId27" Type="http://schemas.openxmlformats.org/officeDocument/2006/relationships/hyperlink" Target="https://github.com/showrav78777/Research/blob/main/q1/q1%20updated.ipynb"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showrav78777/Research/blob/main/q7/q7.ipynb" TargetMode="External"/><Relationship Id="rId7" Type="http://schemas.openxmlformats.org/officeDocument/2006/relationships/hyperlink" Target="https://data.worldbank.org/topic/energy" TargetMode="External"/><Relationship Id="rId8" Type="http://schemas.openxmlformats.org/officeDocument/2006/relationships/image" Target="media/image14.png"/><Relationship Id="rId31" Type="http://schemas.openxmlformats.org/officeDocument/2006/relationships/image" Target="media/image23.png"/><Relationship Id="rId30" Type="http://schemas.openxmlformats.org/officeDocument/2006/relationships/image" Target="media/image19.png"/><Relationship Id="rId11" Type="http://schemas.openxmlformats.org/officeDocument/2006/relationships/image" Target="media/image7.png"/><Relationship Id="rId33" Type="http://schemas.openxmlformats.org/officeDocument/2006/relationships/image" Target="media/image21.png"/><Relationship Id="rId10" Type="http://schemas.openxmlformats.org/officeDocument/2006/relationships/image" Target="media/image5.png"/><Relationship Id="rId32" Type="http://schemas.openxmlformats.org/officeDocument/2006/relationships/image" Target="media/image25.png"/><Relationship Id="rId13" Type="http://schemas.openxmlformats.org/officeDocument/2006/relationships/image" Target="media/image17.png"/><Relationship Id="rId35" Type="http://schemas.openxmlformats.org/officeDocument/2006/relationships/image" Target="media/image22.png"/><Relationship Id="rId12" Type="http://schemas.openxmlformats.org/officeDocument/2006/relationships/image" Target="media/image13.png"/><Relationship Id="rId34" Type="http://schemas.openxmlformats.org/officeDocument/2006/relationships/image" Target="media/image24.png"/><Relationship Id="rId15" Type="http://schemas.openxmlformats.org/officeDocument/2006/relationships/image" Target="media/image11.png"/><Relationship Id="rId14" Type="http://schemas.openxmlformats.org/officeDocument/2006/relationships/image" Target="media/image3.png"/><Relationship Id="rId36"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8jASL4MbKAaBQiKnLKdlCbzaHg==">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2025-01-26T09:55:00Z</dcterms:created>
  <dc:creator>Baizeed Noor Miazi</dc:creator>
</cp:coreProperties>
</file>