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AEGIS Score System Explanation</w:t>
      </w:r>
    </w:p>
    <w:p>
      <w:pPr>
        <w:jc w:val="center"/>
      </w:pPr>
      <w:r>
        <w:rPr>
          <w:i/>
          <w:color w:val="555555"/>
          <w:sz w:val="24"/>
        </w:rPr>
        <w:t>Risk score, ML score, trust score, and adaptive friction in simple terms</w:t>
      </w:r>
    </w:p>
    <w:p>
      <w:pPr>
        <w:pStyle w:val="Heading1"/>
      </w:pPr>
      <w:r>
        <w:t>1. Overview: The Three Score Types</w:t>
      </w:r>
    </w:p>
    <w:p>
      <w:r>
        <w:t>AEGIS uses three related score ideas. They work together, but they do not mean the same thing.</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1800"/>
        <w:gridCol w:w="5600"/>
        <w:gridCol w:w="1960"/>
      </w:tblGrid>
      <w:tr>
        <w:tc>
          <w:tcPr>
            <w:tcW w:type="dxa" w:w="1800"/>
            <w:vAlign w:val="center"/>
            <w:shd w:fill="E8EEF5"/>
          </w:tcPr>
          <w:p>
            <w:pPr>
              <w:jc w:val="center"/>
            </w:pPr>
            <w:r>
              <w:rPr>
                <w:b/>
                <w:color w:val="0B2545"/>
              </w:rPr>
              <w:t>Score type</w:t>
            </w:r>
          </w:p>
        </w:tc>
        <w:tc>
          <w:tcPr>
            <w:tcW w:type="dxa" w:w="5600"/>
            <w:vAlign w:val="center"/>
            <w:shd w:fill="E8EEF5"/>
          </w:tcPr>
          <w:p>
            <w:pPr>
              <w:jc w:val="center"/>
            </w:pPr>
            <w:r>
              <w:rPr>
                <w:b/>
                <w:color w:val="0B2545"/>
              </w:rPr>
              <w:t>What it means</w:t>
            </w:r>
          </w:p>
        </w:tc>
        <w:tc>
          <w:tcPr>
            <w:tcW w:type="dxa" w:w="1960"/>
            <w:vAlign w:val="center"/>
            <w:shd w:fill="E8EEF5"/>
          </w:tcPr>
          <w:p>
            <w:pPr>
              <w:jc w:val="center"/>
            </w:pPr>
            <w:r>
              <w:rPr>
                <w:b/>
                <w:color w:val="0B2545"/>
              </w:rPr>
              <w:t>Does it persist?</w:t>
            </w:r>
          </w:p>
        </w:tc>
      </w:tr>
      <w:tr>
        <w:tc>
          <w:tcPr>
            <w:tcW w:type="dxa" w:w="1800"/>
          </w:tcPr>
          <w:p>
            <w:pPr>
              <w:spacing w:after="40"/>
              <w:jc w:val="center"/>
            </w:pPr>
            <w:r>
              <w:rPr>
                <w:sz w:val="19"/>
              </w:rPr>
              <w:t>Risk score</w:t>
            </w:r>
          </w:p>
        </w:tc>
        <w:tc>
          <w:tcPr>
            <w:tcW w:type="dxa" w:w="5600"/>
          </w:tcPr>
          <w:p>
            <w:pPr>
              <w:spacing w:after="40"/>
            </w:pPr>
            <w:r>
              <w:rPr>
                <w:sz w:val="19"/>
              </w:rPr>
              <w:t>How dangerous one event is right now, such as one login or one transaction.</w:t>
            </w:r>
          </w:p>
        </w:tc>
        <w:tc>
          <w:tcPr>
            <w:tcW w:type="dxa" w:w="1960"/>
          </w:tcPr>
          <w:p>
            <w:pPr>
              <w:spacing w:after="40"/>
            </w:pPr>
            <w:r>
              <w:rPr>
                <w:sz w:val="19"/>
              </w:rPr>
              <w:t>No. It is recalculated for each event.</w:t>
            </w:r>
          </w:p>
        </w:tc>
      </w:tr>
      <w:tr>
        <w:tc>
          <w:tcPr>
            <w:tcW w:type="dxa" w:w="1800"/>
          </w:tcPr>
          <w:p>
            <w:pPr>
              <w:spacing w:after="40"/>
              <w:jc w:val="center"/>
            </w:pPr>
            <w:r>
              <w:rPr>
                <w:sz w:val="19"/>
              </w:rPr>
              <w:t>ML score</w:t>
            </w:r>
          </w:p>
        </w:tc>
        <w:tc>
          <w:tcPr>
            <w:tcW w:type="dxa" w:w="5600"/>
          </w:tcPr>
          <w:p>
            <w:pPr>
              <w:spacing w:after="40"/>
            </w:pPr>
            <w:r>
              <w:rPr>
                <w:sz w:val="19"/>
              </w:rPr>
              <w:t>The XGBoost model fraud probability for a transaction.</w:t>
            </w:r>
          </w:p>
        </w:tc>
        <w:tc>
          <w:tcPr>
            <w:tcW w:type="dxa" w:w="1960"/>
          </w:tcPr>
          <w:p>
            <w:pPr>
              <w:spacing w:after="40"/>
            </w:pPr>
            <w:r>
              <w:rPr>
                <w:sz w:val="19"/>
              </w:rPr>
              <w:t>No. It is calculated for the transaction being scored.</w:t>
            </w:r>
          </w:p>
        </w:tc>
      </w:tr>
      <w:tr>
        <w:tc>
          <w:tcPr>
            <w:tcW w:type="dxa" w:w="1800"/>
          </w:tcPr>
          <w:p>
            <w:pPr>
              <w:spacing w:after="40"/>
              <w:jc w:val="center"/>
            </w:pPr>
            <w:r>
              <w:rPr>
                <w:sz w:val="19"/>
              </w:rPr>
              <w:t>Trust score</w:t>
            </w:r>
          </w:p>
        </w:tc>
        <w:tc>
          <w:tcPr>
            <w:tcW w:type="dxa" w:w="5600"/>
          </w:tcPr>
          <w:p>
            <w:pPr>
              <w:spacing w:after="40"/>
            </w:pPr>
            <w:r>
              <w:rPr>
                <w:sz w:val="19"/>
              </w:rPr>
              <w:t>The longer-term trust level of the customer/account from 0 to 100.</w:t>
            </w:r>
          </w:p>
        </w:tc>
        <w:tc>
          <w:tcPr>
            <w:tcW w:type="dxa" w:w="1960"/>
          </w:tcPr>
          <w:p>
            <w:pPr>
              <w:spacing w:after="40"/>
            </w:pPr>
            <w:r>
              <w:rPr>
                <w:sz w:val="19"/>
              </w:rPr>
              <w:t>Yes. It changes over time.</w:t>
            </w:r>
          </w:p>
        </w:tc>
      </w:tr>
    </w:tbl>
    <w:p/>
    <w:p>
      <w:pPr>
        <w:pStyle w:val="Heading1"/>
      </w:pPr>
      <w:r>
        <w:t>2. Risk Score</w:t>
      </w:r>
    </w:p>
    <w:p>
      <w:r>
        <w:t>Risk score is a number from 0 to 100. It answers: how suspicious is this specific event?</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1800"/>
        <w:gridCol w:w="1800"/>
        <w:gridCol w:w="5760"/>
      </w:tblGrid>
      <w:tr>
        <w:tc>
          <w:tcPr>
            <w:tcW w:type="dxa" w:w="1800"/>
            <w:vAlign w:val="center"/>
            <w:shd w:fill="E8EEF5"/>
          </w:tcPr>
          <w:p>
            <w:pPr>
              <w:jc w:val="center"/>
            </w:pPr>
            <w:r>
              <w:rPr>
                <w:b/>
                <w:color w:val="0B2545"/>
              </w:rPr>
              <w:t>Score range</w:t>
            </w:r>
          </w:p>
        </w:tc>
        <w:tc>
          <w:tcPr>
            <w:tcW w:type="dxa" w:w="1800"/>
            <w:vAlign w:val="center"/>
            <w:shd w:fill="E8EEF5"/>
          </w:tcPr>
          <w:p>
            <w:pPr>
              <w:jc w:val="center"/>
            </w:pPr>
            <w:r>
              <w:rPr>
                <w:b/>
                <w:color w:val="0B2545"/>
              </w:rPr>
              <w:t>Severity</w:t>
            </w:r>
          </w:p>
        </w:tc>
        <w:tc>
          <w:tcPr>
            <w:tcW w:type="dxa" w:w="5760"/>
            <w:vAlign w:val="center"/>
            <w:shd w:fill="E8EEF5"/>
          </w:tcPr>
          <w:p>
            <w:pPr>
              <w:jc w:val="center"/>
            </w:pPr>
            <w:r>
              <w:rPr>
                <w:b/>
                <w:color w:val="0B2545"/>
              </w:rPr>
              <w:t>Meaning</w:t>
            </w:r>
          </w:p>
        </w:tc>
      </w:tr>
      <w:tr>
        <w:tc>
          <w:tcPr>
            <w:tcW w:type="dxa" w:w="1800"/>
          </w:tcPr>
          <w:p>
            <w:pPr>
              <w:spacing w:after="40"/>
              <w:jc w:val="center"/>
            </w:pPr>
            <w:r>
              <w:rPr>
                <w:sz w:val="19"/>
              </w:rPr>
              <w:t>0-30</w:t>
            </w:r>
          </w:p>
        </w:tc>
        <w:tc>
          <w:tcPr>
            <w:tcW w:type="dxa" w:w="1800"/>
          </w:tcPr>
          <w:p>
            <w:pPr>
              <w:spacing w:after="40"/>
              <w:jc w:val="center"/>
            </w:pPr>
            <w:r>
              <w:rPr>
                <w:sz w:val="19"/>
              </w:rPr>
              <w:t>LOW</w:t>
            </w:r>
          </w:p>
        </w:tc>
        <w:tc>
          <w:tcPr>
            <w:tcW w:type="dxa" w:w="5760"/>
          </w:tcPr>
          <w:p>
            <w:pPr>
              <w:spacing w:after="40"/>
            </w:pPr>
            <w:r>
              <w:rPr>
                <w:sz w:val="19"/>
              </w:rPr>
              <w:t>Normal or low-risk</w:t>
            </w:r>
          </w:p>
        </w:tc>
      </w:tr>
      <w:tr>
        <w:tc>
          <w:tcPr>
            <w:tcW w:type="dxa" w:w="1800"/>
          </w:tcPr>
          <w:p>
            <w:pPr>
              <w:spacing w:after="40"/>
              <w:jc w:val="center"/>
            </w:pPr>
            <w:r>
              <w:rPr>
                <w:sz w:val="19"/>
              </w:rPr>
              <w:t>31-60</w:t>
            </w:r>
          </w:p>
        </w:tc>
        <w:tc>
          <w:tcPr>
            <w:tcW w:type="dxa" w:w="1800"/>
          </w:tcPr>
          <w:p>
            <w:pPr>
              <w:spacing w:after="40"/>
              <w:jc w:val="center"/>
            </w:pPr>
            <w:r>
              <w:rPr>
                <w:sz w:val="19"/>
              </w:rPr>
              <w:t>MEDIUM</w:t>
            </w:r>
          </w:p>
        </w:tc>
        <w:tc>
          <w:tcPr>
            <w:tcW w:type="dxa" w:w="5760"/>
          </w:tcPr>
          <w:p>
            <w:pPr>
              <w:spacing w:after="40"/>
            </w:pPr>
            <w:r>
              <w:rPr>
                <w:sz w:val="19"/>
              </w:rPr>
              <w:t>Needs extra verification</w:t>
            </w:r>
          </w:p>
        </w:tc>
      </w:tr>
      <w:tr>
        <w:tc>
          <w:tcPr>
            <w:tcW w:type="dxa" w:w="1800"/>
          </w:tcPr>
          <w:p>
            <w:pPr>
              <w:spacing w:after="40"/>
              <w:jc w:val="center"/>
            </w:pPr>
            <w:r>
              <w:rPr>
                <w:sz w:val="19"/>
              </w:rPr>
              <w:t>61-80</w:t>
            </w:r>
          </w:p>
        </w:tc>
        <w:tc>
          <w:tcPr>
            <w:tcW w:type="dxa" w:w="1800"/>
          </w:tcPr>
          <w:p>
            <w:pPr>
              <w:spacing w:after="40"/>
              <w:jc w:val="center"/>
            </w:pPr>
            <w:r>
              <w:rPr>
                <w:sz w:val="19"/>
              </w:rPr>
              <w:t>HIGH</w:t>
            </w:r>
          </w:p>
        </w:tc>
        <w:tc>
          <w:tcPr>
            <w:tcW w:type="dxa" w:w="5760"/>
          </w:tcPr>
          <w:p>
            <w:pPr>
              <w:spacing w:after="40"/>
            </w:pPr>
            <w:r>
              <w:rPr>
                <w:sz w:val="19"/>
              </w:rPr>
              <w:t>Analyst review needed</w:t>
            </w:r>
          </w:p>
        </w:tc>
      </w:tr>
      <w:tr>
        <w:tc>
          <w:tcPr>
            <w:tcW w:type="dxa" w:w="1800"/>
          </w:tcPr>
          <w:p>
            <w:pPr>
              <w:spacing w:after="40"/>
              <w:jc w:val="center"/>
            </w:pPr>
            <w:r>
              <w:rPr>
                <w:sz w:val="19"/>
              </w:rPr>
              <w:t>81-100</w:t>
            </w:r>
          </w:p>
        </w:tc>
        <w:tc>
          <w:tcPr>
            <w:tcW w:type="dxa" w:w="1800"/>
          </w:tcPr>
          <w:p>
            <w:pPr>
              <w:spacing w:after="40"/>
              <w:jc w:val="center"/>
            </w:pPr>
            <w:r>
              <w:rPr>
                <w:sz w:val="19"/>
              </w:rPr>
              <w:t>CRITICAL</w:t>
            </w:r>
          </w:p>
        </w:tc>
        <w:tc>
          <w:tcPr>
            <w:tcW w:type="dxa" w:w="5760"/>
          </w:tcPr>
          <w:p>
            <w:pPr>
              <w:spacing w:after="40"/>
            </w:pPr>
            <w:r>
              <w:rPr>
                <w:sz w:val="19"/>
              </w:rPr>
              <w:t>Block or escalate immediately</w:t>
            </w:r>
          </w:p>
        </w:tc>
      </w:tr>
    </w:tbl>
    <w:p/>
    <w:p>
      <w:pPr>
        <w:pStyle w:val="Heading1"/>
      </w:pPr>
      <w:r>
        <w:t>3. Login Risk Example</w:t>
      </w:r>
    </w:p>
    <w:p>
      <w:r>
        <w:t>For login risk, AEGIS adds points for suspicious login behavior.</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6500"/>
        <w:gridCol w:w="2860"/>
      </w:tblGrid>
      <w:tr>
        <w:tc>
          <w:tcPr>
            <w:tcW w:type="dxa" w:w="6500"/>
            <w:vAlign w:val="center"/>
            <w:shd w:fill="E8EEF5"/>
          </w:tcPr>
          <w:p>
            <w:pPr>
              <w:jc w:val="center"/>
            </w:pPr>
            <w:r>
              <w:rPr>
                <w:b/>
                <w:color w:val="0B2545"/>
              </w:rPr>
              <w:t>Login signal</w:t>
            </w:r>
          </w:p>
        </w:tc>
        <w:tc>
          <w:tcPr>
            <w:tcW w:type="dxa" w:w="2860"/>
            <w:vAlign w:val="center"/>
            <w:shd w:fill="E8EEF5"/>
          </w:tcPr>
          <w:p>
            <w:pPr>
              <w:jc w:val="center"/>
            </w:pPr>
            <w:r>
              <w:rPr>
                <w:b/>
                <w:color w:val="0B2545"/>
              </w:rPr>
              <w:t>Points</w:t>
            </w:r>
          </w:p>
        </w:tc>
      </w:tr>
      <w:tr>
        <w:tc>
          <w:tcPr>
            <w:tcW w:type="dxa" w:w="6500"/>
          </w:tcPr>
          <w:p>
            <w:pPr>
              <w:spacing w:after="40"/>
              <w:jc w:val="center"/>
            </w:pPr>
            <w:r>
              <w:rPr>
                <w:sz w:val="19"/>
              </w:rPr>
              <w:t>New device</w:t>
            </w:r>
          </w:p>
        </w:tc>
        <w:tc>
          <w:tcPr>
            <w:tcW w:type="dxa" w:w="2860"/>
          </w:tcPr>
          <w:p>
            <w:pPr>
              <w:spacing w:after="40"/>
              <w:jc w:val="center"/>
            </w:pPr>
            <w:r>
              <w:rPr>
                <w:sz w:val="19"/>
              </w:rPr>
              <w:t>+20</w:t>
            </w:r>
          </w:p>
        </w:tc>
      </w:tr>
      <w:tr>
        <w:tc>
          <w:tcPr>
            <w:tcW w:type="dxa" w:w="6500"/>
          </w:tcPr>
          <w:p>
            <w:pPr>
              <w:spacing w:after="40"/>
              <w:jc w:val="center"/>
            </w:pPr>
            <w:r>
              <w:rPr>
                <w:sz w:val="19"/>
              </w:rPr>
              <w:t>VPN detected</w:t>
            </w:r>
          </w:p>
        </w:tc>
        <w:tc>
          <w:tcPr>
            <w:tcW w:type="dxa" w:w="2860"/>
          </w:tcPr>
          <w:p>
            <w:pPr>
              <w:spacing w:after="40"/>
              <w:jc w:val="center"/>
            </w:pPr>
            <w:r>
              <w:rPr>
                <w:sz w:val="19"/>
              </w:rPr>
              <w:t>+20</w:t>
            </w:r>
          </w:p>
        </w:tc>
      </w:tr>
      <w:tr>
        <w:tc>
          <w:tcPr>
            <w:tcW w:type="dxa" w:w="6500"/>
          </w:tcPr>
          <w:p>
            <w:pPr>
              <w:spacing w:after="40"/>
              <w:jc w:val="center"/>
            </w:pPr>
            <w:r>
              <w:rPr>
                <w:sz w:val="19"/>
              </w:rPr>
              <w:t>Proxy detected</w:t>
            </w:r>
          </w:p>
        </w:tc>
        <w:tc>
          <w:tcPr>
            <w:tcW w:type="dxa" w:w="2860"/>
          </w:tcPr>
          <w:p>
            <w:pPr>
              <w:spacing w:after="40"/>
              <w:jc w:val="center"/>
            </w:pPr>
            <w:r>
              <w:rPr>
                <w:sz w:val="19"/>
              </w:rPr>
              <w:t>+15</w:t>
            </w:r>
          </w:p>
        </w:tc>
      </w:tr>
      <w:tr>
        <w:tc>
          <w:tcPr>
            <w:tcW w:type="dxa" w:w="6500"/>
          </w:tcPr>
          <w:p>
            <w:pPr>
              <w:spacing w:after="40"/>
              <w:jc w:val="center"/>
            </w:pPr>
            <w:r>
              <w:rPr>
                <w:sz w:val="19"/>
              </w:rPr>
              <w:t>New country</w:t>
            </w:r>
          </w:p>
        </w:tc>
        <w:tc>
          <w:tcPr>
            <w:tcW w:type="dxa" w:w="2860"/>
          </w:tcPr>
          <w:p>
            <w:pPr>
              <w:spacing w:after="40"/>
              <w:jc w:val="center"/>
            </w:pPr>
            <w:r>
              <w:rPr>
                <w:sz w:val="19"/>
              </w:rPr>
              <w:t>+15</w:t>
            </w:r>
          </w:p>
        </w:tc>
      </w:tr>
      <w:tr>
        <w:tc>
          <w:tcPr>
            <w:tcW w:type="dxa" w:w="6500"/>
          </w:tcPr>
          <w:p>
            <w:pPr>
              <w:spacing w:after="40"/>
              <w:jc w:val="center"/>
            </w:pPr>
            <w:r>
              <w:rPr>
                <w:sz w:val="19"/>
              </w:rPr>
              <w:t>Impossible travel</w:t>
            </w:r>
          </w:p>
        </w:tc>
        <w:tc>
          <w:tcPr>
            <w:tcW w:type="dxa" w:w="2860"/>
          </w:tcPr>
          <w:p>
            <w:pPr>
              <w:spacing w:after="40"/>
              <w:jc w:val="center"/>
            </w:pPr>
            <w:r>
              <w:rPr>
                <w:sz w:val="19"/>
              </w:rPr>
              <w:t>+35</w:t>
            </w:r>
          </w:p>
        </w:tc>
      </w:tr>
      <w:tr>
        <w:tc>
          <w:tcPr>
            <w:tcW w:type="dxa" w:w="6500"/>
          </w:tcPr>
          <w:p>
            <w:pPr>
              <w:spacing w:after="40"/>
              <w:jc w:val="center"/>
            </w:pPr>
            <w:r>
              <w:rPr>
                <w:sz w:val="19"/>
              </w:rPr>
              <w:t>3+ failed attempts</w:t>
            </w:r>
          </w:p>
        </w:tc>
        <w:tc>
          <w:tcPr>
            <w:tcW w:type="dxa" w:w="2860"/>
          </w:tcPr>
          <w:p>
            <w:pPr>
              <w:spacing w:after="40"/>
              <w:jc w:val="center"/>
            </w:pPr>
            <w:r>
              <w:rPr>
                <w:sz w:val="19"/>
              </w:rPr>
              <w:t>+15</w:t>
            </w:r>
          </w:p>
        </w:tc>
      </w:tr>
      <w:tr>
        <w:tc>
          <w:tcPr>
            <w:tcW w:type="dxa" w:w="6500"/>
          </w:tcPr>
          <w:p>
            <w:pPr>
              <w:spacing w:after="40"/>
              <w:jc w:val="center"/>
            </w:pPr>
            <w:r>
              <w:rPr>
                <w:sz w:val="19"/>
              </w:rPr>
              <w:t>Unusual hour</w:t>
            </w:r>
          </w:p>
        </w:tc>
        <w:tc>
          <w:tcPr>
            <w:tcW w:type="dxa" w:w="2860"/>
          </w:tcPr>
          <w:p>
            <w:pPr>
              <w:spacing w:after="40"/>
              <w:jc w:val="center"/>
            </w:pPr>
            <w:r>
              <w:rPr>
                <w:sz w:val="19"/>
              </w:rPr>
              <w:t>+10</w:t>
            </w:r>
          </w:p>
        </w:tc>
      </w:tr>
    </w:tbl>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4F6F9"/>
          </w:tcPr>
          <w:p>
            <w:pPr>
              <w:spacing w:after="0"/>
            </w:pPr>
            <w:r>
              <w:rPr>
                <w:rFonts w:ascii="Consolas" w:hAnsi="Consolas"/>
                <w:color w:val="0B2545"/>
                <w:sz w:val="19"/>
              </w:rPr>
              <w:t>Example: Germany login from a new device with VPN shortly after Albania login</w:t>
              <w:br/>
              <w:br/>
              <w:t>New device        +20</w:t>
              <w:br/>
              <w:t>VPN               +20</w:t>
              <w:br/>
              <w:t>New country       +15</w:t>
              <w:br/>
              <w:t>Impossible travel +35</w:t>
              <w:br/>
              <w:t>----------------------</w:t>
              <w:br/>
              <w:t>Total              90 = CRITICAL</w:t>
            </w:r>
          </w:p>
        </w:tc>
      </w:tr>
    </w:tbl>
    <w:p/>
    <w:p>
      <w:pPr>
        <w:pStyle w:val="Heading1"/>
      </w:pPr>
      <w:r>
        <w:t>4. Transaction Risk and Rule Score</w:t>
      </w:r>
    </w:p>
    <w:p>
      <w:r>
        <w:t>For transactions, AEGIS first calculates a rule_score. This is the deterministic, explainable score from rules.</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6500"/>
        <w:gridCol w:w="2860"/>
      </w:tblGrid>
      <w:tr>
        <w:tc>
          <w:tcPr>
            <w:tcW w:type="dxa" w:w="6500"/>
            <w:vAlign w:val="center"/>
            <w:shd w:fill="E8EEF5"/>
          </w:tcPr>
          <w:p>
            <w:pPr>
              <w:jc w:val="center"/>
            </w:pPr>
            <w:r>
              <w:rPr>
                <w:b/>
                <w:color w:val="0B2545"/>
              </w:rPr>
              <w:t>Transaction signal</w:t>
            </w:r>
          </w:p>
        </w:tc>
        <w:tc>
          <w:tcPr>
            <w:tcW w:type="dxa" w:w="2860"/>
            <w:vAlign w:val="center"/>
            <w:shd w:fill="E8EEF5"/>
          </w:tcPr>
          <w:p>
            <w:pPr>
              <w:jc w:val="center"/>
            </w:pPr>
            <w:r>
              <w:rPr>
                <w:b/>
                <w:color w:val="0B2545"/>
              </w:rPr>
              <w:t>Points</w:t>
            </w:r>
          </w:p>
        </w:tc>
      </w:tr>
      <w:tr>
        <w:tc>
          <w:tcPr>
            <w:tcW w:type="dxa" w:w="6500"/>
          </w:tcPr>
          <w:p>
            <w:pPr>
              <w:spacing w:after="40"/>
              <w:jc w:val="center"/>
            </w:pPr>
            <w:r>
              <w:rPr>
                <w:sz w:val="19"/>
              </w:rPr>
              <w:t>Amount higher than 5x user average</w:t>
            </w:r>
          </w:p>
        </w:tc>
        <w:tc>
          <w:tcPr>
            <w:tcW w:type="dxa" w:w="2860"/>
          </w:tcPr>
          <w:p>
            <w:pPr>
              <w:spacing w:after="40"/>
              <w:jc w:val="center"/>
            </w:pPr>
            <w:r>
              <w:rPr>
                <w:sz w:val="19"/>
              </w:rPr>
              <w:t>+25</w:t>
            </w:r>
          </w:p>
        </w:tc>
      </w:tr>
      <w:tr>
        <w:tc>
          <w:tcPr>
            <w:tcW w:type="dxa" w:w="6500"/>
          </w:tcPr>
          <w:p>
            <w:pPr>
              <w:spacing w:after="40"/>
              <w:jc w:val="center"/>
            </w:pPr>
            <w:r>
              <w:rPr>
                <w:sz w:val="19"/>
              </w:rPr>
              <w:t>New beneficiary</w:t>
            </w:r>
          </w:p>
        </w:tc>
        <w:tc>
          <w:tcPr>
            <w:tcW w:type="dxa" w:w="2860"/>
          </w:tcPr>
          <w:p>
            <w:pPr>
              <w:spacing w:after="40"/>
              <w:jc w:val="center"/>
            </w:pPr>
            <w:r>
              <w:rPr>
                <w:sz w:val="19"/>
              </w:rPr>
              <w:t>+15</w:t>
            </w:r>
          </w:p>
        </w:tc>
      </w:tr>
      <w:tr>
        <w:tc>
          <w:tcPr>
            <w:tcW w:type="dxa" w:w="6500"/>
          </w:tcPr>
          <w:p>
            <w:pPr>
              <w:spacing w:after="40"/>
              <w:jc w:val="center"/>
            </w:pPr>
            <w:r>
              <w:rPr>
                <w:sz w:val="19"/>
              </w:rPr>
              <w:t>Transaction after suspicious login</w:t>
            </w:r>
          </w:p>
        </w:tc>
        <w:tc>
          <w:tcPr>
            <w:tcW w:type="dxa" w:w="2860"/>
          </w:tcPr>
          <w:p>
            <w:pPr>
              <w:spacing w:after="40"/>
              <w:jc w:val="center"/>
            </w:pPr>
            <w:r>
              <w:rPr>
                <w:sz w:val="19"/>
              </w:rPr>
              <w:t>+25</w:t>
            </w:r>
          </w:p>
        </w:tc>
      </w:tr>
      <w:tr>
        <w:tc>
          <w:tcPr>
            <w:tcW w:type="dxa" w:w="6500"/>
          </w:tcPr>
          <w:p>
            <w:pPr>
              <w:spacing w:after="40"/>
              <w:jc w:val="center"/>
            </w:pPr>
            <w:r>
              <w:rPr>
                <w:sz w:val="19"/>
              </w:rPr>
              <w:t>Many transactions in a short time</w:t>
            </w:r>
          </w:p>
        </w:tc>
        <w:tc>
          <w:tcPr>
            <w:tcW w:type="dxa" w:w="2860"/>
          </w:tcPr>
          <w:p>
            <w:pPr>
              <w:spacing w:after="40"/>
              <w:jc w:val="center"/>
            </w:pPr>
            <w:r>
              <w:rPr>
                <w:sz w:val="19"/>
              </w:rPr>
              <w:t>+20</w:t>
            </w:r>
          </w:p>
        </w:tc>
      </w:tr>
      <w:tr>
        <w:tc>
          <w:tcPr>
            <w:tcW w:type="dxa" w:w="6500"/>
          </w:tcPr>
          <w:p>
            <w:pPr>
              <w:spacing w:after="40"/>
              <w:jc w:val="center"/>
            </w:pPr>
            <w:r>
              <w:rPr>
                <w:sz w:val="19"/>
              </w:rPr>
              <w:t>Recipient already flagged</w:t>
            </w:r>
          </w:p>
        </w:tc>
        <w:tc>
          <w:tcPr>
            <w:tcW w:type="dxa" w:w="2860"/>
          </w:tcPr>
          <w:p>
            <w:pPr>
              <w:spacing w:after="40"/>
              <w:jc w:val="center"/>
            </w:pPr>
            <w:r>
              <w:rPr>
                <w:sz w:val="19"/>
              </w:rPr>
              <w:t>+30</w:t>
            </w:r>
          </w:p>
        </w:tc>
      </w:tr>
      <w:tr>
        <w:tc>
          <w:tcPr>
            <w:tcW w:type="dxa" w:w="6500"/>
          </w:tcPr>
          <w:p>
            <w:pPr>
              <w:spacing w:after="40"/>
              <w:jc w:val="center"/>
            </w:pPr>
            <w:r>
              <w:rPr>
                <w:sz w:val="19"/>
              </w:rPr>
              <w:t>VPN login before transfer</w:t>
            </w:r>
          </w:p>
        </w:tc>
        <w:tc>
          <w:tcPr>
            <w:tcW w:type="dxa" w:w="2860"/>
          </w:tcPr>
          <w:p>
            <w:pPr>
              <w:spacing w:after="40"/>
              <w:jc w:val="center"/>
            </w:pPr>
            <w:r>
              <w:rPr>
                <w:sz w:val="19"/>
              </w:rPr>
              <w:t>+20</w:t>
            </w:r>
          </w:p>
        </w:tc>
      </w:tr>
    </w:tbl>
    <w:p/>
    <w:p>
      <w:pPr>
        <w:pStyle w:val="Heading1"/>
      </w:pPr>
      <w:r>
        <w:t>5. Rule Score + XGBoost ML Score</w:t>
      </w:r>
    </w:p>
    <w:p>
      <w:r>
        <w:t>For transaction scoring, AEGIS can combine the rule score with the XGBoost ML score. Rules stay the main source of the final score, while ML adds probability-based intelligence.</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4F6F9"/>
          </w:tcPr>
          <w:p>
            <w:pPr>
              <w:spacing w:after="0"/>
            </w:pPr>
            <w:r>
              <w:rPr>
                <w:rFonts w:ascii="Consolas" w:hAnsi="Consolas"/>
                <w:color w:val="0B2545"/>
                <w:sz w:val="19"/>
              </w:rPr>
              <w:t>final_score = rule_score * 0.65 + ml_score * 0.35</w:t>
              <w:br/>
              <w:br/>
              <w:t>Example:</w:t>
              <w:br/>
              <w:t>Rule score = 70</w:t>
              <w:br/>
              <w:t>ML score   = 100</w:t>
              <w:br/>
              <w:br/>
              <w:t>Final score = 70 * 0.65 + 100 * 0.35</w:t>
              <w:br/>
              <w:t xml:space="preserve">            = 45.5 + 35</w:t>
              <w:br/>
              <w:t xml:space="preserve">            = 80.5, rounded to 80</w:t>
              <w:br/>
              <w:br/>
              <w:t>Severity = HIGH</w:t>
            </w:r>
          </w:p>
        </w:tc>
      </w:tr>
    </w:tbl>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FF7E6"/>
          </w:tcPr>
          <w:p>
            <w:r>
              <w:rPr>
                <w:b/>
                <w:color w:val="7A5A00"/>
              </w:rPr>
              <w:t xml:space="preserve">Fallback behavior: </w:t>
            </w:r>
            <w:r>
              <w:t>If the ML model is disabled or unavailable, AEGIS uses final_score = rule_score. The fraud flow still works.</w:t>
            </w:r>
          </w:p>
        </w:tc>
      </w:tr>
    </w:tbl>
    <w:p/>
    <w:p>
      <w:pPr>
        <w:pStyle w:val="Heading1"/>
      </w:pPr>
      <w:r>
        <w:t>6. Adaptive Friction</w:t>
      </w:r>
    </w:p>
    <w:p>
      <w:r>
        <w:t>After the final risk score is calculated, AEGIS decides what action to take. This is called adaptive friction because the customer experience changes based on risk.</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1600"/>
        <w:gridCol w:w="2400"/>
        <w:gridCol w:w="5360"/>
      </w:tblGrid>
      <w:tr>
        <w:tc>
          <w:tcPr>
            <w:tcW w:type="dxa" w:w="1600"/>
            <w:vAlign w:val="center"/>
            <w:shd w:fill="E8EEF5"/>
          </w:tcPr>
          <w:p>
            <w:pPr>
              <w:jc w:val="center"/>
            </w:pPr>
            <w:r>
              <w:rPr>
                <w:b/>
                <w:color w:val="0B2545"/>
              </w:rPr>
              <w:t>Risk</w:t>
            </w:r>
          </w:p>
        </w:tc>
        <w:tc>
          <w:tcPr>
            <w:tcW w:type="dxa" w:w="2400"/>
            <w:vAlign w:val="center"/>
            <w:shd w:fill="E8EEF5"/>
          </w:tcPr>
          <w:p>
            <w:pPr>
              <w:jc w:val="center"/>
            </w:pPr>
            <w:r>
              <w:rPr>
                <w:b/>
                <w:color w:val="0B2545"/>
              </w:rPr>
              <w:t>Action</w:t>
            </w:r>
          </w:p>
        </w:tc>
        <w:tc>
          <w:tcPr>
            <w:tcW w:type="dxa" w:w="5360"/>
            <w:vAlign w:val="center"/>
            <w:shd w:fill="E8EEF5"/>
          </w:tcPr>
          <w:p>
            <w:pPr>
              <w:jc w:val="center"/>
            </w:pPr>
            <w:r>
              <w:rPr>
                <w:b/>
                <w:color w:val="0B2545"/>
              </w:rPr>
              <w:t>Customer experience</w:t>
            </w:r>
          </w:p>
        </w:tc>
      </w:tr>
      <w:tr>
        <w:tc>
          <w:tcPr>
            <w:tcW w:type="dxa" w:w="1600"/>
          </w:tcPr>
          <w:p>
            <w:pPr>
              <w:spacing w:after="40"/>
              <w:jc w:val="center"/>
            </w:pPr>
            <w:r>
              <w:rPr>
                <w:sz w:val="19"/>
              </w:rPr>
              <w:t>LOW</w:t>
            </w:r>
          </w:p>
        </w:tc>
        <w:tc>
          <w:tcPr>
            <w:tcW w:type="dxa" w:w="2400"/>
          </w:tcPr>
          <w:p>
            <w:pPr>
              <w:spacing w:after="40"/>
              <w:jc w:val="center"/>
            </w:pPr>
            <w:r>
              <w:rPr>
                <w:sz w:val="19"/>
              </w:rPr>
              <w:t>ALLOW</w:t>
            </w:r>
          </w:p>
        </w:tc>
        <w:tc>
          <w:tcPr>
            <w:tcW w:type="dxa" w:w="5360"/>
          </w:tcPr>
          <w:p>
            <w:pPr>
              <w:spacing w:after="40"/>
            </w:pPr>
            <w:r>
              <w:rPr>
                <w:sz w:val="19"/>
              </w:rPr>
              <w:t>Transaction is allowed.</w:t>
            </w:r>
          </w:p>
        </w:tc>
      </w:tr>
      <w:tr>
        <w:tc>
          <w:tcPr>
            <w:tcW w:type="dxa" w:w="1600"/>
          </w:tcPr>
          <w:p>
            <w:pPr>
              <w:spacing w:after="40"/>
              <w:jc w:val="center"/>
            </w:pPr>
            <w:r>
              <w:rPr>
                <w:sz w:val="19"/>
              </w:rPr>
              <w:t>MEDIUM</w:t>
            </w:r>
          </w:p>
        </w:tc>
        <w:tc>
          <w:tcPr>
            <w:tcW w:type="dxa" w:w="2400"/>
          </w:tcPr>
          <w:p>
            <w:pPr>
              <w:spacing w:after="40"/>
              <w:jc w:val="center"/>
            </w:pPr>
            <w:r>
              <w:rPr>
                <w:sz w:val="19"/>
              </w:rPr>
              <w:t>REQUIRE_2FA</w:t>
            </w:r>
          </w:p>
        </w:tc>
        <w:tc>
          <w:tcPr>
            <w:tcW w:type="dxa" w:w="5360"/>
          </w:tcPr>
          <w:p>
            <w:pPr>
              <w:spacing w:after="40"/>
            </w:pPr>
            <w:r>
              <w:rPr>
                <w:sz w:val="19"/>
              </w:rPr>
              <w:t>Extra verification is required.</w:t>
            </w:r>
          </w:p>
        </w:tc>
      </w:tr>
      <w:tr>
        <w:tc>
          <w:tcPr>
            <w:tcW w:type="dxa" w:w="1600"/>
          </w:tcPr>
          <w:p>
            <w:pPr>
              <w:spacing w:after="40"/>
              <w:jc w:val="center"/>
            </w:pPr>
            <w:r>
              <w:rPr>
                <w:sz w:val="19"/>
              </w:rPr>
              <w:t>HIGH</w:t>
            </w:r>
          </w:p>
        </w:tc>
        <w:tc>
          <w:tcPr>
            <w:tcW w:type="dxa" w:w="2400"/>
          </w:tcPr>
          <w:p>
            <w:pPr>
              <w:spacing w:after="40"/>
              <w:jc w:val="center"/>
            </w:pPr>
            <w:r>
              <w:rPr>
                <w:sz w:val="19"/>
              </w:rPr>
              <w:t>HOLD_FOR_REVIEW</w:t>
            </w:r>
          </w:p>
        </w:tc>
        <w:tc>
          <w:tcPr>
            <w:tcW w:type="dxa" w:w="5360"/>
          </w:tcPr>
          <w:p>
            <w:pPr>
              <w:spacing w:after="40"/>
            </w:pPr>
            <w:r>
              <w:rPr>
                <w:sz w:val="19"/>
              </w:rPr>
              <w:t>Transaction is held for analyst review.</w:t>
            </w:r>
          </w:p>
        </w:tc>
      </w:tr>
      <w:tr>
        <w:tc>
          <w:tcPr>
            <w:tcW w:type="dxa" w:w="1600"/>
          </w:tcPr>
          <w:p>
            <w:pPr>
              <w:spacing w:after="40"/>
              <w:jc w:val="center"/>
            </w:pPr>
            <w:r>
              <w:rPr>
                <w:sz w:val="19"/>
              </w:rPr>
              <w:t>CRITICAL</w:t>
            </w:r>
          </w:p>
        </w:tc>
        <w:tc>
          <w:tcPr>
            <w:tcW w:type="dxa" w:w="2400"/>
          </w:tcPr>
          <w:p>
            <w:pPr>
              <w:spacing w:after="40"/>
              <w:jc w:val="center"/>
            </w:pPr>
            <w:r>
              <w:rPr>
                <w:sz w:val="19"/>
              </w:rPr>
              <w:t>BLOCK_AND_ALERT</w:t>
            </w:r>
          </w:p>
        </w:tc>
        <w:tc>
          <w:tcPr>
            <w:tcW w:type="dxa" w:w="5360"/>
          </w:tcPr>
          <w:p>
            <w:pPr>
              <w:spacing w:after="40"/>
            </w:pPr>
            <w:r>
              <w:rPr>
                <w:sz w:val="19"/>
              </w:rPr>
              <w:t>Transaction is blocked and an alert is created.</w:t>
            </w:r>
          </w:p>
        </w:tc>
      </w:tr>
    </w:tbl>
    <w:p/>
    <w:p>
      <w:pPr>
        <w:pStyle w:val="Heading1"/>
      </w:pPr>
      <w:r>
        <w:t>7. Trust Score</w:t>
      </w:r>
    </w:p>
    <w:p>
      <w:r>
        <w:t>Trust score is different from risk score. Risk score measures one event. Trust score measures the customer/account reliability over time.</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4680"/>
        <w:gridCol w:w="4680"/>
      </w:tblGrid>
      <w:tr>
        <w:tc>
          <w:tcPr>
            <w:tcW w:type="dxa" w:w="4680"/>
            <w:vAlign w:val="center"/>
            <w:shd w:fill="E8EEF5"/>
          </w:tcPr>
          <w:p>
            <w:pPr>
              <w:jc w:val="center"/>
            </w:pPr>
            <w:r>
              <w:rPr>
                <w:b/>
                <w:color w:val="0B2545"/>
              </w:rPr>
              <w:t>Trust decreases for</w:t>
            </w:r>
          </w:p>
        </w:tc>
        <w:tc>
          <w:tcPr>
            <w:tcW w:type="dxa" w:w="4680"/>
            <w:vAlign w:val="center"/>
            <w:shd w:fill="E8EEF5"/>
          </w:tcPr>
          <w:p>
            <w:pPr>
              <w:jc w:val="center"/>
            </w:pPr>
            <w:r>
              <w:rPr>
                <w:b/>
                <w:color w:val="0B2545"/>
              </w:rPr>
              <w:t>Trust increases for</w:t>
            </w:r>
          </w:p>
        </w:tc>
      </w:tr>
      <w:tr>
        <w:tc>
          <w:tcPr>
            <w:tcW w:type="dxa" w:w="4680"/>
          </w:tcPr>
          <w:p>
            <w:pPr>
              <w:spacing w:after="40"/>
              <w:jc w:val="center"/>
            </w:pPr>
            <w:r>
              <w:rPr>
                <w:sz w:val="19"/>
              </w:rPr>
              <w:t>New device</w:t>
            </w:r>
          </w:p>
        </w:tc>
        <w:tc>
          <w:tcPr>
            <w:tcW w:type="dxa" w:w="4680"/>
          </w:tcPr>
          <w:p>
            <w:pPr>
              <w:spacing w:after="40"/>
            </w:pPr>
            <w:r>
              <w:rPr>
                <w:sz w:val="19"/>
              </w:rPr>
              <w:t>Trusted device normal login</w:t>
            </w:r>
          </w:p>
        </w:tc>
      </w:tr>
      <w:tr>
        <w:tc>
          <w:tcPr>
            <w:tcW w:type="dxa" w:w="4680"/>
          </w:tcPr>
          <w:p>
            <w:pPr>
              <w:spacing w:after="40"/>
              <w:jc w:val="center"/>
            </w:pPr>
            <w:r>
              <w:rPr>
                <w:sz w:val="19"/>
              </w:rPr>
              <w:t>VPN or proxy</w:t>
            </w:r>
          </w:p>
        </w:tc>
        <w:tc>
          <w:tcPr>
            <w:tcW w:type="dxa" w:w="4680"/>
          </w:tcPr>
          <w:p>
            <w:pPr>
              <w:spacing w:after="40"/>
            </w:pPr>
            <w:r>
              <w:rPr>
                <w:sz w:val="19"/>
              </w:rPr>
              <w:t>Normal transaction</w:t>
            </w:r>
          </w:p>
        </w:tc>
      </w:tr>
      <w:tr>
        <w:tc>
          <w:tcPr>
            <w:tcW w:type="dxa" w:w="4680"/>
          </w:tcPr>
          <w:p>
            <w:pPr>
              <w:spacing w:after="40"/>
              <w:jc w:val="center"/>
            </w:pPr>
            <w:r>
              <w:rPr>
                <w:sz w:val="19"/>
              </w:rPr>
              <w:t>Impossible travel</w:t>
            </w:r>
          </w:p>
        </w:tc>
        <w:tc>
          <w:tcPr>
            <w:tcW w:type="dxa" w:w="4680"/>
          </w:tcPr>
          <w:p>
            <w:pPr>
              <w:spacing w:after="40"/>
            </w:pPr>
            <w:r>
              <w:rPr>
                <w:sz w:val="19"/>
              </w:rPr>
              <w:t>Successful verification simulation</w:t>
            </w:r>
          </w:p>
        </w:tc>
      </w:tr>
      <w:tr>
        <w:tc>
          <w:tcPr>
            <w:tcW w:type="dxa" w:w="4680"/>
          </w:tcPr>
          <w:p>
            <w:pPr>
              <w:spacing w:after="40"/>
              <w:jc w:val="center"/>
            </w:pPr>
            <w:r>
              <w:rPr>
                <w:sz w:val="19"/>
              </w:rPr>
              <w:t>Token theft</w:t>
            </w:r>
          </w:p>
        </w:tc>
        <w:tc>
          <w:tcPr>
            <w:tcW w:type="dxa" w:w="4680"/>
          </w:tcPr>
          <w:p>
            <w:pPr>
              <w:spacing w:after="40"/>
              <w:jc w:val="center"/>
            </w:pPr>
            <w:r>
              <w:rPr>
                <w:sz w:val="19"/>
              </w:rPr>
            </w:r>
          </w:p>
        </w:tc>
      </w:tr>
      <w:tr>
        <w:tc>
          <w:tcPr>
            <w:tcW w:type="dxa" w:w="4680"/>
          </w:tcPr>
          <w:p>
            <w:pPr>
              <w:spacing w:after="40"/>
              <w:jc w:val="center"/>
            </w:pPr>
            <w:r>
              <w:rPr>
                <w:sz w:val="19"/>
              </w:rPr>
              <w:t>SQL injection</w:t>
            </w:r>
          </w:p>
        </w:tc>
        <w:tc>
          <w:tcPr>
            <w:tcW w:type="dxa" w:w="4680"/>
          </w:tcPr>
          <w:p>
            <w:pPr>
              <w:spacing w:after="40"/>
              <w:jc w:val="center"/>
            </w:pPr>
            <w:r>
              <w:rPr>
                <w:sz w:val="19"/>
              </w:rPr>
            </w:r>
          </w:p>
        </w:tc>
      </w:tr>
      <w:tr>
        <w:tc>
          <w:tcPr>
            <w:tcW w:type="dxa" w:w="4680"/>
          </w:tcPr>
          <w:p>
            <w:pPr>
              <w:spacing w:after="40"/>
              <w:jc w:val="center"/>
            </w:pPr>
            <w:r>
              <w:rPr>
                <w:sz w:val="19"/>
              </w:rPr>
              <w:t>High-risk transaction</w:t>
            </w:r>
          </w:p>
        </w:tc>
        <w:tc>
          <w:tcPr>
            <w:tcW w:type="dxa" w:w="4680"/>
          </w:tcPr>
          <w:p>
            <w:pPr>
              <w:spacing w:after="40"/>
              <w:jc w:val="center"/>
            </w:pPr>
            <w:r>
              <w:rPr>
                <w:sz w:val="19"/>
              </w:rPr>
            </w:r>
          </w:p>
        </w:tc>
      </w:tr>
      <w:tr>
        <w:tc>
          <w:tcPr>
            <w:tcW w:type="dxa" w:w="4680"/>
          </w:tcPr>
          <w:p>
            <w:pPr>
              <w:spacing w:after="40"/>
              <w:jc w:val="center"/>
            </w:pPr>
            <w:r>
              <w:rPr>
                <w:sz w:val="19"/>
              </w:rPr>
              <w:t>Mule connection</w:t>
            </w:r>
          </w:p>
        </w:tc>
        <w:tc>
          <w:tcPr>
            <w:tcW w:type="dxa" w:w="4680"/>
          </w:tcPr>
          <w:p>
            <w:pPr>
              <w:spacing w:after="40"/>
              <w:jc w:val="center"/>
            </w:pPr>
            <w:r>
              <w:rPr>
                <w:sz w:val="19"/>
              </w:rPr>
            </w:r>
          </w:p>
        </w:tc>
      </w:tr>
    </w:tbl>
    <w:p/>
    <w:p>
      <w:r>
        <w:t>Trust also affects friction. For example, medium risk with low trust can be escalated to hold for review. High risk with very low trust can be forced to block and alert.</w:t>
      </w:r>
    </w:p>
    <w:p>
      <w:pPr>
        <w:pStyle w:val="Heading1"/>
      </w:pPr>
      <w:r>
        <w:t>8. Does the Score Change From One Transaction or More?</w:t>
      </w:r>
    </w:p>
    <w:p>
      <w:r>
        <w:t>Risk score is mostly per event. A login gets its own login risk score. A transaction gets its own transaction risk score. A token theft simulation gets its own token theft risk score. A security log gets its own security log risk score.</w:t>
      </w:r>
    </w:p>
    <w:p>
      <w:r>
        <w:t>A transaction risk score does not permanently increase by itself. Each new transaction is scored fresh. However, that fresh score can use context from the past, such as previous suspicious login, many recent transactions, flagged recipient, customer average transaction amount, trust score, device history, login history, and security logs.</w:t>
      </w:r>
    </w:p>
    <w:p>
      <w:r>
        <w:t>Trust score is the score that changes over time. A normal transaction may increase it slightly. A high-risk transaction may decrease it. Multiple transactions and security events can affect trust over time.</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4300"/>
        <w:gridCol w:w="1800"/>
        <w:gridCol w:w="3260"/>
      </w:tblGrid>
      <w:tr>
        <w:tc>
          <w:tcPr>
            <w:tcW w:type="dxa" w:w="4300"/>
            <w:vAlign w:val="center"/>
            <w:shd w:fill="E8EEF5"/>
          </w:tcPr>
          <w:p>
            <w:pPr>
              <w:jc w:val="center"/>
            </w:pPr>
            <w:r>
              <w:rPr>
                <w:b/>
                <w:color w:val="0B2545"/>
              </w:rPr>
              <w:t>Example event</w:t>
            </w:r>
          </w:p>
        </w:tc>
        <w:tc>
          <w:tcPr>
            <w:tcW w:type="dxa" w:w="1800"/>
            <w:vAlign w:val="center"/>
            <w:shd w:fill="E8EEF5"/>
          </w:tcPr>
          <w:p>
            <w:pPr>
              <w:jc w:val="center"/>
            </w:pPr>
            <w:r>
              <w:rPr>
                <w:b/>
                <w:color w:val="0B2545"/>
              </w:rPr>
              <w:t>Risk score</w:t>
            </w:r>
          </w:p>
        </w:tc>
        <w:tc>
          <w:tcPr>
            <w:tcW w:type="dxa" w:w="3260"/>
            <w:vAlign w:val="center"/>
            <w:shd w:fill="E8EEF5"/>
          </w:tcPr>
          <w:p>
            <w:pPr>
              <w:jc w:val="center"/>
            </w:pPr>
            <w:r>
              <w:rPr>
                <w:b/>
                <w:color w:val="0B2545"/>
              </w:rPr>
              <w:t>Trust effect</w:t>
            </w:r>
          </w:p>
        </w:tc>
      </w:tr>
      <w:tr>
        <w:tc>
          <w:tcPr>
            <w:tcW w:type="dxa" w:w="4300"/>
          </w:tcPr>
          <w:p>
            <w:pPr>
              <w:spacing w:after="40"/>
              <w:jc w:val="center"/>
            </w:pPr>
            <w:r>
              <w:rPr>
                <w:sz w:val="19"/>
              </w:rPr>
              <w:t>Transaction 1: normal</w:t>
            </w:r>
          </w:p>
        </w:tc>
        <w:tc>
          <w:tcPr>
            <w:tcW w:type="dxa" w:w="1800"/>
          </w:tcPr>
          <w:p>
            <w:pPr>
              <w:spacing w:after="40"/>
              <w:jc w:val="center"/>
            </w:pPr>
            <w:r>
              <w:rPr>
                <w:sz w:val="19"/>
              </w:rPr>
              <w:t>10</w:t>
            </w:r>
          </w:p>
        </w:tc>
        <w:tc>
          <w:tcPr>
            <w:tcW w:type="dxa" w:w="3260"/>
          </w:tcPr>
          <w:p>
            <w:pPr>
              <w:spacing w:after="40"/>
              <w:jc w:val="center"/>
            </w:pPr>
            <w:r>
              <w:rPr>
                <w:sz w:val="19"/>
              </w:rPr>
              <w:t>+2 trust</w:t>
            </w:r>
          </w:p>
        </w:tc>
      </w:tr>
      <w:tr>
        <w:tc>
          <w:tcPr>
            <w:tcW w:type="dxa" w:w="4300"/>
          </w:tcPr>
          <w:p>
            <w:pPr>
              <w:spacing w:after="40"/>
              <w:jc w:val="center"/>
            </w:pPr>
            <w:r>
              <w:rPr>
                <w:sz w:val="19"/>
              </w:rPr>
              <w:t>Transaction 2: high amount + new beneficiary</w:t>
            </w:r>
          </w:p>
        </w:tc>
        <w:tc>
          <w:tcPr>
            <w:tcW w:type="dxa" w:w="1800"/>
          </w:tcPr>
          <w:p>
            <w:pPr>
              <w:spacing w:after="40"/>
              <w:jc w:val="center"/>
            </w:pPr>
            <w:r>
              <w:rPr>
                <w:sz w:val="19"/>
              </w:rPr>
              <w:t>70</w:t>
            </w:r>
          </w:p>
        </w:tc>
        <w:tc>
          <w:tcPr>
            <w:tcW w:type="dxa" w:w="3260"/>
          </w:tcPr>
          <w:p>
            <w:pPr>
              <w:spacing w:after="40"/>
              <w:jc w:val="center"/>
            </w:pPr>
            <w:r>
              <w:rPr>
                <w:sz w:val="19"/>
              </w:rPr>
              <w:t>-20 trust</w:t>
            </w:r>
          </w:p>
        </w:tc>
      </w:tr>
      <w:tr>
        <w:tc>
          <w:tcPr>
            <w:tcW w:type="dxa" w:w="4300"/>
          </w:tcPr>
          <w:p>
            <w:pPr>
              <w:spacing w:after="40"/>
              <w:jc w:val="center"/>
            </w:pPr>
            <w:r>
              <w:rPr>
                <w:sz w:val="19"/>
              </w:rPr>
              <w:t>Transaction 3: normal again</w:t>
            </w:r>
          </w:p>
        </w:tc>
        <w:tc>
          <w:tcPr>
            <w:tcW w:type="dxa" w:w="1800"/>
          </w:tcPr>
          <w:p>
            <w:pPr>
              <w:spacing w:after="40"/>
              <w:jc w:val="center"/>
            </w:pPr>
            <w:r>
              <w:rPr>
                <w:sz w:val="19"/>
              </w:rPr>
              <w:t>8</w:t>
            </w:r>
          </w:p>
        </w:tc>
        <w:tc>
          <w:tcPr>
            <w:tcW w:type="dxa" w:w="3260"/>
          </w:tcPr>
          <w:p>
            <w:pPr>
              <w:spacing w:after="40"/>
              <w:jc w:val="center"/>
            </w:pPr>
            <w:r>
              <w:rPr>
                <w:sz w:val="19"/>
              </w:rPr>
              <w:t>+2 trust</w:t>
            </w:r>
          </w:p>
        </w:tc>
      </w:tr>
    </w:tbl>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FF7E6"/>
          </w:tcPr>
          <w:p>
            <w:r>
              <w:rPr>
                <w:b/>
                <w:color w:val="7A5A00"/>
              </w:rPr>
              <w:t xml:space="preserve">Remember: </w:t>
            </w:r>
            <w:r>
              <w:t>Risk score is per event. Trust score is cumulative customer history.</w:t>
            </w:r>
          </w:p>
        </w:tc>
      </w:tr>
    </w:tbl>
    <w:p/>
    <w:p>
      <w:pPr>
        <w:pStyle w:val="Heading1"/>
      </w:pPr>
      <w:r>
        <w:t>9. Simple Mental Model</w:t>
      </w:r>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4F6F9"/>
          </w:tcPr>
          <w:p>
            <w:pPr>
              <w:spacing w:after="0"/>
            </w:pPr>
            <w:r>
              <w:rPr>
                <w:rFonts w:ascii="Consolas" w:hAnsi="Consolas"/>
                <w:color w:val="0B2545"/>
                <w:sz w:val="19"/>
              </w:rPr>
              <w:t>Customer action</w:t>
              <w:br/>
              <w:t xml:space="preserve">   |</w:t>
              <w:br/>
              <w:t xml:space="preserve">   v</w:t>
              <w:br/>
              <w:t>Rule engine calculates risk</w:t>
              <w:br/>
              <w:t xml:space="preserve">   |</w:t>
              <w:br/>
              <w:t xml:space="preserve">   v</w:t>
              <w:br/>
              <w:t>For transactions, XGBoost may add ML score</w:t>
              <w:br/>
              <w:t xml:space="preserve">   |</w:t>
              <w:br/>
              <w:t xml:space="preserve">   v</w:t>
              <w:br/>
              <w:t>Final risk score becomes LOW / MEDIUM / HIGH / CRITICAL</w:t>
              <w:br/>
              <w:t xml:space="preserve">   |</w:t>
              <w:br/>
              <w:t xml:space="preserve">   v</w:t>
              <w:br/>
              <w:t>Adaptive friction decides allow / 2FA / hold / block</w:t>
              <w:br/>
              <w:t xml:space="preserve">   |</w:t>
              <w:br/>
              <w:t xml:space="preserve">   v</w:t>
              <w:br/>
              <w:t>Trust score may increase or decrease</w:t>
              <w:br/>
              <w:t xml:space="preserve">   |</w:t>
              <w:br/>
              <w:t xml:space="preserve">   v</w:t>
              <w:br/>
              <w:t>Alerts and investigation cases are created when needed</w:t>
            </w:r>
          </w:p>
        </w:tc>
      </w:tr>
    </w:tbl>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4F6F9"/>
          </w:tcPr>
          <w:p>
            <w:pPr>
              <w:spacing w:after="0"/>
            </w:pPr>
            <w:r>
              <w:rPr>
                <w:rFonts w:ascii="Consolas" w:hAnsi="Consolas"/>
                <w:color w:val="0B2545"/>
                <w:sz w:val="19"/>
              </w:rPr>
              <w:t>Per-event score:</w:t>
              <w:br/>
              <w:t>Login 1 risk = 5</w:t>
              <w:br/>
              <w:t>Login 2 risk = 90</w:t>
              <w:br/>
              <w:t>Transaction 1 risk = 10</w:t>
              <w:br/>
              <w:t>Transaction 2 risk = 70</w:t>
              <w:br/>
              <w:br/>
              <w:t>Cumulative score:</w:t>
              <w:br/>
              <w:t>Trust starts around 70</w:t>
              <w:br/>
              <w:t>Normal behavior increases it slowly</w:t>
              <w:br/>
              <w:t>Suspicious behavior decreases it</w:t>
            </w:r>
          </w:p>
        </w:tc>
      </w:tr>
    </w:tbl>
    <w:p/>
    <w:tbl>
      <w:tblPr>
        <w:tblStyle w:val="TableGrid"/>
        <w:tblW w:type="dxa" w:w="9360"/>
        <w:tblLook w:firstColumn="1" w:firstRow="1" w:lastColumn="0" w:lastRow="0" w:noHBand="0" w:noVBand="1" w:val="04A0"/>
        <w:jc w:val="center"/>
        <w:tblCellMar>
          <w:top w:w="100" w:type="dxa"/>
          <w:bottom w:w="100" w:type="dxa"/>
          <w:start w:w="140" w:type="dxa"/>
          <w:end w:w="140" w:type="dxa"/>
        </w:tblCellMar>
      </w:tblPr>
      <w:tblGrid>
        <w:gridCol w:w="9360"/>
      </w:tblGrid>
      <w:tr>
        <w:tc>
          <w:tcPr>
            <w:tcW w:type="dxa" w:w="9360"/>
            <w:vAlign w:val="center"/>
            <w:shd w:fill="FFF7E6"/>
          </w:tcPr>
          <w:p>
            <w:r>
              <w:rPr>
                <w:b/>
                <w:color w:val="7A5A00"/>
              </w:rPr>
              <w:t xml:space="preserve">One-sentence explanation: </w:t>
            </w:r>
            <w:r>
              <w:t>AEGIS scores each event using explainable rules, optionally blends in XGBoost for transactions, maps the final score to severity, chooses a friction action, and updates the customer's trust score over time.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AEGIS Fraud Intelligence - Score System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