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45415" w14:textId="77777777" w:rsidR="006D6B0A" w:rsidRDefault="006D6B0A" w:rsidP="006D6B0A"/>
    <w:p w14:paraId="569A7588" w14:textId="6599F339" w:rsidR="006D6B0A" w:rsidRDefault="006D6B0A" w:rsidP="006D6B0A">
      <w:pPr>
        <w:pStyle w:val="utrang"/>
        <w:spacing w:line="360" w:lineRule="auto"/>
      </w:pPr>
      <w:r>
        <w:rPr>
          <w:noProof/>
        </w:rPr>
        <w:drawing>
          <wp:anchor distT="0" distB="0" distL="114300" distR="114300" simplePos="0" relativeHeight="251659264" behindDoc="0" locked="0" layoutInCell="1" allowOverlap="1" wp14:anchorId="65C00B74" wp14:editId="7D594ADD">
            <wp:simplePos x="0" y="0"/>
            <wp:positionH relativeFrom="margin">
              <wp:align>left</wp:align>
            </wp:positionH>
            <wp:positionV relativeFrom="paragraph">
              <wp:posOffset>-319405</wp:posOffset>
            </wp:positionV>
            <wp:extent cx="1513205" cy="701040"/>
            <wp:effectExtent l="0" t="0" r="0" b="3810"/>
            <wp:wrapNone/>
            <wp:docPr id="1" name="Hình ảnh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ogo, company nam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3205" cy="70104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20051718"/>
    </w:p>
    <w:p w14:paraId="7E9BBC51" w14:textId="77777777" w:rsidR="006D6B0A" w:rsidRDefault="006D6B0A" w:rsidP="006D6B0A">
      <w:pPr>
        <w:pStyle w:val="utrang"/>
        <w:pBdr>
          <w:bottom w:val="single" w:sz="18" w:space="1" w:color="auto"/>
        </w:pBdr>
        <w:spacing w:line="360" w:lineRule="auto"/>
        <w:rPr>
          <w:color w:val="FFFFFF" w:themeColor="background1"/>
        </w:rPr>
      </w:pPr>
    </w:p>
    <w:p w14:paraId="37946E6E" w14:textId="77777777" w:rsidR="006D6B0A" w:rsidRDefault="006D6B0A" w:rsidP="006D6B0A">
      <w:pPr>
        <w:spacing w:before="120" w:line="240" w:lineRule="auto"/>
        <w:jc w:val="center"/>
        <w:rPr>
          <w:rFonts w:ascii="Museo500" w:eastAsia="Times New Roman" w:hAnsi="Museo500" w:cs="Times New Roman"/>
          <w:b/>
          <w:bCs/>
          <w:color w:val="000054"/>
          <w:sz w:val="28"/>
          <w:szCs w:val="28"/>
        </w:rPr>
      </w:pPr>
      <w:r>
        <w:rPr>
          <w:rFonts w:ascii="Museo500" w:eastAsia="Times New Roman" w:hAnsi="Museo500" w:cs="Times New Roman"/>
          <w:b/>
          <w:bCs/>
          <w:color w:val="000054"/>
          <w:sz w:val="28"/>
          <w:szCs w:val="28"/>
        </w:rPr>
        <w:t>RMIT INTERNATIONAL UNIVERSITY VIETNAM</w:t>
      </w:r>
    </w:p>
    <w:p w14:paraId="545D474E" w14:textId="77777777" w:rsidR="006D6B0A" w:rsidRDefault="006D6B0A" w:rsidP="006D6B0A">
      <w:pPr>
        <w:spacing w:line="360" w:lineRule="auto"/>
        <w:jc w:val="center"/>
        <w:rPr>
          <w:rFonts w:ascii="Museo500" w:eastAsia="Times New Roman" w:hAnsi="Museo500" w:cs="Times New Roman"/>
          <w:b/>
          <w:bCs/>
          <w:color w:val="000054"/>
          <w:sz w:val="28"/>
          <w:szCs w:val="28"/>
        </w:rPr>
      </w:pPr>
      <w:r>
        <w:rPr>
          <w:rFonts w:ascii="Museo500" w:eastAsia="Times New Roman" w:hAnsi="Museo500" w:cs="Times New Roman"/>
          <w:b/>
          <w:bCs/>
          <w:color w:val="000054"/>
          <w:sz w:val="28"/>
          <w:szCs w:val="28"/>
        </w:rPr>
        <w:t>Assignment Cover Page</w:t>
      </w:r>
    </w:p>
    <w:tbl>
      <w:tblPr>
        <w:tblStyle w:val="LiBang"/>
        <w:tblW w:w="0" w:type="auto"/>
        <w:jc w:val="center"/>
        <w:tblLayout w:type="fixed"/>
        <w:tblLook w:val="04A0" w:firstRow="1" w:lastRow="0" w:firstColumn="1" w:lastColumn="0" w:noHBand="0" w:noVBand="1"/>
      </w:tblPr>
      <w:tblGrid>
        <w:gridCol w:w="4675"/>
        <w:gridCol w:w="4341"/>
      </w:tblGrid>
      <w:tr w:rsidR="006D6B0A" w14:paraId="2F4C1270"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198550E8"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Subject code</w:t>
            </w:r>
          </w:p>
        </w:tc>
        <w:tc>
          <w:tcPr>
            <w:tcW w:w="4341" w:type="dxa"/>
            <w:tcBorders>
              <w:top w:val="single" w:sz="4" w:space="0" w:color="auto"/>
              <w:left w:val="single" w:sz="4" w:space="0" w:color="auto"/>
              <w:bottom w:val="single" w:sz="4" w:space="0" w:color="auto"/>
              <w:right w:val="single" w:sz="4" w:space="0" w:color="auto"/>
            </w:tcBorders>
            <w:vAlign w:val="center"/>
            <w:hideMark/>
          </w:tcPr>
          <w:p w14:paraId="2A7D9865" w14:textId="5AFB220A" w:rsidR="006D6B0A" w:rsidRPr="006D6B0A" w:rsidRDefault="006D6B0A">
            <w:pPr>
              <w:spacing w:before="40" w:after="40" w:line="276" w:lineRule="auto"/>
              <w:jc w:val="center"/>
              <w:rPr>
                <w:rFonts w:ascii="Museo500" w:eastAsia="Times New Roman" w:hAnsi="Museo500" w:cs="Times New Roman"/>
                <w:color w:val="1F3864" w:themeColor="accent1" w:themeShade="80"/>
                <w:sz w:val="26"/>
                <w:szCs w:val="26"/>
                <w:lang w:val="en-US"/>
              </w:rPr>
            </w:pPr>
            <w:r>
              <w:rPr>
                <w:rFonts w:ascii="Museo500" w:eastAsia="Times New Roman" w:hAnsi="Museo500" w:cs="Times New Roman"/>
                <w:color w:val="1F3864" w:themeColor="accent1" w:themeShade="80"/>
                <w:sz w:val="26"/>
                <w:szCs w:val="26"/>
              </w:rPr>
              <w:t>BUSM25</w:t>
            </w:r>
            <w:r>
              <w:rPr>
                <w:rFonts w:ascii="Museo500" w:eastAsia="Times New Roman" w:hAnsi="Museo500" w:cs="Times New Roman"/>
                <w:color w:val="1F3864" w:themeColor="accent1" w:themeShade="80"/>
                <w:sz w:val="26"/>
                <w:szCs w:val="26"/>
                <w:lang w:val="en-US"/>
              </w:rPr>
              <w:t>65</w:t>
            </w:r>
          </w:p>
        </w:tc>
      </w:tr>
      <w:tr w:rsidR="006D6B0A" w14:paraId="1B29F600"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146C31ED"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Subject name</w:t>
            </w:r>
          </w:p>
        </w:tc>
        <w:tc>
          <w:tcPr>
            <w:tcW w:w="4341" w:type="dxa"/>
            <w:tcBorders>
              <w:top w:val="single" w:sz="4" w:space="0" w:color="auto"/>
              <w:left w:val="single" w:sz="4" w:space="0" w:color="auto"/>
              <w:bottom w:val="single" w:sz="4" w:space="0" w:color="auto"/>
              <w:right w:val="single" w:sz="4" w:space="0" w:color="auto"/>
            </w:tcBorders>
            <w:vAlign w:val="center"/>
            <w:hideMark/>
          </w:tcPr>
          <w:p w14:paraId="15C3FF68" w14:textId="7AA4F6A9" w:rsidR="006D6B0A" w:rsidRPr="006D6B0A" w:rsidRDefault="006D6B0A">
            <w:pPr>
              <w:spacing w:before="40" w:after="40" w:line="276" w:lineRule="auto"/>
              <w:jc w:val="center"/>
              <w:rPr>
                <w:rFonts w:ascii="Museo500" w:eastAsia="Times New Roman" w:hAnsi="Museo500" w:cs="Times New Roman"/>
                <w:color w:val="1F3864" w:themeColor="accent1" w:themeShade="80"/>
                <w:sz w:val="26"/>
                <w:szCs w:val="26"/>
                <w:lang w:val="en-US"/>
              </w:rPr>
            </w:pPr>
            <w:r>
              <w:rPr>
                <w:rFonts w:ascii="Museo500" w:hAnsi="Museo500" w:cstheme="minorHAnsi"/>
                <w:color w:val="1F3864" w:themeColor="accent1" w:themeShade="80"/>
                <w:sz w:val="26"/>
                <w:szCs w:val="26"/>
                <w:lang w:val="en-US"/>
              </w:rPr>
              <w:t>Understanding the Business Society</w:t>
            </w:r>
          </w:p>
        </w:tc>
      </w:tr>
      <w:tr w:rsidR="006D6B0A" w14:paraId="1DB92340"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33CF20D6"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Campus</w:t>
            </w:r>
          </w:p>
        </w:tc>
        <w:tc>
          <w:tcPr>
            <w:tcW w:w="4341" w:type="dxa"/>
            <w:tcBorders>
              <w:top w:val="single" w:sz="4" w:space="0" w:color="auto"/>
              <w:left w:val="single" w:sz="4" w:space="0" w:color="auto"/>
              <w:bottom w:val="single" w:sz="4" w:space="0" w:color="auto"/>
              <w:right w:val="single" w:sz="4" w:space="0" w:color="auto"/>
            </w:tcBorders>
            <w:vAlign w:val="center"/>
            <w:hideMark/>
          </w:tcPr>
          <w:p w14:paraId="2C2B8C7B"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SGS</w:t>
            </w:r>
          </w:p>
        </w:tc>
      </w:tr>
      <w:tr w:rsidR="006D6B0A" w14:paraId="39B44EC5"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628A1C8C"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Title of assignment</w:t>
            </w:r>
          </w:p>
        </w:tc>
        <w:tc>
          <w:tcPr>
            <w:tcW w:w="4341" w:type="dxa"/>
            <w:tcBorders>
              <w:top w:val="single" w:sz="4" w:space="0" w:color="auto"/>
              <w:left w:val="single" w:sz="4" w:space="0" w:color="auto"/>
              <w:bottom w:val="single" w:sz="4" w:space="0" w:color="auto"/>
              <w:right w:val="single" w:sz="4" w:space="0" w:color="auto"/>
            </w:tcBorders>
            <w:vAlign w:val="center"/>
            <w:hideMark/>
          </w:tcPr>
          <w:p w14:paraId="67761FF1" w14:textId="00D79054" w:rsidR="006D6B0A" w:rsidRPr="006D6B0A" w:rsidRDefault="006D6B0A">
            <w:pPr>
              <w:spacing w:before="40" w:after="40" w:line="276" w:lineRule="auto"/>
              <w:jc w:val="center"/>
              <w:rPr>
                <w:rFonts w:ascii="Museo500" w:hAnsi="Museo500" w:cstheme="minorHAnsi"/>
                <w:color w:val="1F3864" w:themeColor="accent1" w:themeShade="80"/>
                <w:sz w:val="26"/>
                <w:szCs w:val="26"/>
                <w:lang w:val="en-US"/>
              </w:rPr>
            </w:pPr>
            <w:r>
              <w:rPr>
                <w:rFonts w:ascii="Museo500" w:hAnsi="Museo500" w:cstheme="minorHAnsi"/>
                <w:color w:val="1F3864" w:themeColor="accent1" w:themeShade="80"/>
                <w:sz w:val="26"/>
                <w:szCs w:val="26"/>
              </w:rPr>
              <w:t xml:space="preserve">Assignment 3 </w:t>
            </w:r>
            <w:r>
              <w:rPr>
                <w:rFonts w:ascii="Museo500" w:hAnsi="Museo500" w:cstheme="minorHAnsi"/>
                <w:color w:val="1F3864" w:themeColor="accent1" w:themeShade="80"/>
                <w:sz w:val="26"/>
                <w:szCs w:val="26"/>
              </w:rPr>
              <w:t>–</w:t>
            </w:r>
            <w:r>
              <w:rPr>
                <w:rFonts w:ascii="Museo500" w:hAnsi="Museo500" w:cstheme="minorHAnsi"/>
                <w:color w:val="1F3864" w:themeColor="accent1" w:themeShade="80"/>
                <w:sz w:val="26"/>
                <w:szCs w:val="26"/>
              </w:rPr>
              <w:t xml:space="preserve"> </w:t>
            </w:r>
            <w:r>
              <w:rPr>
                <w:rFonts w:ascii="Museo500" w:hAnsi="Museo500" w:cstheme="minorHAnsi"/>
                <w:color w:val="1F3864" w:themeColor="accent1" w:themeShade="80"/>
                <w:sz w:val="26"/>
                <w:szCs w:val="26"/>
                <w:lang w:val="en-US"/>
              </w:rPr>
              <w:t>Case Study Analysis</w:t>
            </w:r>
          </w:p>
        </w:tc>
      </w:tr>
      <w:tr w:rsidR="006D6B0A" w14:paraId="15D1B6B5" w14:textId="77777777" w:rsidTr="006D6B0A">
        <w:trPr>
          <w:trHeight w:val="620"/>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553EBCD3"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Student’s name and number</w:t>
            </w:r>
          </w:p>
        </w:tc>
        <w:tc>
          <w:tcPr>
            <w:tcW w:w="4341" w:type="dxa"/>
            <w:tcBorders>
              <w:top w:val="single" w:sz="4" w:space="0" w:color="auto"/>
              <w:left w:val="single" w:sz="4" w:space="0" w:color="auto"/>
              <w:bottom w:val="single" w:sz="4" w:space="0" w:color="auto"/>
              <w:right w:val="single" w:sz="4" w:space="0" w:color="auto"/>
            </w:tcBorders>
            <w:vAlign w:val="center"/>
            <w:hideMark/>
          </w:tcPr>
          <w:p w14:paraId="62DEBBA6" w14:textId="77777777" w:rsidR="006D6B0A" w:rsidRDefault="006D6B0A">
            <w:pPr>
              <w:spacing w:before="40" w:after="40" w:line="276" w:lineRule="auto"/>
              <w:jc w:val="center"/>
              <w:rPr>
                <w:rFonts w:ascii="Museo500" w:hAnsi="Museo500" w:cstheme="minorHAnsi"/>
                <w:color w:val="1F3864" w:themeColor="accent1" w:themeShade="80"/>
                <w:sz w:val="26"/>
                <w:szCs w:val="26"/>
              </w:rPr>
            </w:pPr>
            <w:hyperlink r:id="rId5" w:history="1">
              <w:r>
                <w:rPr>
                  <w:rStyle w:val="Siuktni"/>
                  <w:rFonts w:ascii="Museo500" w:hAnsi="Museo500" w:cstheme="minorHAnsi"/>
                  <w:color w:val="1F3864" w:themeColor="accent1" w:themeShade="80"/>
                  <w:sz w:val="26"/>
                  <w:szCs w:val="26"/>
                  <w:shd w:val="clear" w:color="auto" w:fill="FFFFFF"/>
                </w:rPr>
                <w:t>Do Duy Thinh</w:t>
              </w:r>
            </w:hyperlink>
            <w:r>
              <w:rPr>
                <w:rFonts w:ascii="Museo500" w:hAnsi="Museo500" w:cstheme="minorHAnsi"/>
                <w:color w:val="1F3864" w:themeColor="accent1" w:themeShade="80"/>
                <w:sz w:val="26"/>
                <w:szCs w:val="26"/>
              </w:rPr>
              <w:t xml:space="preserve"> - S3892620</w:t>
            </w:r>
          </w:p>
        </w:tc>
      </w:tr>
      <w:tr w:rsidR="006D6B0A" w14:paraId="09DE2607"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295B0AB5"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Teacher’s name</w:t>
            </w:r>
          </w:p>
        </w:tc>
        <w:tc>
          <w:tcPr>
            <w:tcW w:w="4341" w:type="dxa"/>
            <w:tcBorders>
              <w:top w:val="single" w:sz="4" w:space="0" w:color="auto"/>
              <w:left w:val="single" w:sz="4" w:space="0" w:color="auto"/>
              <w:bottom w:val="single" w:sz="4" w:space="0" w:color="auto"/>
              <w:right w:val="single" w:sz="4" w:space="0" w:color="auto"/>
            </w:tcBorders>
            <w:vAlign w:val="center"/>
            <w:hideMark/>
          </w:tcPr>
          <w:p w14:paraId="24B68A23" w14:textId="4804ACDA" w:rsidR="006D6B0A" w:rsidRPr="006D6B0A" w:rsidRDefault="006D6B0A">
            <w:pPr>
              <w:spacing w:before="40" w:after="40" w:line="276" w:lineRule="auto"/>
              <w:jc w:val="center"/>
              <w:rPr>
                <w:rFonts w:ascii="Museo500" w:eastAsia="Times New Roman" w:hAnsi="Museo500" w:cs="Times New Roman"/>
                <w:color w:val="1F3864" w:themeColor="accent1" w:themeShade="80"/>
                <w:sz w:val="26"/>
                <w:szCs w:val="26"/>
                <w:lang w:val="en-US"/>
              </w:rPr>
            </w:pPr>
            <w:r>
              <w:rPr>
                <w:rFonts w:ascii="Museo500" w:hAnsi="Museo500" w:cstheme="minorHAnsi"/>
                <w:color w:val="1F3864" w:themeColor="accent1" w:themeShade="80"/>
                <w:sz w:val="26"/>
                <w:szCs w:val="26"/>
                <w:lang w:val="en-US"/>
              </w:rPr>
              <w:t>Nguyen Vo Ngoc Thao</w:t>
            </w:r>
          </w:p>
        </w:tc>
      </w:tr>
      <w:tr w:rsidR="006D6B0A" w14:paraId="089F78D2"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2A658EB2"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Assignment due date</w:t>
            </w:r>
          </w:p>
        </w:tc>
        <w:tc>
          <w:tcPr>
            <w:tcW w:w="4341" w:type="dxa"/>
            <w:tcBorders>
              <w:top w:val="single" w:sz="4" w:space="0" w:color="auto"/>
              <w:left w:val="single" w:sz="4" w:space="0" w:color="auto"/>
              <w:bottom w:val="single" w:sz="4" w:space="0" w:color="auto"/>
              <w:right w:val="single" w:sz="4" w:space="0" w:color="auto"/>
            </w:tcBorders>
            <w:vAlign w:val="center"/>
            <w:hideMark/>
          </w:tcPr>
          <w:p w14:paraId="15200654"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20/01/2023</w:t>
            </w:r>
          </w:p>
        </w:tc>
      </w:tr>
      <w:tr w:rsidR="006D6B0A" w14:paraId="09AA75CC"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68EABB85"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Date of submission</w:t>
            </w:r>
          </w:p>
        </w:tc>
        <w:tc>
          <w:tcPr>
            <w:tcW w:w="4341" w:type="dxa"/>
            <w:tcBorders>
              <w:top w:val="single" w:sz="4" w:space="0" w:color="auto"/>
              <w:left w:val="single" w:sz="4" w:space="0" w:color="auto"/>
              <w:bottom w:val="single" w:sz="4" w:space="0" w:color="auto"/>
              <w:right w:val="single" w:sz="4" w:space="0" w:color="auto"/>
            </w:tcBorders>
            <w:vAlign w:val="center"/>
            <w:hideMark/>
          </w:tcPr>
          <w:p w14:paraId="1028D61B"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20/01/2023</w:t>
            </w:r>
          </w:p>
        </w:tc>
      </w:tr>
      <w:tr w:rsidR="006D6B0A" w14:paraId="1DBE61D4"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6B75B81F"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Number of pages included in this one</w:t>
            </w:r>
          </w:p>
        </w:tc>
        <w:tc>
          <w:tcPr>
            <w:tcW w:w="4341" w:type="dxa"/>
            <w:tcBorders>
              <w:top w:val="single" w:sz="4" w:space="0" w:color="auto"/>
              <w:left w:val="single" w:sz="4" w:space="0" w:color="auto"/>
              <w:bottom w:val="single" w:sz="4" w:space="0" w:color="auto"/>
              <w:right w:val="single" w:sz="4" w:space="0" w:color="auto"/>
            </w:tcBorders>
            <w:vAlign w:val="center"/>
            <w:hideMark/>
          </w:tcPr>
          <w:p w14:paraId="1E257320" w14:textId="6DBBF796" w:rsidR="006D6B0A" w:rsidRPr="006D6B0A" w:rsidRDefault="006D6B0A">
            <w:pPr>
              <w:spacing w:before="40" w:after="40" w:line="276" w:lineRule="auto"/>
              <w:jc w:val="center"/>
              <w:rPr>
                <w:rFonts w:ascii="Museo500" w:eastAsia="Times New Roman" w:hAnsi="Museo500" w:cs="Times New Roman"/>
                <w:color w:val="1F3864" w:themeColor="accent1" w:themeShade="80"/>
                <w:sz w:val="26"/>
                <w:szCs w:val="26"/>
                <w:lang w:val="en-US"/>
              </w:rPr>
            </w:pPr>
            <w:r>
              <w:rPr>
                <w:rFonts w:ascii="Museo500" w:eastAsia="Times New Roman" w:hAnsi="Museo500" w:cs="Times New Roman"/>
                <w:color w:val="1F3864" w:themeColor="accent1" w:themeShade="80"/>
                <w:sz w:val="26"/>
                <w:szCs w:val="26"/>
                <w:lang w:val="en-US"/>
              </w:rPr>
              <w:t>7</w:t>
            </w:r>
          </w:p>
        </w:tc>
      </w:tr>
      <w:tr w:rsidR="006D6B0A" w14:paraId="5562D521"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2BBBB545"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Word count</w:t>
            </w:r>
          </w:p>
        </w:tc>
        <w:tc>
          <w:tcPr>
            <w:tcW w:w="4341" w:type="dxa"/>
            <w:tcBorders>
              <w:top w:val="single" w:sz="4" w:space="0" w:color="auto"/>
              <w:left w:val="single" w:sz="4" w:space="0" w:color="auto"/>
              <w:bottom w:val="single" w:sz="4" w:space="0" w:color="auto"/>
              <w:right w:val="single" w:sz="4" w:space="0" w:color="auto"/>
            </w:tcBorders>
            <w:vAlign w:val="center"/>
            <w:hideMark/>
          </w:tcPr>
          <w:p w14:paraId="5B25D4D5" w14:textId="7158C3F6" w:rsidR="006D6B0A" w:rsidRPr="006D6B0A" w:rsidRDefault="006D6B0A">
            <w:pPr>
              <w:spacing w:before="40" w:after="40" w:line="276" w:lineRule="auto"/>
              <w:jc w:val="center"/>
              <w:rPr>
                <w:rFonts w:ascii="Museo500" w:eastAsia="Times New Roman" w:hAnsi="Museo500" w:cs="Times New Roman"/>
                <w:color w:val="1F3864" w:themeColor="accent1" w:themeShade="80"/>
                <w:sz w:val="26"/>
                <w:szCs w:val="26"/>
                <w:lang w:val="en-US"/>
              </w:rPr>
            </w:pPr>
            <w:r>
              <w:rPr>
                <w:rFonts w:ascii="Museo500" w:eastAsia="Times New Roman" w:hAnsi="Museo500" w:cs="Times New Roman"/>
                <w:color w:val="1F3864" w:themeColor="accent1" w:themeShade="80"/>
                <w:sz w:val="26"/>
                <w:szCs w:val="26"/>
                <w:lang w:val="en-US"/>
              </w:rPr>
              <w:t>1901</w:t>
            </w:r>
          </w:p>
        </w:tc>
      </w:tr>
      <w:tr w:rsidR="006D6B0A" w14:paraId="591D4A7F"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4B974674"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Declaration of Authorship:</w:t>
            </w:r>
          </w:p>
          <w:p w14:paraId="0576A676"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Make sure to read the Assessment Declaration</w:t>
            </w:r>
          </w:p>
          <w:p w14:paraId="33DCB9EF"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https://www.rmit.edu.au/students/studentessentials/assessment-and-</w:t>
            </w:r>
          </w:p>
          <w:p w14:paraId="35D5E116"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exams/assessment/assessment-declaration</w:t>
            </w:r>
          </w:p>
        </w:tc>
        <w:tc>
          <w:tcPr>
            <w:tcW w:w="4341" w:type="dxa"/>
            <w:tcBorders>
              <w:top w:val="single" w:sz="4" w:space="0" w:color="auto"/>
              <w:left w:val="single" w:sz="4" w:space="0" w:color="auto"/>
              <w:bottom w:val="single" w:sz="4" w:space="0" w:color="auto"/>
              <w:right w:val="single" w:sz="4" w:space="0" w:color="auto"/>
            </w:tcBorders>
            <w:vAlign w:val="center"/>
          </w:tcPr>
          <w:p w14:paraId="6928EBF8"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I declare that in submitting all work for this assessment I have read, understood and agree</w:t>
            </w:r>
          </w:p>
          <w:p w14:paraId="61F18745"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to the content and expectations of the Assessment Declaration</w:t>
            </w:r>
          </w:p>
          <w:p w14:paraId="09DF5DC7"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p>
        </w:tc>
      </w:tr>
      <w:tr w:rsidR="006D6B0A" w14:paraId="65AAD1E3" w14:textId="77777777" w:rsidTr="006D6B0A">
        <w:trPr>
          <w:jc w:val="center"/>
        </w:trPr>
        <w:tc>
          <w:tcPr>
            <w:tcW w:w="4675" w:type="dxa"/>
            <w:tcBorders>
              <w:top w:val="single" w:sz="4" w:space="0" w:color="auto"/>
              <w:left w:val="single" w:sz="4" w:space="0" w:color="auto"/>
              <w:bottom w:val="single" w:sz="4" w:space="0" w:color="auto"/>
              <w:right w:val="single" w:sz="4" w:space="0" w:color="auto"/>
            </w:tcBorders>
            <w:vAlign w:val="center"/>
            <w:hideMark/>
          </w:tcPr>
          <w:p w14:paraId="53BFD49C" w14:textId="77777777" w:rsidR="006D6B0A" w:rsidRDefault="006D6B0A">
            <w:pPr>
              <w:spacing w:before="40" w:after="40" w:line="276" w:lineRule="auto"/>
              <w:jc w:val="center"/>
              <w:rPr>
                <w:rFonts w:ascii="Museo500" w:eastAsia="Times New Roman" w:hAnsi="Museo500" w:cs="Times New Roman"/>
                <w:color w:val="1F3864" w:themeColor="accent1" w:themeShade="80"/>
                <w:sz w:val="26"/>
                <w:szCs w:val="26"/>
              </w:rPr>
            </w:pPr>
            <w:r>
              <w:rPr>
                <w:rFonts w:ascii="Museo500" w:eastAsia="Times New Roman" w:hAnsi="Museo500" w:cs="Times New Roman"/>
                <w:color w:val="1F3864" w:themeColor="accent1" w:themeShade="80"/>
                <w:sz w:val="26"/>
                <w:szCs w:val="26"/>
              </w:rPr>
              <w:t>Consent to use</w:t>
            </w:r>
          </w:p>
        </w:tc>
        <w:tc>
          <w:tcPr>
            <w:tcW w:w="4341" w:type="dxa"/>
            <w:tcBorders>
              <w:top w:val="single" w:sz="4" w:space="0" w:color="auto"/>
              <w:left w:val="single" w:sz="4" w:space="0" w:color="auto"/>
              <w:bottom w:val="single" w:sz="4" w:space="0" w:color="auto"/>
              <w:right w:val="single" w:sz="4" w:space="0" w:color="auto"/>
            </w:tcBorders>
            <w:vAlign w:val="center"/>
            <w:hideMark/>
          </w:tcPr>
          <w:p w14:paraId="014C42C9" w14:textId="77777777" w:rsidR="006D6B0A" w:rsidRDefault="006D6B0A">
            <w:pPr>
              <w:shd w:val="clear" w:color="auto" w:fill="FFFFFF"/>
              <w:spacing w:before="40" w:after="40" w:line="276" w:lineRule="auto"/>
              <w:jc w:val="center"/>
              <w:rPr>
                <w:rFonts w:ascii="ff7" w:eastAsia="Times New Roman" w:hAnsi="ff7" w:cs="Times New Roman"/>
                <w:color w:val="1F3864" w:themeColor="accent1" w:themeShade="80"/>
                <w:spacing w:val="1"/>
                <w:sz w:val="26"/>
                <w:szCs w:val="26"/>
              </w:rPr>
            </w:pPr>
            <w:r>
              <w:rPr>
                <w:rFonts w:ascii="ff4" w:eastAsia="Times New Roman" w:hAnsi="ff4" w:cs="Times New Roman"/>
                <w:color w:val="1F3864" w:themeColor="accent1" w:themeShade="80"/>
                <w:sz w:val="26"/>
                <w:szCs w:val="26"/>
              </w:rPr>
              <w:t xml:space="preserve">I do </w:t>
            </w:r>
            <w:r>
              <w:rPr>
                <w:rFonts w:ascii="ff4" w:eastAsia="Times New Roman" w:hAnsi="ff4" w:cs="Times New Roman"/>
                <w:color w:val="1F3864" w:themeColor="accent1" w:themeShade="80"/>
                <w:spacing w:val="-1"/>
                <w:sz w:val="26"/>
                <w:szCs w:val="26"/>
              </w:rPr>
              <w:t>NOT</w:t>
            </w:r>
            <w:r>
              <w:rPr>
                <w:rFonts w:ascii="ff4" w:eastAsia="Times New Roman" w:hAnsi="ff4" w:cs="Times New Roman"/>
                <w:color w:val="1F3864" w:themeColor="accent1" w:themeShade="80"/>
                <w:sz w:val="26"/>
                <w:szCs w:val="26"/>
              </w:rPr>
              <w:t xml:space="preserve"> give RMIT University permission to</w:t>
            </w:r>
            <w:r>
              <w:rPr>
                <w:rFonts w:ascii="ff7" w:eastAsia="Times New Roman" w:hAnsi="ff7" w:cs="Times New Roman"/>
                <w:color w:val="1F3864" w:themeColor="accent1" w:themeShade="80"/>
                <w:spacing w:val="1"/>
                <w:sz w:val="26"/>
                <w:szCs w:val="26"/>
              </w:rPr>
              <w:t xml:space="preserve"> </w:t>
            </w:r>
            <w:r>
              <w:rPr>
                <w:rFonts w:ascii="ff4" w:eastAsia="Times New Roman" w:hAnsi="ff4" w:cs="Times New Roman"/>
                <w:color w:val="1F3864" w:themeColor="accent1" w:themeShade="80"/>
                <w:sz w:val="26"/>
                <w:szCs w:val="26"/>
              </w:rPr>
              <w:t>use my work</w:t>
            </w:r>
          </w:p>
        </w:tc>
      </w:tr>
      <w:bookmarkEnd w:id="0"/>
    </w:tbl>
    <w:p w14:paraId="6542EC7F" w14:textId="77777777" w:rsidR="006D6B0A" w:rsidRDefault="006D6B0A" w:rsidP="006D6B0A">
      <w:pPr>
        <w:rPr>
          <w:lang w:val="en-US"/>
        </w:rPr>
      </w:pPr>
    </w:p>
    <w:p w14:paraId="762527DD" w14:textId="098BC716" w:rsidR="006D6B0A" w:rsidRDefault="006D6B0A" w:rsidP="00F15057">
      <w:pPr>
        <w:spacing w:line="360" w:lineRule="auto"/>
        <w:rPr>
          <w:rFonts w:ascii="Arial" w:hAnsi="Arial" w:cs="Arial"/>
          <w:b/>
          <w:bCs/>
          <w:sz w:val="24"/>
          <w:szCs w:val="24"/>
        </w:rPr>
      </w:pPr>
    </w:p>
    <w:p w14:paraId="52613ED1" w14:textId="77B3B35F" w:rsidR="006D6B0A" w:rsidRDefault="006D6B0A" w:rsidP="00F15057">
      <w:pPr>
        <w:spacing w:line="360" w:lineRule="auto"/>
        <w:rPr>
          <w:rFonts w:ascii="Arial" w:hAnsi="Arial" w:cs="Arial"/>
          <w:b/>
          <w:bCs/>
          <w:sz w:val="24"/>
          <w:szCs w:val="24"/>
        </w:rPr>
      </w:pPr>
    </w:p>
    <w:p w14:paraId="43F54B22" w14:textId="77777777" w:rsidR="006D6B0A" w:rsidRDefault="006D6B0A" w:rsidP="00F15057">
      <w:pPr>
        <w:spacing w:line="360" w:lineRule="auto"/>
        <w:rPr>
          <w:rFonts w:ascii="Arial" w:hAnsi="Arial" w:cs="Arial"/>
          <w:b/>
          <w:bCs/>
          <w:sz w:val="24"/>
          <w:szCs w:val="24"/>
        </w:rPr>
      </w:pPr>
    </w:p>
    <w:p w14:paraId="539E0186" w14:textId="3B458C53" w:rsidR="009F57EF" w:rsidRPr="008601DA" w:rsidRDefault="00F15057" w:rsidP="00F15057">
      <w:pPr>
        <w:spacing w:line="360" w:lineRule="auto"/>
        <w:rPr>
          <w:rFonts w:ascii="Arial" w:hAnsi="Arial" w:cs="Arial"/>
          <w:b/>
          <w:bCs/>
          <w:sz w:val="24"/>
          <w:szCs w:val="24"/>
        </w:rPr>
      </w:pPr>
      <w:r w:rsidRPr="008601DA">
        <w:rPr>
          <w:rFonts w:ascii="Arial" w:hAnsi="Arial" w:cs="Arial"/>
          <w:b/>
          <w:bCs/>
          <w:sz w:val="24"/>
          <w:szCs w:val="24"/>
        </w:rPr>
        <w:lastRenderedPageBreak/>
        <w:t>Question 1</w:t>
      </w:r>
    </w:p>
    <w:p w14:paraId="79AA1271" w14:textId="31B79BDD" w:rsidR="00EC6C26" w:rsidRDefault="000F0783" w:rsidP="00C8433B">
      <w:pPr>
        <w:spacing w:line="360" w:lineRule="auto"/>
        <w:ind w:firstLine="720"/>
        <w:rPr>
          <w:rFonts w:ascii="Arial" w:hAnsi="Arial" w:cs="Arial"/>
        </w:rPr>
      </w:pPr>
      <w:r w:rsidRPr="000F0783">
        <w:rPr>
          <w:rFonts w:ascii="Arial" w:hAnsi="Arial" w:cs="Arial"/>
        </w:rPr>
        <w:t>Electric vehicles (EVs) are gaining market share and popularity across the globe, and this trend is expected to continue. In addition, governments around the world offer subsidies and rebates to encourage the use of electric vehicles (EVs), and tech titans Apple and Amazon have begun investing in their EV projects. However, automakers are currently facing a global shortage of semiconductors due to the pandemic, which is impacting the production of electric vehicles. VinFast, a Vietnamese private automobile manufacturer headquartered in Vietnam, is affected by these macroenvironmental changes. Using PESTEL analysis, we can examine VinFast's EVs' business environment and identify the factors influencing the company in this situation</w:t>
      </w:r>
      <w:r w:rsidR="00EC6C26" w:rsidRPr="00EC6C26">
        <w:rPr>
          <w:rFonts w:ascii="Arial" w:hAnsi="Arial" w:cs="Arial"/>
        </w:rPr>
        <w:t>.</w:t>
      </w:r>
    </w:p>
    <w:p w14:paraId="70100C91" w14:textId="48BC44D9" w:rsidR="00025A29" w:rsidRDefault="00F15057" w:rsidP="00F15057">
      <w:pPr>
        <w:spacing w:line="360" w:lineRule="auto"/>
        <w:rPr>
          <w:rFonts w:ascii="Arial" w:hAnsi="Arial" w:cs="Arial"/>
        </w:rPr>
      </w:pPr>
      <w:r w:rsidRPr="00025A29">
        <w:rPr>
          <w:rFonts w:ascii="Arial" w:hAnsi="Arial" w:cs="Arial"/>
          <w:b/>
          <w:bCs/>
        </w:rPr>
        <w:t>Political</w:t>
      </w:r>
      <w:r w:rsidRPr="00F15057">
        <w:rPr>
          <w:rFonts w:ascii="Arial" w:hAnsi="Arial" w:cs="Arial"/>
        </w:rPr>
        <w:t xml:space="preserve">: </w:t>
      </w:r>
      <w:r w:rsidR="00025A29" w:rsidRPr="00025A29">
        <w:rPr>
          <w:rFonts w:ascii="Arial" w:hAnsi="Arial" w:cs="Arial"/>
        </w:rPr>
        <w:t>The Vietnamese government has set a goal for EVs to account for 30% of the total vehicle market by 2030, emphasizing domestic production. The Vietnamese government has set ambitious plans for the number of electric vehicles and is actively promoting the use of electric vehicles through subsidies and rebates. This favorable policy environment is advantageous for VinFast because it enables them to access government funding and other incentives, which can help reduce production costs and increase demand for their electric vehicles.</w:t>
      </w:r>
    </w:p>
    <w:p w14:paraId="0EBFC585" w14:textId="4CBEE1EB" w:rsidR="00C6571E" w:rsidRDefault="000F0783" w:rsidP="00F15057">
      <w:pPr>
        <w:spacing w:line="360" w:lineRule="auto"/>
        <w:rPr>
          <w:rFonts w:ascii="Arial" w:hAnsi="Arial" w:cs="Arial"/>
        </w:rPr>
      </w:pPr>
      <w:r w:rsidRPr="000F0783">
        <w:rPr>
          <w:rFonts w:ascii="Arial" w:hAnsi="Arial" w:cs="Arial"/>
          <w:b/>
          <w:bCs/>
        </w:rPr>
        <w:t xml:space="preserve">Economic: </w:t>
      </w:r>
      <w:r w:rsidRPr="000F0783">
        <w:rPr>
          <w:rFonts w:ascii="Arial" w:hAnsi="Arial" w:cs="Arial"/>
        </w:rPr>
        <w:t>The ongoing global pandemic has decreased economic activity and consumer spending, negatively impacting the demand for automobiles and consumer goods. Nonetheless, the long-term trend toward EVs is anticipated to continue, likely increasing EV demand in the future. Moreover, government incentives and subsidies may help increase demand for VinFast's electric vehicles</w:t>
      </w:r>
      <w:r w:rsidR="00C6571E" w:rsidRPr="00C6571E">
        <w:rPr>
          <w:rFonts w:ascii="Arial" w:hAnsi="Arial" w:cs="Arial"/>
        </w:rPr>
        <w:t>.</w:t>
      </w:r>
    </w:p>
    <w:p w14:paraId="0E255A83" w14:textId="77777777" w:rsidR="000F0783" w:rsidRDefault="000F0783" w:rsidP="00F15057">
      <w:pPr>
        <w:spacing w:line="360" w:lineRule="auto"/>
        <w:rPr>
          <w:rFonts w:ascii="Arial" w:hAnsi="Arial" w:cs="Arial"/>
          <w:b/>
          <w:bCs/>
          <w:lang w:val="en-US"/>
        </w:rPr>
      </w:pPr>
      <w:r w:rsidRPr="000F0783">
        <w:rPr>
          <w:rFonts w:ascii="Arial" w:hAnsi="Arial" w:cs="Arial"/>
          <w:b/>
          <w:bCs/>
          <w:lang w:val="en-US"/>
        </w:rPr>
        <w:t xml:space="preserve">Social: </w:t>
      </w:r>
      <w:r w:rsidRPr="000F0783">
        <w:rPr>
          <w:rFonts w:ascii="Arial" w:hAnsi="Arial" w:cs="Arial"/>
          <w:lang w:val="en-US"/>
        </w:rPr>
        <w:t>The sociocultural environment in which VinFast's EVs operate is diverse. Increasing their awareness and concern regarding the environmental impact of gasoline-powered vehicles will likely increase demand for electric vehicles. However, the price of EVs remains high, which may make them inaccessible to specific segments of the population, especially those with lower incomes. VinFast must consider social factors and develop strategies to target the appropriate population segments and adapt to changing consumer preferences.</w:t>
      </w:r>
    </w:p>
    <w:p w14:paraId="525314E8" w14:textId="421A8321" w:rsidR="0060088C" w:rsidRDefault="00F15057" w:rsidP="00F15057">
      <w:pPr>
        <w:spacing w:line="360" w:lineRule="auto"/>
        <w:rPr>
          <w:rFonts w:ascii="Arial" w:hAnsi="Arial" w:cs="Arial"/>
        </w:rPr>
      </w:pPr>
      <w:r w:rsidRPr="00C441E2">
        <w:rPr>
          <w:rFonts w:ascii="Arial" w:hAnsi="Arial" w:cs="Arial"/>
          <w:b/>
          <w:bCs/>
        </w:rPr>
        <w:t>Technological</w:t>
      </w:r>
      <w:r w:rsidRPr="00F15057">
        <w:rPr>
          <w:rFonts w:ascii="Arial" w:hAnsi="Arial" w:cs="Arial"/>
        </w:rPr>
        <w:t xml:space="preserve">: </w:t>
      </w:r>
      <w:r w:rsidR="00C441E2" w:rsidRPr="00C441E2">
        <w:rPr>
          <w:rFonts w:ascii="Arial" w:hAnsi="Arial" w:cs="Arial"/>
        </w:rPr>
        <w:t xml:space="preserve">The technological aspect of VinFast's EVs is evolving rapidly. Electric vehicle manufacturers such as VinFast must keep up with advancements in battery technology, charging infrastructure, and other areas to remain competitive. In addition, the global shortage of semiconductors has affected automakers, which may significantly impact the production and </w:t>
      </w:r>
      <w:r w:rsidR="00C441E2" w:rsidRPr="00C441E2">
        <w:rPr>
          <w:rFonts w:ascii="Arial" w:hAnsi="Arial" w:cs="Arial"/>
        </w:rPr>
        <w:lastRenderedPageBreak/>
        <w:t>supply of electric vehicles. Technology is a significant challenge for the industry, as it necessitates constant innovation, research, and development to remain competitive. VinFast must invest in research and development to ensure the company's competitiveness and readiness for this challenge.</w:t>
      </w:r>
    </w:p>
    <w:p w14:paraId="12751982" w14:textId="464370E3" w:rsidR="00F15057" w:rsidRDefault="00F15057" w:rsidP="00F15057">
      <w:pPr>
        <w:spacing w:line="360" w:lineRule="auto"/>
        <w:rPr>
          <w:rFonts w:ascii="Arial" w:hAnsi="Arial" w:cs="Arial"/>
        </w:rPr>
      </w:pPr>
      <w:r w:rsidRPr="00C441E2">
        <w:rPr>
          <w:rFonts w:ascii="Arial" w:hAnsi="Arial" w:cs="Arial"/>
          <w:b/>
          <w:bCs/>
        </w:rPr>
        <w:t>Environmental</w:t>
      </w:r>
      <w:r w:rsidRPr="00F15057">
        <w:rPr>
          <w:rFonts w:ascii="Arial" w:hAnsi="Arial" w:cs="Arial"/>
        </w:rPr>
        <w:t xml:space="preserve">: </w:t>
      </w:r>
      <w:r w:rsidR="00C441E2" w:rsidRPr="00C441E2">
        <w:rPr>
          <w:rFonts w:ascii="Arial" w:hAnsi="Arial" w:cs="Arial"/>
        </w:rPr>
        <w:t>Increasing concern about the environmental impact of gasoline-powered vehicles is likely to increase demand for EVs. VinFast's EVs are considered eco-friendly because they produce no emissions, which helps to reduce pollution levels. The company's eco-friendly vehicles can serve as a selling point to attract eco-conscious customers. In addition, government regulations and incentives for eco-friendly vehicles may help to increase demand for VinFast's electric vehicles.</w:t>
      </w:r>
      <w:r w:rsidRPr="00F15057">
        <w:rPr>
          <w:rFonts w:ascii="Arial" w:hAnsi="Arial" w:cs="Arial"/>
        </w:rPr>
        <w:t xml:space="preserve"> </w:t>
      </w:r>
    </w:p>
    <w:p w14:paraId="5382940A" w14:textId="762AC778" w:rsidR="00F15057" w:rsidRDefault="00F15057" w:rsidP="00F15057">
      <w:pPr>
        <w:spacing w:line="360" w:lineRule="auto"/>
        <w:rPr>
          <w:rFonts w:ascii="Arial" w:hAnsi="Arial" w:cs="Arial"/>
        </w:rPr>
      </w:pPr>
      <w:r w:rsidRPr="00C441E2">
        <w:rPr>
          <w:rFonts w:ascii="Arial" w:hAnsi="Arial" w:cs="Arial"/>
          <w:b/>
          <w:bCs/>
        </w:rPr>
        <w:t>Legal</w:t>
      </w:r>
      <w:r w:rsidRPr="00F15057">
        <w:rPr>
          <w:rFonts w:ascii="Arial" w:hAnsi="Arial" w:cs="Arial"/>
        </w:rPr>
        <w:t xml:space="preserve">: </w:t>
      </w:r>
      <w:r w:rsidR="00C441E2" w:rsidRPr="00C441E2">
        <w:rPr>
          <w:rFonts w:ascii="Arial" w:hAnsi="Arial" w:cs="Arial"/>
        </w:rPr>
        <w:t>The Vietnamese government has established several favorable policies for electricity production, which could be advantageous to VinFast during the market's redevelopment. The company benefits from the government's promotion of electric vehicles through subsidies and discounts. Moreover, this can be viewed as a market advantage for VinFast's electric cars.</w:t>
      </w:r>
    </w:p>
    <w:p w14:paraId="07D46667" w14:textId="63B8C177" w:rsidR="008B71E8" w:rsidRDefault="008B71E8" w:rsidP="00C8433B">
      <w:pPr>
        <w:spacing w:line="360" w:lineRule="auto"/>
        <w:ind w:firstLine="720"/>
        <w:rPr>
          <w:rFonts w:ascii="Arial" w:hAnsi="Arial" w:cs="Arial"/>
        </w:rPr>
      </w:pPr>
      <w:r w:rsidRPr="008B71E8">
        <w:rPr>
          <w:rFonts w:ascii="Arial" w:hAnsi="Arial" w:cs="Arial"/>
        </w:rPr>
        <w:t xml:space="preserve">In </w:t>
      </w:r>
      <w:r w:rsidR="00C8433B">
        <w:rPr>
          <w:rFonts w:ascii="Arial" w:hAnsi="Arial" w:cs="Arial"/>
          <w:lang w:val="en-US"/>
        </w:rPr>
        <w:t>summary</w:t>
      </w:r>
      <w:r w:rsidRPr="008B71E8">
        <w:rPr>
          <w:rFonts w:ascii="Arial" w:hAnsi="Arial" w:cs="Arial"/>
        </w:rPr>
        <w:t>, the market for electric vehicles has enormous future potential, the global trend of EVs gaining market share and popularity is undeniable, and governments are providing incentives to promote their adoption. Nonetheless, the current global shortage of semiconductors caused by the pandemic has affected the production of electric vehicles. The private Vietnamese automaker VinFast is also impacted by these macroenvironmental shifts. Using PESTEL analysis, we can conclude that VinFast operates in a business environment characterized by a growing market for electric vehicles, government incentives for local production, and a growing awareness of environmental issues. However, high production costs and competition from imports with lower prices may present challenges for the business. VinFast must prioritize innovation, research and development, and cost-effective production methods to overcome these obstacles. VinFast can succeed in the EV industry if it prioritizes innovation and sustainability and adapts to changing market conditions.</w:t>
      </w:r>
    </w:p>
    <w:p w14:paraId="41E2E2FF" w14:textId="77777777" w:rsidR="00BA170C" w:rsidRDefault="00BA170C" w:rsidP="00C8433B">
      <w:pPr>
        <w:spacing w:line="360" w:lineRule="auto"/>
        <w:ind w:firstLine="720"/>
        <w:rPr>
          <w:rFonts w:ascii="Arial" w:hAnsi="Arial" w:cs="Arial"/>
        </w:rPr>
      </w:pPr>
    </w:p>
    <w:p w14:paraId="799BDB8F" w14:textId="6A84E865" w:rsidR="0060088C" w:rsidRPr="008601DA" w:rsidRDefault="0060088C" w:rsidP="00F15057">
      <w:pPr>
        <w:spacing w:line="360" w:lineRule="auto"/>
        <w:rPr>
          <w:rFonts w:ascii="Arial" w:hAnsi="Arial" w:cs="Arial"/>
          <w:b/>
          <w:bCs/>
          <w:sz w:val="24"/>
          <w:szCs w:val="24"/>
          <w:lang w:val="en-US"/>
        </w:rPr>
      </w:pPr>
      <w:r w:rsidRPr="008601DA">
        <w:rPr>
          <w:rFonts w:ascii="Arial" w:hAnsi="Arial" w:cs="Arial"/>
          <w:b/>
          <w:bCs/>
          <w:sz w:val="24"/>
          <w:szCs w:val="24"/>
          <w:lang w:val="en-US"/>
        </w:rPr>
        <w:t>Question 2</w:t>
      </w:r>
    </w:p>
    <w:p w14:paraId="1F9FAA86" w14:textId="77777777" w:rsidR="008601DA" w:rsidRDefault="008601DA" w:rsidP="00C8433B">
      <w:pPr>
        <w:spacing w:line="360" w:lineRule="auto"/>
        <w:ind w:firstLine="720"/>
        <w:rPr>
          <w:rFonts w:ascii="Arial" w:hAnsi="Arial" w:cs="Arial"/>
        </w:rPr>
      </w:pPr>
      <w:r w:rsidRPr="008601DA">
        <w:rPr>
          <w:rFonts w:ascii="Arial" w:hAnsi="Arial" w:cs="Arial"/>
        </w:rPr>
        <w:t xml:space="preserve">The term "pink tax" is used to describe the trend of treating feminine hygiene products like tampons and pads as "luxury items" rather than "essential items" for tax purposes. One variety of "pink tax" is the tax on sanitary products. Proponents of the tax's repeal say it unfairly </w:t>
      </w:r>
      <w:r w:rsidRPr="008601DA">
        <w:rPr>
          <w:rFonts w:ascii="Arial" w:hAnsi="Arial" w:cs="Arial"/>
        </w:rPr>
        <w:lastRenderedPageBreak/>
        <w:t>affects women and will do nothing to close the gender gap in pay, health, or education. In 2019, Australia eliminated its 10% GST (goods and services tax) on tampons. One can look at market failure and government interventions as justifications for the government's move to eliminate the tax on tampons.</w:t>
      </w:r>
    </w:p>
    <w:p w14:paraId="33C1F93E" w14:textId="73EE7F89" w:rsidR="0060088C" w:rsidRDefault="0060088C" w:rsidP="00C8433B">
      <w:pPr>
        <w:spacing w:line="360" w:lineRule="auto"/>
        <w:ind w:firstLine="720"/>
        <w:rPr>
          <w:rFonts w:ascii="Arial" w:hAnsi="Arial" w:cs="Arial"/>
        </w:rPr>
      </w:pPr>
      <w:r w:rsidRPr="0060088C">
        <w:rPr>
          <w:rFonts w:ascii="Arial" w:hAnsi="Arial" w:cs="Arial"/>
        </w:rPr>
        <w:t xml:space="preserve">Market failure occurs when the market is unable to provide goods and services that are socially optimal. In this case, the market failure occurs because the tampon tax leads to a higher cost for essential products that are necessary for women's health and hygiene. This tax leads to a financial burden on women, and it worsens gender inequalities in terms of economic outcomes. Government intervention is necessary to correct market failures and promote social welfare. The government's decision to remove the tampon tax is intended to correct the market failure caused by the tax. By removing the tax, the government aims to reduce the financial burden on women, thus promoting gender equality in terms of economic outcomes. </w:t>
      </w:r>
    </w:p>
    <w:p w14:paraId="5B2F0FFD" w14:textId="77777777" w:rsidR="0060088C" w:rsidRDefault="0060088C" w:rsidP="00C8433B">
      <w:pPr>
        <w:spacing w:line="360" w:lineRule="auto"/>
        <w:ind w:firstLine="720"/>
        <w:rPr>
          <w:rFonts w:ascii="Arial" w:hAnsi="Arial" w:cs="Arial"/>
        </w:rPr>
      </w:pPr>
      <w:r w:rsidRPr="0060088C">
        <w:rPr>
          <w:rFonts w:ascii="Arial" w:hAnsi="Arial" w:cs="Arial"/>
        </w:rPr>
        <w:t xml:space="preserve">Critics of excluding tampons from the GST have said that this policy will not have a real impact on improving the financial situation of women. While removing the tampon tax is a step in the right direction, it may not be sufficient to improve gender equality more effectively. Two other policies that could be implemented to improve gender equality more effectively are: </w:t>
      </w:r>
    </w:p>
    <w:p w14:paraId="596D311C" w14:textId="77777777" w:rsidR="008B71E8" w:rsidRDefault="0060088C" w:rsidP="00C8433B">
      <w:pPr>
        <w:spacing w:line="360" w:lineRule="auto"/>
        <w:ind w:firstLine="720"/>
        <w:rPr>
          <w:rFonts w:ascii="Arial" w:hAnsi="Arial" w:cs="Arial"/>
        </w:rPr>
      </w:pPr>
      <w:r w:rsidRPr="0060088C">
        <w:rPr>
          <w:rFonts w:ascii="Arial" w:hAnsi="Arial" w:cs="Arial"/>
        </w:rPr>
        <w:t xml:space="preserve">Providing free or subsidized feminine products: </w:t>
      </w:r>
      <w:r w:rsidR="008B71E8" w:rsidRPr="008B71E8">
        <w:rPr>
          <w:rFonts w:ascii="Arial" w:hAnsi="Arial" w:cs="Arial"/>
        </w:rPr>
        <w:t>The government could provide free or subsidized feminine hygiene products to low-income women. This policy would assist in reducing the financial burden on women and promote economic parity between men and women.</w:t>
      </w:r>
    </w:p>
    <w:p w14:paraId="31004D6D" w14:textId="5973017A" w:rsidR="0060088C" w:rsidRDefault="0060088C" w:rsidP="00C8433B">
      <w:pPr>
        <w:spacing w:line="360" w:lineRule="auto"/>
        <w:ind w:firstLine="720"/>
        <w:rPr>
          <w:rFonts w:ascii="Arial" w:hAnsi="Arial" w:cs="Arial"/>
        </w:rPr>
      </w:pPr>
      <w:r w:rsidRPr="0060088C">
        <w:rPr>
          <w:rFonts w:ascii="Arial" w:hAnsi="Arial" w:cs="Arial"/>
        </w:rPr>
        <w:t xml:space="preserve">Providing education and awareness about menstrual health: </w:t>
      </w:r>
      <w:r w:rsidR="008B71E8" w:rsidRPr="008B71E8">
        <w:rPr>
          <w:rFonts w:ascii="Arial" w:hAnsi="Arial" w:cs="Arial"/>
        </w:rPr>
        <w:t>The government could provide girls and women with education and awareness about menstrual health. As girls and women will be better equipped to manage their menstrual health, this policy will promote gender equality in terms of health and educational outcomes.</w:t>
      </w:r>
    </w:p>
    <w:p w14:paraId="78E44E71" w14:textId="14F3CD4A" w:rsidR="00FC6C49" w:rsidRDefault="00C964DF" w:rsidP="00C8433B">
      <w:pPr>
        <w:spacing w:line="360" w:lineRule="auto"/>
        <w:ind w:firstLine="720"/>
        <w:rPr>
          <w:rFonts w:ascii="Arial" w:hAnsi="Arial" w:cs="Arial"/>
          <w:lang w:val="en-US"/>
        </w:rPr>
      </w:pPr>
      <w:r w:rsidRPr="00C964DF">
        <w:rPr>
          <w:rFonts w:ascii="Arial" w:hAnsi="Arial" w:cs="Arial"/>
          <w:lang w:val="en-US"/>
        </w:rPr>
        <w:t xml:space="preserve">In </w:t>
      </w:r>
      <w:r w:rsidR="003C5FB6">
        <w:rPr>
          <w:rFonts w:ascii="Arial" w:hAnsi="Arial" w:cs="Arial"/>
          <w:lang w:val="en-US"/>
        </w:rPr>
        <w:t>short,</w:t>
      </w:r>
      <w:r w:rsidRPr="00C964DF">
        <w:rPr>
          <w:rFonts w:ascii="Arial" w:hAnsi="Arial" w:cs="Arial"/>
          <w:lang w:val="en-US"/>
        </w:rPr>
        <w:t xml:space="preserve"> the pink tax exemplifies how government policies can perpetuate gender disparities. Taxing feminine products such as tampons and pads as luxury items instead of essential items imposes an unfair burden on women and diminishes their economic, health, and educational outcomes. Critics have pointed out, however, that it may not be sufficient to improve gender equality more effectively. Therefore, providing free or subsidized feminine products and educating and raising awareness about menstrual health are two additional policies that could significantly impact advancing gender equality.</w:t>
      </w:r>
    </w:p>
    <w:p w14:paraId="68175F88" w14:textId="77777777" w:rsidR="00BA170C" w:rsidRDefault="00BA170C" w:rsidP="00C8433B">
      <w:pPr>
        <w:spacing w:line="360" w:lineRule="auto"/>
        <w:ind w:firstLine="720"/>
        <w:rPr>
          <w:rFonts w:ascii="Arial" w:hAnsi="Arial" w:cs="Arial"/>
          <w:lang w:val="en-US"/>
        </w:rPr>
      </w:pPr>
    </w:p>
    <w:p w14:paraId="6987E9F4" w14:textId="77777777" w:rsidR="00C8433B" w:rsidRDefault="00FC6C49" w:rsidP="00C8433B">
      <w:pPr>
        <w:spacing w:line="360" w:lineRule="auto"/>
        <w:rPr>
          <w:rFonts w:ascii="Arial" w:hAnsi="Arial" w:cs="Arial"/>
          <w:b/>
          <w:bCs/>
          <w:sz w:val="24"/>
          <w:szCs w:val="24"/>
          <w:lang w:val="en-US"/>
        </w:rPr>
      </w:pPr>
      <w:r w:rsidRPr="008601DA">
        <w:rPr>
          <w:rFonts w:ascii="Arial" w:hAnsi="Arial" w:cs="Arial"/>
          <w:b/>
          <w:bCs/>
          <w:sz w:val="24"/>
          <w:szCs w:val="24"/>
          <w:lang w:val="en-US"/>
        </w:rPr>
        <w:t>Question 3</w:t>
      </w:r>
    </w:p>
    <w:p w14:paraId="622C4EC2" w14:textId="3A3434DF" w:rsidR="00975520" w:rsidRPr="00975520" w:rsidRDefault="00975520" w:rsidP="00975520">
      <w:pPr>
        <w:spacing w:line="360" w:lineRule="auto"/>
        <w:ind w:firstLine="720"/>
        <w:rPr>
          <w:rFonts w:ascii="Arial" w:hAnsi="Arial" w:cs="Arial"/>
          <w:lang w:val="en-US"/>
        </w:rPr>
      </w:pPr>
      <w:r w:rsidRPr="00975520">
        <w:rPr>
          <w:rFonts w:ascii="Arial" w:hAnsi="Arial" w:cs="Arial"/>
          <w:lang w:val="en-US"/>
        </w:rPr>
        <w:t>The banking industry in Vietnam can be analyzed using the theories and models of market structure, specifically the oligopoly and monopoly theories. An oligopoly is a market structure in which a small number of firms dominate the market, and a monopoly is a market structure in which a single firm controls the market.</w:t>
      </w:r>
    </w:p>
    <w:p w14:paraId="6C8807CA" w14:textId="7FA9FE59" w:rsidR="00975520" w:rsidRDefault="00BC5C5D" w:rsidP="0057200C">
      <w:pPr>
        <w:spacing w:line="360" w:lineRule="auto"/>
        <w:ind w:firstLine="720"/>
        <w:rPr>
          <w:rFonts w:ascii="Arial" w:hAnsi="Arial" w:cs="Arial"/>
          <w:lang w:val="en-US"/>
        </w:rPr>
      </w:pPr>
      <w:r w:rsidRPr="00BC5C5D">
        <w:rPr>
          <w:rFonts w:ascii="Arial" w:hAnsi="Arial" w:cs="Arial"/>
          <w:lang w:val="en-US"/>
        </w:rPr>
        <w:t>The top five banks in Vietnam, BIDV, VietinBank, Vietcombank, MB, and Techcombank, currently control a significant portion of the market. They are considered the largest banks in total assets, and their dominance on the market is maintained by government regulations prohibiting mergers between these large banks. This market structure is characterized as an oligopoly because a small number of firms dominate the market, and competition among them is limited.</w:t>
      </w:r>
      <w:r w:rsidR="0057200C">
        <w:rPr>
          <w:rFonts w:ascii="Arial" w:hAnsi="Arial" w:cs="Arial"/>
          <w:lang w:val="en-US"/>
        </w:rPr>
        <w:t xml:space="preserve"> </w:t>
      </w:r>
      <w:r w:rsidRPr="00BC5C5D">
        <w:rPr>
          <w:rFonts w:ascii="Arial" w:hAnsi="Arial" w:cs="Arial"/>
          <w:lang w:val="en-US"/>
        </w:rPr>
        <w:t>However, if mergers between central banks were permitted and they had strong incentives to merge, the market structure of the banking industry would inevitably evolve into a monopoly. The merger of these large banks would result in the formation of a single, market-dominating corporation. The action would lead to a lack of competition in the market, as no other firms would be capable of competing with the dominant firm</w:t>
      </w:r>
      <w:r w:rsidR="00975520" w:rsidRPr="00975520">
        <w:rPr>
          <w:rFonts w:ascii="Arial" w:hAnsi="Arial" w:cs="Arial"/>
          <w:lang w:val="en-US"/>
        </w:rPr>
        <w:t>.</w:t>
      </w:r>
    </w:p>
    <w:p w14:paraId="14B5731D" w14:textId="77777777" w:rsidR="00BC5C5D" w:rsidRDefault="00BC5C5D" w:rsidP="00975520">
      <w:pPr>
        <w:spacing w:line="360" w:lineRule="auto"/>
        <w:ind w:firstLine="720"/>
        <w:rPr>
          <w:rFonts w:ascii="Arial" w:hAnsi="Arial" w:cs="Arial"/>
          <w:lang w:val="en-US"/>
        </w:rPr>
      </w:pPr>
      <w:r w:rsidRPr="0057200C">
        <w:rPr>
          <w:rFonts w:ascii="Arial" w:hAnsi="Arial" w:cs="Arial"/>
          <w:lang w:val="en-US"/>
        </w:rPr>
        <w:t xml:space="preserve">The advantages of a monopoly market structure in the banking industry include increased efficiency, as the dominant firm would be able to capitalize on economies of scale and scope, and improved service quality, as the dominant firm would be able to invest more in technology and other resources to enhance the quality of service. </w:t>
      </w:r>
      <w:r w:rsidRPr="00BC5C5D">
        <w:rPr>
          <w:rFonts w:ascii="Arial" w:hAnsi="Arial" w:cs="Arial"/>
          <w:lang w:val="en-US"/>
        </w:rPr>
        <w:t>However, the disadvantages of a monopoly market structure include less competition, which can lead to higher prices, less innovation, and fewer options for consumers since there would be only one company in the market.</w:t>
      </w:r>
    </w:p>
    <w:p w14:paraId="2951A9EA" w14:textId="77777777" w:rsidR="00BC5C5D" w:rsidRDefault="00BC5C5D" w:rsidP="0057200C">
      <w:pPr>
        <w:spacing w:line="360" w:lineRule="auto"/>
        <w:ind w:firstLine="720"/>
        <w:rPr>
          <w:rFonts w:ascii="Arial" w:hAnsi="Arial" w:cs="Arial"/>
          <w:lang w:val="en-US"/>
        </w:rPr>
      </w:pPr>
      <w:r w:rsidRPr="00BC5C5D">
        <w:rPr>
          <w:rFonts w:ascii="Arial" w:hAnsi="Arial" w:cs="Arial"/>
          <w:lang w:val="en-US"/>
        </w:rPr>
        <w:t>The government should regulate the industry following mergers to ensure that competition and consumer choice are protected. The government can accomplish this by limiting the size of businesses and regulating prices to ensure they are reasonable and fair. The government can also implement policies to encourage new firms to enter the market, including providing incentives for small and medium-sized businesses.</w:t>
      </w:r>
    </w:p>
    <w:p w14:paraId="2ECBBF78" w14:textId="0E8073EB" w:rsidR="00BC5C5D" w:rsidRDefault="00BC5C5D" w:rsidP="0057200C">
      <w:pPr>
        <w:spacing w:line="360" w:lineRule="auto"/>
        <w:ind w:firstLine="720"/>
        <w:rPr>
          <w:rFonts w:ascii="Arial" w:hAnsi="Arial" w:cs="Arial"/>
          <w:lang w:val="en-US"/>
        </w:rPr>
      </w:pPr>
      <w:r w:rsidRPr="00BC5C5D">
        <w:rPr>
          <w:rFonts w:ascii="Arial" w:hAnsi="Arial" w:cs="Arial"/>
          <w:lang w:val="en-US"/>
        </w:rPr>
        <w:t xml:space="preserve">In summary, the banking industry in Vietnam is currently dominated by a small number of firms in an oligopoly market structure. Nevertheless, if mergers between major banks were permitted, the market structure would eventually evolve into a monopoly, with a single dominant </w:t>
      </w:r>
      <w:r w:rsidRPr="00BC5C5D">
        <w:rPr>
          <w:rFonts w:ascii="Arial" w:hAnsi="Arial" w:cs="Arial"/>
          <w:lang w:val="en-US"/>
        </w:rPr>
        <w:lastRenderedPageBreak/>
        <w:t>firm controlling the entire market. The advantages and disadvantages of oligopoly and monopoly market structures in the banking industry are distinct, and the government should regulate the industry after mergers to maintain competition and protect consumer choice.</w:t>
      </w:r>
    </w:p>
    <w:p w14:paraId="70EBBB36" w14:textId="77777777" w:rsidR="00797F74" w:rsidRDefault="00797F74" w:rsidP="0057200C">
      <w:pPr>
        <w:spacing w:line="360" w:lineRule="auto"/>
        <w:ind w:firstLine="720"/>
        <w:rPr>
          <w:rFonts w:ascii="Arial" w:hAnsi="Arial" w:cs="Arial"/>
          <w:lang w:val="en-US"/>
        </w:rPr>
      </w:pPr>
    </w:p>
    <w:p w14:paraId="716B859F" w14:textId="1F7A383A" w:rsidR="00FC6C49" w:rsidRPr="008601DA" w:rsidRDefault="00FC6C49" w:rsidP="00C8433B">
      <w:pPr>
        <w:spacing w:line="360" w:lineRule="auto"/>
        <w:rPr>
          <w:rFonts w:ascii="Arial" w:hAnsi="Arial" w:cs="Arial"/>
          <w:b/>
          <w:bCs/>
          <w:sz w:val="24"/>
          <w:szCs w:val="24"/>
          <w:lang w:val="en-US"/>
        </w:rPr>
      </w:pPr>
      <w:r w:rsidRPr="008601DA">
        <w:rPr>
          <w:rFonts w:ascii="Arial" w:hAnsi="Arial" w:cs="Arial"/>
          <w:b/>
          <w:bCs/>
          <w:sz w:val="24"/>
          <w:szCs w:val="24"/>
          <w:lang w:val="en-US"/>
        </w:rPr>
        <w:t>Question 4</w:t>
      </w:r>
    </w:p>
    <w:p w14:paraId="07E5F8F2" w14:textId="2CCA51D0" w:rsidR="00B24666" w:rsidRDefault="00B24666" w:rsidP="0057200C">
      <w:pPr>
        <w:spacing w:line="360" w:lineRule="auto"/>
        <w:ind w:firstLine="720"/>
        <w:rPr>
          <w:rFonts w:ascii="Arial" w:hAnsi="Arial" w:cs="Arial"/>
          <w:lang w:val="en-US"/>
        </w:rPr>
      </w:pPr>
      <w:r w:rsidRPr="00B24666">
        <w:rPr>
          <w:rFonts w:ascii="Arial" w:hAnsi="Arial" w:cs="Arial"/>
          <w:lang w:val="en-US"/>
        </w:rPr>
        <w:t>Coca-Cola and PepsiCo are two of the leading companies in the beverage industry, which is a highly competitive market. The market demand for both firms' drinks is constant, and they both produce comparable goods. Both companies held significant market shares in the past. However, they must choose between competing and spending money on advertising or remaining in their current position without advertising. Advertising is expensive, but it helps raise awareness of a company's products, boosts sales, and expands its market share.</w:t>
      </w:r>
    </w:p>
    <w:p w14:paraId="591E25E5" w14:textId="378F975E" w:rsidR="00B24666" w:rsidRDefault="00B24666" w:rsidP="0057200C">
      <w:pPr>
        <w:spacing w:line="360" w:lineRule="auto"/>
        <w:ind w:firstLine="720"/>
        <w:rPr>
          <w:rFonts w:ascii="Arial" w:hAnsi="Arial" w:cs="Arial"/>
          <w:lang w:val="en-US"/>
        </w:rPr>
      </w:pPr>
      <w:r w:rsidRPr="00B24666">
        <w:rPr>
          <w:rFonts w:ascii="Arial" w:hAnsi="Arial" w:cs="Arial"/>
          <w:lang w:val="en-US"/>
        </w:rPr>
        <w:t>Game theory and a payoff matrix can be utilized to analyze the strategic interaction between Coca-Cola and PepsiCo. In this matrix, the rows represent Coca-actions Cola's, and the columns represent PepsiCo's actions. The matrix's payoffs represent the outcomes for each action combination.</w:t>
      </w:r>
    </w:p>
    <w:p w14:paraId="795D617F" w14:textId="41E26C65" w:rsidR="00B24666" w:rsidRPr="00B24666" w:rsidRDefault="00B24666" w:rsidP="00B24666">
      <w:pPr>
        <w:rPr>
          <w:rFonts w:ascii="Arial" w:hAnsi="Arial" w:cs="Arial"/>
          <w:lang w:val="en-US"/>
        </w:rPr>
      </w:pPr>
      <w:r w:rsidRPr="00B24666">
        <w:rPr>
          <w:rFonts w:ascii="Arial" w:hAnsi="Arial" w:cs="Arial"/>
          <w:lang w:val="en-US"/>
        </w:rPr>
        <w:t>Here is an example of a payoff matrix for this scenario:</w:t>
      </w:r>
    </w:p>
    <w:tbl>
      <w:tblPr>
        <w:tblStyle w:val="LiBang"/>
        <w:tblW w:w="0" w:type="auto"/>
        <w:tblLook w:val="04A0" w:firstRow="1" w:lastRow="0" w:firstColumn="1" w:lastColumn="0" w:noHBand="0" w:noVBand="1"/>
      </w:tblPr>
      <w:tblGrid>
        <w:gridCol w:w="3116"/>
        <w:gridCol w:w="3117"/>
        <w:gridCol w:w="3117"/>
      </w:tblGrid>
      <w:tr w:rsidR="00B24666" w14:paraId="1A14CC64" w14:textId="77777777" w:rsidTr="00D24008">
        <w:tc>
          <w:tcPr>
            <w:tcW w:w="3116" w:type="dxa"/>
            <w:shd w:val="clear" w:color="auto" w:fill="7F7F7F" w:themeFill="text1" w:themeFillTint="80"/>
          </w:tcPr>
          <w:p w14:paraId="0837C79B" w14:textId="77777777" w:rsidR="00B24666" w:rsidRDefault="00B24666" w:rsidP="00D24008">
            <w:pPr>
              <w:jc w:val="right"/>
              <w:rPr>
                <w:rFonts w:ascii="Arial" w:hAnsi="Arial" w:cs="Arial"/>
                <w:lang w:val="en-US"/>
              </w:rPr>
            </w:pPr>
          </w:p>
        </w:tc>
        <w:tc>
          <w:tcPr>
            <w:tcW w:w="3117" w:type="dxa"/>
            <w:shd w:val="clear" w:color="auto" w:fill="ACB9CA" w:themeFill="text2" w:themeFillTint="66"/>
          </w:tcPr>
          <w:p w14:paraId="5EF12BF8" w14:textId="7E8AA15D" w:rsidR="00B24666" w:rsidRDefault="00B24666" w:rsidP="00B24666">
            <w:pPr>
              <w:rPr>
                <w:rFonts w:ascii="Arial" w:hAnsi="Arial" w:cs="Arial"/>
                <w:lang w:val="en-US"/>
              </w:rPr>
            </w:pPr>
            <w:r w:rsidRPr="00B24666">
              <w:rPr>
                <w:rFonts w:ascii="Arial" w:hAnsi="Arial" w:cs="Arial"/>
                <w:lang w:val="en-US"/>
              </w:rPr>
              <w:t>PepsiCo Advertise</w:t>
            </w:r>
          </w:p>
        </w:tc>
        <w:tc>
          <w:tcPr>
            <w:tcW w:w="3117" w:type="dxa"/>
            <w:shd w:val="clear" w:color="auto" w:fill="ACB9CA" w:themeFill="text2" w:themeFillTint="66"/>
          </w:tcPr>
          <w:p w14:paraId="6530BECE" w14:textId="1131F726" w:rsidR="00B24666" w:rsidRDefault="00B24666" w:rsidP="00B24666">
            <w:pPr>
              <w:rPr>
                <w:rFonts w:ascii="Arial" w:hAnsi="Arial" w:cs="Arial"/>
                <w:lang w:val="en-US"/>
              </w:rPr>
            </w:pPr>
            <w:r w:rsidRPr="00B24666">
              <w:rPr>
                <w:rFonts w:ascii="Arial" w:hAnsi="Arial" w:cs="Arial"/>
                <w:lang w:val="en-US"/>
              </w:rPr>
              <w:t>PepsiCo No Advertise</w:t>
            </w:r>
          </w:p>
        </w:tc>
      </w:tr>
      <w:tr w:rsidR="00B24666" w14:paraId="65158976" w14:textId="77777777" w:rsidTr="00B24666">
        <w:tc>
          <w:tcPr>
            <w:tcW w:w="3116" w:type="dxa"/>
            <w:shd w:val="clear" w:color="auto" w:fill="AEAAAA" w:themeFill="background2" w:themeFillShade="BF"/>
          </w:tcPr>
          <w:p w14:paraId="2AF1CCDB" w14:textId="3426C148" w:rsidR="00B24666" w:rsidRDefault="00B24666" w:rsidP="00B24666">
            <w:pPr>
              <w:rPr>
                <w:rFonts w:ascii="Arial" w:hAnsi="Arial" w:cs="Arial"/>
                <w:lang w:val="en-US"/>
              </w:rPr>
            </w:pPr>
            <w:r w:rsidRPr="00B24666">
              <w:rPr>
                <w:rFonts w:ascii="Arial" w:hAnsi="Arial" w:cs="Arial"/>
                <w:lang w:val="en-US"/>
              </w:rPr>
              <w:t>Coca-Cola Advertise</w:t>
            </w:r>
            <w:r w:rsidRPr="00B24666">
              <w:rPr>
                <w:rFonts w:ascii="Arial" w:hAnsi="Arial" w:cs="Arial"/>
                <w:lang w:val="en-US"/>
              </w:rPr>
              <w:tab/>
            </w:r>
          </w:p>
        </w:tc>
        <w:tc>
          <w:tcPr>
            <w:tcW w:w="3117" w:type="dxa"/>
          </w:tcPr>
          <w:p w14:paraId="194CADB3" w14:textId="18C6228F" w:rsidR="00B24666" w:rsidRDefault="00B24666" w:rsidP="00B24666">
            <w:pPr>
              <w:rPr>
                <w:rFonts w:ascii="Arial" w:hAnsi="Arial" w:cs="Arial"/>
                <w:lang w:val="en-US"/>
              </w:rPr>
            </w:pPr>
            <w:r w:rsidRPr="00B24666">
              <w:rPr>
                <w:rFonts w:ascii="Arial" w:hAnsi="Arial" w:cs="Arial"/>
                <w:lang w:val="en-US"/>
              </w:rPr>
              <w:t>(3,3)</w:t>
            </w:r>
          </w:p>
        </w:tc>
        <w:tc>
          <w:tcPr>
            <w:tcW w:w="3117" w:type="dxa"/>
          </w:tcPr>
          <w:p w14:paraId="2DB07216" w14:textId="204E58ED" w:rsidR="00B24666" w:rsidRDefault="00B24666" w:rsidP="00B24666">
            <w:pPr>
              <w:rPr>
                <w:rFonts w:ascii="Arial" w:hAnsi="Arial" w:cs="Arial"/>
                <w:lang w:val="en-US"/>
              </w:rPr>
            </w:pPr>
            <w:r w:rsidRPr="00B24666">
              <w:rPr>
                <w:rFonts w:ascii="Arial" w:hAnsi="Arial" w:cs="Arial"/>
                <w:lang w:val="en-US"/>
              </w:rPr>
              <w:t>(2,4)</w:t>
            </w:r>
          </w:p>
        </w:tc>
      </w:tr>
      <w:tr w:rsidR="00B24666" w14:paraId="7D85EC4D" w14:textId="77777777" w:rsidTr="00B24666">
        <w:tc>
          <w:tcPr>
            <w:tcW w:w="3116" w:type="dxa"/>
            <w:shd w:val="clear" w:color="auto" w:fill="AEAAAA" w:themeFill="background2" w:themeFillShade="BF"/>
          </w:tcPr>
          <w:p w14:paraId="06475B0C" w14:textId="517FD352" w:rsidR="00B24666" w:rsidRDefault="00B24666" w:rsidP="00B24666">
            <w:pPr>
              <w:rPr>
                <w:rFonts w:ascii="Arial" w:hAnsi="Arial" w:cs="Arial"/>
                <w:lang w:val="en-US"/>
              </w:rPr>
            </w:pPr>
            <w:r w:rsidRPr="00B24666">
              <w:rPr>
                <w:rFonts w:ascii="Arial" w:hAnsi="Arial" w:cs="Arial"/>
                <w:lang w:val="en-US"/>
              </w:rPr>
              <w:t>Coca-Cola No Advertise</w:t>
            </w:r>
          </w:p>
        </w:tc>
        <w:tc>
          <w:tcPr>
            <w:tcW w:w="3117" w:type="dxa"/>
          </w:tcPr>
          <w:p w14:paraId="7A7C9367" w14:textId="308466F5" w:rsidR="00B24666" w:rsidRDefault="00B24666" w:rsidP="00B24666">
            <w:pPr>
              <w:rPr>
                <w:rFonts w:ascii="Arial" w:hAnsi="Arial" w:cs="Arial"/>
                <w:lang w:val="en-US"/>
              </w:rPr>
            </w:pPr>
            <w:r w:rsidRPr="00B24666">
              <w:rPr>
                <w:rFonts w:ascii="Arial" w:hAnsi="Arial" w:cs="Arial"/>
                <w:lang w:val="en-US"/>
              </w:rPr>
              <w:t>(4,2)</w:t>
            </w:r>
          </w:p>
        </w:tc>
        <w:tc>
          <w:tcPr>
            <w:tcW w:w="3117" w:type="dxa"/>
          </w:tcPr>
          <w:p w14:paraId="182FD187" w14:textId="1C6029F5" w:rsidR="00B24666" w:rsidRDefault="00B24666" w:rsidP="00B24666">
            <w:pPr>
              <w:rPr>
                <w:rFonts w:ascii="Arial" w:hAnsi="Arial" w:cs="Arial"/>
                <w:lang w:val="en-US"/>
              </w:rPr>
            </w:pPr>
            <w:r w:rsidRPr="00B24666">
              <w:rPr>
                <w:rFonts w:ascii="Arial" w:hAnsi="Arial" w:cs="Arial"/>
                <w:lang w:val="en-US"/>
              </w:rPr>
              <w:t>(3,3)</w:t>
            </w:r>
          </w:p>
        </w:tc>
      </w:tr>
    </w:tbl>
    <w:p w14:paraId="4F4D1EB0" w14:textId="71B2F491" w:rsidR="00B24666" w:rsidRPr="00B24666" w:rsidRDefault="00B24666" w:rsidP="00B24666">
      <w:pPr>
        <w:rPr>
          <w:rFonts w:ascii="Arial" w:hAnsi="Arial" w:cs="Arial"/>
          <w:lang w:val="en-US"/>
        </w:rPr>
      </w:pPr>
    </w:p>
    <w:p w14:paraId="330AAB6C" w14:textId="5727E00E" w:rsidR="00B24666" w:rsidRPr="00B24666" w:rsidRDefault="00B24666" w:rsidP="00B24666">
      <w:pPr>
        <w:spacing w:line="360" w:lineRule="auto"/>
        <w:rPr>
          <w:rFonts w:ascii="Arial" w:hAnsi="Arial" w:cs="Arial"/>
          <w:lang w:val="en-US"/>
        </w:rPr>
      </w:pPr>
      <w:r w:rsidRPr="00B24666">
        <w:rPr>
          <w:rFonts w:ascii="Arial" w:hAnsi="Arial" w:cs="Arial"/>
          <w:lang w:val="en-US"/>
        </w:rPr>
        <w:t>In this payoff matrix, the payoffs are assigned as follows:</w:t>
      </w:r>
    </w:p>
    <w:p w14:paraId="3B5F2873" w14:textId="77777777" w:rsidR="00B24666" w:rsidRPr="00B24666" w:rsidRDefault="00B24666" w:rsidP="00B24666">
      <w:pPr>
        <w:spacing w:line="360" w:lineRule="auto"/>
        <w:rPr>
          <w:rFonts w:ascii="Arial" w:hAnsi="Arial" w:cs="Arial"/>
          <w:lang w:val="en-US"/>
        </w:rPr>
      </w:pPr>
      <w:r w:rsidRPr="00B24666">
        <w:rPr>
          <w:rFonts w:ascii="Arial" w:hAnsi="Arial" w:cs="Arial"/>
          <w:lang w:val="en-US"/>
        </w:rPr>
        <w:t>(3,3) represents the outcome where both companies advertise and share the market evenly.</w:t>
      </w:r>
    </w:p>
    <w:p w14:paraId="4C9F91ED" w14:textId="77777777" w:rsidR="00B24666" w:rsidRPr="00B24666" w:rsidRDefault="00B24666" w:rsidP="00B24666">
      <w:pPr>
        <w:spacing w:line="360" w:lineRule="auto"/>
        <w:rPr>
          <w:rFonts w:ascii="Arial" w:hAnsi="Arial" w:cs="Arial"/>
          <w:lang w:val="en-US"/>
        </w:rPr>
      </w:pPr>
      <w:r w:rsidRPr="00B24666">
        <w:rPr>
          <w:rFonts w:ascii="Arial" w:hAnsi="Arial" w:cs="Arial"/>
          <w:lang w:val="en-US"/>
        </w:rPr>
        <w:t>(2,4) represents the outcome where Coca-Cola advertises and PepsiCo does not, resulting in PepsiCo gaining a larger market share.</w:t>
      </w:r>
    </w:p>
    <w:p w14:paraId="20AE1C3F" w14:textId="77777777" w:rsidR="00B24666" w:rsidRPr="00B24666" w:rsidRDefault="00B24666" w:rsidP="00B24666">
      <w:pPr>
        <w:spacing w:line="360" w:lineRule="auto"/>
        <w:rPr>
          <w:rFonts w:ascii="Arial" w:hAnsi="Arial" w:cs="Arial"/>
          <w:lang w:val="en-US"/>
        </w:rPr>
      </w:pPr>
      <w:r w:rsidRPr="00B24666">
        <w:rPr>
          <w:rFonts w:ascii="Arial" w:hAnsi="Arial" w:cs="Arial"/>
          <w:lang w:val="en-US"/>
        </w:rPr>
        <w:t>(4,2) represents the outcome where PepsiCo advertises and Coca-Cola does not, resulting in Coca-Cola gaining a larger market share.</w:t>
      </w:r>
    </w:p>
    <w:p w14:paraId="50BCAE82" w14:textId="2FCB5121" w:rsidR="00B24666" w:rsidRDefault="00B24666" w:rsidP="00B24666">
      <w:pPr>
        <w:spacing w:line="360" w:lineRule="auto"/>
        <w:rPr>
          <w:rFonts w:ascii="Arial" w:hAnsi="Arial" w:cs="Arial"/>
          <w:lang w:val="en-US"/>
        </w:rPr>
      </w:pPr>
      <w:r w:rsidRPr="00B24666">
        <w:rPr>
          <w:rFonts w:ascii="Arial" w:hAnsi="Arial" w:cs="Arial"/>
          <w:lang w:val="en-US"/>
        </w:rPr>
        <w:t>(3,3) represents the outcome where neither company advertises, and they continue to share the market evenly.</w:t>
      </w:r>
    </w:p>
    <w:p w14:paraId="67F65EFD" w14:textId="30B1B71B" w:rsidR="00B24666" w:rsidRPr="00B24666" w:rsidRDefault="00B24666" w:rsidP="0057200C">
      <w:pPr>
        <w:spacing w:line="360" w:lineRule="auto"/>
        <w:ind w:firstLine="720"/>
        <w:rPr>
          <w:rFonts w:ascii="Arial" w:hAnsi="Arial" w:cs="Arial"/>
          <w:lang w:val="en-US"/>
        </w:rPr>
      </w:pPr>
      <w:r w:rsidRPr="00B24666">
        <w:rPr>
          <w:rFonts w:ascii="Arial" w:hAnsi="Arial" w:cs="Arial"/>
          <w:lang w:val="en-US"/>
        </w:rPr>
        <w:t xml:space="preserve">In this game, the Nash equilibrium is the outcome where both companies choose not to advertise and continue to share the market evenly. This is because, regardless of the action of </w:t>
      </w:r>
      <w:r w:rsidRPr="00B24666">
        <w:rPr>
          <w:rFonts w:ascii="Arial" w:hAnsi="Arial" w:cs="Arial"/>
          <w:lang w:val="en-US"/>
        </w:rPr>
        <w:lastRenderedPageBreak/>
        <w:t>the other player, neither company can gain an advantage by advertising. If one company chooses to advertise, the other company can gain a larger market share by not advertising. And if both companies choose to advertise, they will continue to share the market evenly.</w:t>
      </w:r>
    </w:p>
    <w:p w14:paraId="25F422E0" w14:textId="1640D3C7" w:rsidR="00B24666" w:rsidRPr="00FC6C49" w:rsidRDefault="00FB24BC" w:rsidP="00FB24BC">
      <w:pPr>
        <w:spacing w:line="360" w:lineRule="auto"/>
        <w:ind w:firstLine="720"/>
        <w:rPr>
          <w:rFonts w:ascii="Arial" w:hAnsi="Arial" w:cs="Arial"/>
          <w:lang w:val="en-US"/>
        </w:rPr>
      </w:pPr>
      <w:r w:rsidRPr="00FB24BC">
        <w:rPr>
          <w:rFonts w:ascii="Arial" w:hAnsi="Arial" w:cs="Arial"/>
          <w:lang w:val="en-US"/>
        </w:rPr>
        <w:t>The two businesses can consider forming a cooperative agreement to improve the chances of their mutually desired outcome. This could involve sharing advertising costs or agreeing to advertise at different times to reduce the impact of advertising on each other's market share. In addition, they can invest in research and development to develop new products that will differentiate them from competitors and expand their market share.</w:t>
      </w:r>
    </w:p>
    <w:sectPr w:rsidR="00B24666" w:rsidRPr="00FC6C49" w:rsidSect="009A6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useo500">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ff7">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057"/>
    <w:rsid w:val="00025A29"/>
    <w:rsid w:val="00042EC6"/>
    <w:rsid w:val="000F0783"/>
    <w:rsid w:val="003C5FB6"/>
    <w:rsid w:val="00494E96"/>
    <w:rsid w:val="0057200C"/>
    <w:rsid w:val="0060088C"/>
    <w:rsid w:val="006D6B0A"/>
    <w:rsid w:val="00797F74"/>
    <w:rsid w:val="00824B13"/>
    <w:rsid w:val="008601DA"/>
    <w:rsid w:val="00894ACF"/>
    <w:rsid w:val="008B71E8"/>
    <w:rsid w:val="00975520"/>
    <w:rsid w:val="009A6184"/>
    <w:rsid w:val="009F57EF"/>
    <w:rsid w:val="00AE7C99"/>
    <w:rsid w:val="00B24666"/>
    <w:rsid w:val="00BA170C"/>
    <w:rsid w:val="00BC5C5D"/>
    <w:rsid w:val="00BF46F9"/>
    <w:rsid w:val="00C441E2"/>
    <w:rsid w:val="00C6571E"/>
    <w:rsid w:val="00C8433B"/>
    <w:rsid w:val="00C964DF"/>
    <w:rsid w:val="00D24008"/>
    <w:rsid w:val="00DA27AF"/>
    <w:rsid w:val="00E5473C"/>
    <w:rsid w:val="00EC6C26"/>
    <w:rsid w:val="00F15057"/>
    <w:rsid w:val="00FB24BC"/>
    <w:rsid w:val="00FC6C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8098"/>
  <w15:chartTrackingRefBased/>
  <w15:docId w15:val="{35BA998D-B949-4983-BFC7-F132A7A1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C6C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semiHidden/>
    <w:unhideWhenUsed/>
    <w:rsid w:val="006D6B0A"/>
    <w:rPr>
      <w:color w:val="0563C1" w:themeColor="hyperlink"/>
      <w:u w:val="single"/>
    </w:rPr>
  </w:style>
  <w:style w:type="paragraph" w:styleId="utrang">
    <w:name w:val="header"/>
    <w:basedOn w:val="Binhthng"/>
    <w:link w:val="utrangChar"/>
    <w:uiPriority w:val="99"/>
    <w:semiHidden/>
    <w:unhideWhenUsed/>
    <w:rsid w:val="006D6B0A"/>
    <w:pPr>
      <w:tabs>
        <w:tab w:val="center" w:pos="4680"/>
        <w:tab w:val="right" w:pos="9360"/>
      </w:tabs>
      <w:spacing w:after="0" w:line="240" w:lineRule="auto"/>
    </w:pPr>
    <w:rPr>
      <w:lang w:val="en-US"/>
    </w:rPr>
  </w:style>
  <w:style w:type="character" w:customStyle="1" w:styleId="utrangChar">
    <w:name w:val="Đầu trang Char"/>
    <w:basedOn w:val="Phngmcinhcuaoanvn"/>
    <w:link w:val="utrang"/>
    <w:uiPriority w:val="99"/>
    <w:semiHidden/>
    <w:rsid w:val="006D6B0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859547">
      <w:bodyDiv w:val="1"/>
      <w:marLeft w:val="0"/>
      <w:marRight w:val="0"/>
      <w:marTop w:val="0"/>
      <w:marBottom w:val="0"/>
      <w:divBdr>
        <w:top w:val="none" w:sz="0" w:space="0" w:color="auto"/>
        <w:left w:val="none" w:sz="0" w:space="0" w:color="auto"/>
        <w:bottom w:val="none" w:sz="0" w:space="0" w:color="auto"/>
        <w:right w:val="none" w:sz="0" w:space="0" w:color="auto"/>
      </w:divBdr>
    </w:div>
    <w:div w:id="525680699">
      <w:bodyDiv w:val="1"/>
      <w:marLeft w:val="0"/>
      <w:marRight w:val="0"/>
      <w:marTop w:val="0"/>
      <w:marBottom w:val="0"/>
      <w:divBdr>
        <w:top w:val="none" w:sz="0" w:space="0" w:color="auto"/>
        <w:left w:val="none" w:sz="0" w:space="0" w:color="auto"/>
        <w:bottom w:val="none" w:sz="0" w:space="0" w:color="auto"/>
        <w:right w:val="none" w:sz="0" w:space="0" w:color="auto"/>
      </w:divBdr>
    </w:div>
    <w:div w:id="2081127798">
      <w:bodyDiv w:val="1"/>
      <w:marLeft w:val="0"/>
      <w:marRight w:val="0"/>
      <w:marTop w:val="0"/>
      <w:marBottom w:val="0"/>
      <w:divBdr>
        <w:top w:val="none" w:sz="0" w:space="0" w:color="auto"/>
        <w:left w:val="none" w:sz="0" w:space="0" w:color="auto"/>
        <w:bottom w:val="none" w:sz="0" w:space="0" w:color="auto"/>
        <w:right w:val="none" w:sz="0" w:space="0" w:color="auto"/>
      </w:divBdr>
      <w:divsChild>
        <w:div w:id="733430338">
          <w:marLeft w:val="0"/>
          <w:marRight w:val="0"/>
          <w:marTop w:val="0"/>
          <w:marBottom w:val="0"/>
          <w:divBdr>
            <w:top w:val="none" w:sz="0" w:space="0" w:color="auto"/>
            <w:left w:val="none" w:sz="0" w:space="0" w:color="auto"/>
            <w:bottom w:val="none" w:sz="0" w:space="0" w:color="auto"/>
            <w:right w:val="none" w:sz="0" w:space="0" w:color="auto"/>
          </w:divBdr>
          <w:divsChild>
            <w:div w:id="14262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mit.instructure.com/groups/505267/users/318089"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638</TotalTime>
  <Pages>7</Pages>
  <Words>2043</Words>
  <Characters>11649</Characters>
  <Application>Microsoft Office Word</Application>
  <DocSecurity>0</DocSecurity>
  <Lines>97</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Thinh Do</dc:creator>
  <cp:keywords/>
  <dc:description/>
  <cp:lastModifiedBy>Thinh Do</cp:lastModifiedBy>
  <cp:revision>6</cp:revision>
  <dcterms:created xsi:type="dcterms:W3CDTF">2023-01-18T10:10:00Z</dcterms:created>
  <dcterms:modified xsi:type="dcterms:W3CDTF">2023-01-20T12:51:00Z</dcterms:modified>
</cp:coreProperties>
</file>