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影院管理系统</w:t>
      </w:r>
    </w:p>
    <w:p>
      <w:pPr>
        <w:ind w:firstLine="3360" w:firstLineChars="1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1.用户模块：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（1）用户注册和登录  （2）用户个人信息管理（修改）  （3）退出登录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（4）用户购票  （5）用户退票  （6）用户查询历史订单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2.管理员模块：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（1）管理员注册和登录  （2）管理员发布相关信息  （3）导入导出订单信息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注：相关信息包括影院信息</w:t>
      </w:r>
      <w:r>
        <w:rPr>
          <w:rFonts w:hint="eastAsia" w:ascii="宋体" w:hAnsi="宋体" w:eastAsia="宋体" w:cs="宋体"/>
          <w:lang w:val="en-US" w:eastAsia="zh-CN"/>
        </w:rPr>
        <w:t>、电影信息、电影上映时间表、影厅信息、电影票信息、座位信息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04.75pt;width:39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27CCA"/>
    <w:rsid w:val="5B3478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14765</dc:creator>
  <cp:lastModifiedBy>14765</cp:lastModifiedBy>
  <dcterms:modified xsi:type="dcterms:W3CDTF">2018-08-17T05:15:32Z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