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500"/>
      </w:pPr>
      <w:r>
        <w:rPr>
          <w:rFonts w:ascii="Calibri" w:cs="Calibri" w:eastAsia="Calibri" w:hAnsi="Calibri"/>
          <w:b/>
          <w:bCs/>
          <w:color w:val="1B7F8C"/>
          <w:spacing w:val="60"/>
          <w:sz w:val="22"/>
          <w:szCs w:val="22"/>
        </w:rPr>
        <w:t xml:space="preserve">FINAL BUSINESS REPORT</w:t>
      </w:r>
    </w:p>
    <w:p>
      <w:pPr>
        <w:spacing w:after="200" w:line="320"/>
      </w:pPr>
      <w:r>
        <w:rPr>
          <w:rFonts w:ascii="Calibri" w:cs="Calibri" w:eastAsia="Calibri" w:hAnsi="Calibri"/>
          <w:b/>
          <w:bCs/>
          <w:color w:val="1F3A5F"/>
          <w:sz w:val="52"/>
          <w:szCs w:val="52"/>
        </w:rPr>
        <w:t xml:space="preserve">Airline Flight Delay Intelligence &amp; Operational Performance Analytics</w:t>
      </w:r>
    </w:p>
    <w:p>
      <w:pPr>
        <w:pBdr>
          <w:bottom w:val="single" w:color="1B7F8C" w:sz="12" w:space="10"/>
        </w:pBdr>
        <w:spacing w:after="360"/>
      </w:pPr>
      <w:r>
        <w:rPr>
          <w:rFonts w:ascii="Calibri" w:cs="Calibri" w:eastAsia="Calibri" w:hAnsi="Calibri"/>
          <w:color w:val="5B6577"/>
          <w:sz w:val="26"/>
          <w:szCs w:val="26"/>
        </w:rPr>
        <w:t xml:space="preserve">Where delays occur, why they occur, and where management should act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Item</w:t>
            </w:r>
          </w:p>
        </w:tc>
        <w:tc>
          <w:tcPr>
            <w:tcW w:type="dxa" w:w="7438"/>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Details</w:t>
            </w:r>
          </w:p>
        </w:tc>
      </w:tr>
      <w:tr>
        <w:trPr>
          <w:cantSplit/>
        </w:trPr>
        <w:tc>
          <w:tcPr>
            <w:tcW w:type="dxa" w:w="22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Project type</w:t>
            </w:r>
          </w:p>
        </w:tc>
        <w:tc>
          <w:tcPr>
            <w:tcW w:type="dxa" w:w="74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Descriptive, diagnostic, statistical and business analytics (no machine learning or AI)</w:t>
            </w:r>
          </w:p>
        </w:tc>
      </w:tr>
      <w:tr>
        <w:trPr>
          <w:cantSplit/>
        </w:trPr>
        <w:tc>
          <w:tcPr>
            <w:tcW w:type="dxa" w:w="22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Dataset</w:t>
            </w:r>
          </w:p>
        </w:tc>
        <w:tc>
          <w:tcPr>
            <w:tcW w:type="dxa" w:w="743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3,000,000 flight records · 32 raw variables (39 after cleaning)</w:t>
            </w:r>
          </w:p>
        </w:tc>
      </w:tr>
      <w:tr>
        <w:trPr>
          <w:cantSplit/>
        </w:trPr>
        <w:tc>
          <w:tcPr>
            <w:tcW w:type="dxa" w:w="22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Coverage</w:t>
            </w:r>
          </w:p>
        </w:tc>
        <w:tc>
          <w:tcPr>
            <w:tcW w:type="dxa" w:w="74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1 January 2019 – 31 August 2023 · 18 airlines · 380 origin airports · 7,785 routes</w:t>
            </w:r>
          </w:p>
        </w:tc>
      </w:tr>
      <w:tr>
        <w:trPr>
          <w:cantSplit/>
        </w:trPr>
        <w:tc>
          <w:tcPr>
            <w:tcW w:type="dxa" w:w="22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Tools</w:t>
            </w:r>
          </w:p>
        </w:tc>
        <w:tc>
          <w:tcPr>
            <w:tcW w:type="dxa" w:w="743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Python, NumPy, Pandas, Matplotlib, Seaborn, Tableau</w:t>
            </w:r>
          </w:p>
        </w:tc>
      </w:tr>
      <w:tr>
        <w:trPr>
          <w:cantSplit/>
        </w:trPr>
        <w:tc>
          <w:tcPr>
            <w:tcW w:type="dxa" w:w="22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Prepared by</w:t>
            </w:r>
          </w:p>
        </w:tc>
        <w:tc>
          <w:tcPr>
            <w:tcW w:type="dxa" w:w="74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[Your Name]</w:t>
            </w:r>
          </w:p>
        </w:tc>
      </w:tr>
      <w:tr>
        <w:trPr>
          <w:cantSplit/>
        </w:trPr>
        <w:tc>
          <w:tcPr>
            <w:tcW w:type="dxa" w:w="22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Date</w:t>
            </w:r>
          </w:p>
        </w:tc>
        <w:tc>
          <w:tcPr>
            <w:tcW w:type="dxa" w:w="743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October 2026</w:t>
            </w:r>
          </w:p>
        </w:tc>
      </w:tr>
    </w:tbl>
    <w:p>
      <w:pPr>
        <w:spacing w:after="300"/>
      </w:pPr>
    </w:p>
    <w:p>
      <w:pPr>
        <w:spacing w:after="80"/>
      </w:pPr>
      <w:r>
        <w:rPr>
          <w:rFonts w:ascii="Calibri" w:cs="Calibri" w:eastAsia="Calibri" w:hAnsi="Calibri"/>
          <w:b/>
          <w:bCs/>
          <w:color w:val="1F3A5F"/>
          <w:sz w:val="24"/>
          <w:szCs w:val="24"/>
        </w:rPr>
        <w:t xml:space="preserve">Contents</w:t>
      </w:r>
    </w:p>
    <w:p>
      <w:pPr>
        <w:spacing w:after="40"/>
      </w:pPr>
      <w:r>
        <w:rPr>
          <w:rFonts w:ascii="Calibri" w:cs="Calibri" w:eastAsia="Calibri" w:hAnsi="Calibri"/>
          <w:color w:val="33415C"/>
          <w:sz w:val="21"/>
          <w:szCs w:val="21"/>
        </w:rPr>
        <w:t xml:space="preserve">1  Executive Summary</w:t>
      </w:r>
    </w:p>
    <w:p>
      <w:pPr>
        <w:spacing w:after="40"/>
      </w:pPr>
      <w:r>
        <w:rPr>
          <w:rFonts w:ascii="Calibri" w:cs="Calibri" w:eastAsia="Calibri" w:hAnsi="Calibri"/>
          <w:color w:val="33415C"/>
          <w:sz w:val="21"/>
          <w:szCs w:val="21"/>
        </w:rPr>
        <w:t xml:space="preserve">2  Scope, Data and Method</w:t>
      </w:r>
    </w:p>
    <w:p>
      <w:pPr>
        <w:spacing w:after="40"/>
      </w:pPr>
      <w:r>
        <w:rPr>
          <w:rFonts w:ascii="Calibri" w:cs="Calibri" w:eastAsia="Calibri" w:hAnsi="Calibri"/>
          <w:color w:val="33415C"/>
          <w:sz w:val="21"/>
          <w:szCs w:val="21"/>
        </w:rPr>
        <w:t xml:space="preserve">3  Network Overview</w:t>
      </w:r>
    </w:p>
    <w:p>
      <w:pPr>
        <w:spacing w:after="40"/>
      </w:pPr>
      <w:r>
        <w:rPr>
          <w:rFonts w:ascii="Calibri" w:cs="Calibri" w:eastAsia="Calibri" w:hAnsi="Calibri"/>
          <w:color w:val="33415C"/>
          <w:sz w:val="21"/>
          <w:szCs w:val="21"/>
        </w:rPr>
        <w:t xml:space="preserve">4  Airline Insights</w:t>
      </w:r>
    </w:p>
    <w:p>
      <w:pPr>
        <w:spacing w:after="40"/>
      </w:pPr>
      <w:r>
        <w:rPr>
          <w:rFonts w:ascii="Calibri" w:cs="Calibri" w:eastAsia="Calibri" w:hAnsi="Calibri"/>
          <w:color w:val="33415C"/>
          <w:sz w:val="21"/>
          <w:szCs w:val="21"/>
        </w:rPr>
        <w:t xml:space="preserve">5  Airport and Route Insights</w:t>
      </w:r>
    </w:p>
    <w:p>
      <w:pPr>
        <w:spacing w:after="40"/>
      </w:pPr>
      <w:r>
        <w:rPr>
          <w:rFonts w:ascii="Calibri" w:cs="Calibri" w:eastAsia="Calibri" w:hAnsi="Calibri"/>
          <w:color w:val="33415C"/>
          <w:sz w:val="21"/>
          <w:szCs w:val="21"/>
        </w:rPr>
        <w:t xml:space="preserve">6  Root-Cause Findings</w:t>
      </w:r>
    </w:p>
    <w:p>
      <w:pPr>
        <w:spacing w:after="40"/>
      </w:pPr>
      <w:r>
        <w:rPr>
          <w:rFonts w:ascii="Calibri" w:cs="Calibri" w:eastAsia="Calibri" w:hAnsi="Calibri"/>
          <w:color w:val="33415C"/>
          <w:sz w:val="21"/>
          <w:szCs w:val="21"/>
        </w:rPr>
        <w:t xml:space="preserve">7  Time and Seasonality</w:t>
      </w:r>
    </w:p>
    <w:p>
      <w:pPr>
        <w:spacing w:after="40"/>
      </w:pPr>
      <w:r>
        <w:rPr>
          <w:rFonts w:ascii="Calibri" w:cs="Calibri" w:eastAsia="Calibri" w:hAnsi="Calibri"/>
          <w:color w:val="33415C"/>
          <w:sz w:val="21"/>
          <w:szCs w:val="21"/>
        </w:rPr>
        <w:t xml:space="preserve">8  Tableau Dashboards</w:t>
      </w:r>
    </w:p>
    <w:p>
      <w:pPr>
        <w:spacing w:after="40"/>
      </w:pPr>
      <w:r>
        <w:rPr>
          <w:rFonts w:ascii="Calibri" w:cs="Calibri" w:eastAsia="Calibri" w:hAnsi="Calibri"/>
          <w:color w:val="33415C"/>
          <w:sz w:val="21"/>
          <w:szCs w:val="21"/>
        </w:rPr>
        <w:t xml:space="preserve">9  Recommendations</w:t>
      </w:r>
    </w:p>
    <w:p>
      <w:pPr>
        <w:spacing w:after="40"/>
      </w:pPr>
      <w:r>
        <w:rPr>
          <w:rFonts w:ascii="Calibri" w:cs="Calibri" w:eastAsia="Calibri" w:hAnsi="Calibri"/>
          <w:color w:val="33415C"/>
          <w:sz w:val="21"/>
          <w:szCs w:val="21"/>
        </w:rPr>
        <w:t xml:space="preserve">10  Limitations and Next Steps</w:t>
      </w:r>
    </w:p>
    <w:p>
      <w:pPr>
        <w:spacing w:after="40"/>
      </w:pPr>
      <w:r>
        <w:rPr>
          <w:rFonts w:ascii="Calibri" w:cs="Calibri" w:eastAsia="Calibri" w:hAnsi="Calibri"/>
          <w:color w:val="33415C"/>
          <w:sz w:val="21"/>
          <w:szCs w:val="21"/>
        </w:rPr>
        <w:t xml:space="preserve">Appendix A  Airline Scorecard</w:t>
      </w:r>
    </w:p>
    <w:p>
      <w:pPr>
        <w:pStyle w:val="Heading1"/>
        <w:pageBreakBefore/>
      </w:pPr>
      <w:r>
        <w:rPr>
          <w:rFonts w:ascii="Calibri" w:cs="Calibri" w:eastAsia="Calibri" w:hAnsi="Calibri"/>
        </w:rPr>
        <w:t xml:space="preserve">1  Executive Summary</w:t>
      </w:r>
    </w:p>
    <w:p>
      <w:pPr>
        <w:spacing w:after="120" w:before="0" w:line="276"/>
      </w:pPr>
      <w:r>
        <w:rPr>
          <w:rFonts w:ascii="Calibri" w:cs="Calibri" w:eastAsia="Calibri" w:hAnsi="Calibri"/>
          <w:sz w:val="21"/>
          <w:szCs w:val="21"/>
        </w:rPr>
        <w:t xml:space="preserve">This report analyses 3 million flights (January 2019 – August 2023) to show </w:t>
      </w:r>
      <w:r>
        <w:rPr>
          <w:rFonts w:ascii="Calibri" w:cs="Calibri" w:eastAsia="Calibri" w:hAnsi="Calibri"/>
          <w:b/>
          <w:bCs/>
          <w:sz w:val="21"/>
          <w:szCs w:val="21"/>
        </w:rPr>
        <w:t xml:space="preserve">where delays occur, how severe they are, what causes them, and which airlines, airports and routes deserve attention first</w:t>
      </w:r>
      <w:r>
        <w:rPr>
          <w:rFonts w:ascii="Calibri" w:cs="Calibri" w:eastAsia="Calibri" w:hAnsi="Calibri"/>
          <w:sz w:val="21"/>
          <w:szCs w:val="21"/>
        </w:rPr>
        <w:t xml:space="preserve">. All figures use transparent rule-based methods and were re-checked against the Tableau data 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1B7F8C" w:sz="18"/>
              <w:left w:val="none" w:color="FFFFFF" w:sz="0"/>
              <w:bottom w:val="none" w:color="FFFFFF" w:sz="0"/>
              <w:right w:val="none" w:color="FFFFFF" w:sz="0"/>
            </w:tcBorders>
            <w:shd w:fill="F3F6FA" w:color="auto" w:val="clear"/>
            <w:tcMar>
              <w:top w:type="dxa" w:w="100"/>
              <w:left w:type="dxa" w:w="120"/>
              <w:bottom w:type="dxa" w:w="100"/>
              <w:right w:type="dxa" w:w="120"/>
            </w:tcMar>
          </w:tcPr>
          <w:p>
            <w:pPr>
              <w:spacing w:after="20"/>
            </w:pPr>
            <w:r>
              <w:rPr>
                <w:rFonts w:ascii="Calibri" w:cs="Calibri" w:eastAsia="Calibri" w:hAnsi="Calibri"/>
                <w:b/>
                <w:bCs/>
                <w:color w:val="1F3A5F"/>
                <w:sz w:val="36"/>
                <w:szCs w:val="36"/>
              </w:rPr>
              <w:t xml:space="preserve">3,000,000</w:t>
            </w:r>
          </w:p>
          <w:p>
            <w:pPr>
              <w:spacing w:after="0"/>
            </w:pPr>
            <w:r>
              <w:rPr>
                <w:rFonts w:ascii="Calibri" w:cs="Calibri" w:eastAsia="Calibri" w:hAnsi="Calibri"/>
                <w:color w:val="5B6577"/>
                <w:sz w:val="17"/>
                <w:szCs w:val="17"/>
              </w:rPr>
              <w:t xml:space="preserve">flights analysed (Jan 2019 – Aug 2023)</w:t>
            </w:r>
          </w:p>
        </w:tc>
        <w:tc>
          <w:tcPr>
            <w:tcW w:type="dxa" w:w="3212"/>
            <w:tcBorders>
              <w:top w:val="single" w:color="1B7F8C" w:sz="18"/>
              <w:left w:val="none" w:color="FFFFFF" w:sz="0"/>
              <w:bottom w:val="none" w:color="FFFFFF" w:sz="0"/>
              <w:right w:val="none" w:color="FFFFFF" w:sz="0"/>
            </w:tcBorders>
            <w:shd w:fill="F3F6FA" w:color="auto" w:val="clear"/>
            <w:tcMar>
              <w:top w:type="dxa" w:w="100"/>
              <w:left w:type="dxa" w:w="120"/>
              <w:bottom w:type="dxa" w:w="100"/>
              <w:right w:type="dxa" w:w="120"/>
            </w:tcMar>
          </w:tcPr>
          <w:p>
            <w:pPr>
              <w:spacing w:after="20"/>
            </w:pPr>
            <w:r>
              <w:rPr>
                <w:rFonts w:ascii="Calibri" w:cs="Calibri" w:eastAsia="Calibri" w:hAnsi="Calibri"/>
                <w:b/>
                <w:bCs/>
                <w:color w:val="1F3A5F"/>
                <w:sz w:val="36"/>
                <w:szCs w:val="36"/>
              </w:rPr>
              <w:t xml:space="preserve">18 · 380 · 7,785</w:t>
            </w:r>
          </w:p>
          <w:p>
            <w:pPr>
              <w:spacing w:after="0"/>
            </w:pPr>
            <w:r>
              <w:rPr>
                <w:rFonts w:ascii="Calibri" w:cs="Calibri" w:eastAsia="Calibri" w:hAnsi="Calibri"/>
                <w:color w:val="5B6577"/>
                <w:sz w:val="17"/>
                <w:szCs w:val="17"/>
              </w:rPr>
              <w:t xml:space="preserve">airlines · origin airports · routes</w:t>
            </w:r>
          </w:p>
        </w:tc>
        <w:tc>
          <w:tcPr>
            <w:tcW w:type="dxa" w:w="3214"/>
            <w:tcBorders>
              <w:top w:val="single" w:color="1B7F8C" w:sz="18"/>
              <w:left w:val="none" w:color="FFFFFF" w:sz="0"/>
              <w:bottom w:val="none" w:color="FFFFFF" w:sz="0"/>
              <w:right w:val="none" w:color="FFFFFF" w:sz="0"/>
            </w:tcBorders>
            <w:shd w:fill="F3F6FA" w:color="auto" w:val="clear"/>
            <w:tcMar>
              <w:top w:type="dxa" w:w="100"/>
              <w:left w:type="dxa" w:w="120"/>
              <w:bottom w:type="dxa" w:w="100"/>
              <w:right w:type="dxa" w:w="120"/>
            </w:tcMar>
          </w:tcPr>
          <w:p>
            <w:pPr>
              <w:spacing w:after="20"/>
            </w:pPr>
            <w:r>
              <w:rPr>
                <w:rFonts w:ascii="Calibri" w:cs="Calibri" w:eastAsia="Calibri" w:hAnsi="Calibri"/>
                <w:b/>
                <w:bCs/>
                <w:color w:val="1F3A5F"/>
                <w:sz w:val="36"/>
                <w:szCs w:val="36"/>
              </w:rPr>
              <w:t xml:space="preserve">4.26 min</w:t>
            </w:r>
          </w:p>
          <w:p>
            <w:pPr>
              <w:spacing w:after="0"/>
            </w:pPr>
            <w:r>
              <w:rPr>
                <w:rFonts w:ascii="Calibri" w:cs="Calibri" w:eastAsia="Calibri" w:hAnsi="Calibri"/>
                <w:color w:val="5B6577"/>
                <w:sz w:val="17"/>
                <w:szCs w:val="17"/>
              </w:rPr>
              <w:t xml:space="preserve">average arrival delay (median: 7 min early)</w:t>
            </w:r>
          </w:p>
        </w:tc>
      </w:tr>
      <w:tr>
        <w:tc>
          <w:tcPr>
            <w:tcW w:type="dxa" w:w="3212"/>
            <w:tcBorders>
              <w:top w:val="single" w:color="1B7F8C" w:sz="18"/>
              <w:left w:val="none" w:color="FFFFFF" w:sz="0"/>
              <w:bottom w:val="none" w:color="FFFFFF" w:sz="0"/>
              <w:right w:val="none" w:color="FFFFFF" w:sz="0"/>
            </w:tcBorders>
            <w:shd w:fill="F3F6FA" w:color="auto" w:val="clear"/>
            <w:tcMar>
              <w:top w:type="dxa" w:w="100"/>
              <w:left w:type="dxa" w:w="120"/>
              <w:bottom w:type="dxa" w:w="100"/>
              <w:right w:type="dxa" w:w="120"/>
            </w:tcMar>
          </w:tcPr>
          <w:p>
            <w:pPr>
              <w:spacing w:after="20"/>
            </w:pPr>
            <w:r>
              <w:rPr>
                <w:rFonts w:ascii="Calibri" w:cs="Calibri" w:eastAsia="Calibri" w:hAnsi="Calibri"/>
                <w:b/>
                <w:bCs/>
                <w:color w:val="1F3A5F"/>
                <w:sz w:val="36"/>
                <w:szCs w:val="36"/>
              </w:rPr>
              <w:t xml:space="preserve">79.95%</w:t>
            </w:r>
          </w:p>
          <w:p>
            <w:pPr>
              <w:spacing w:after="0"/>
            </w:pPr>
            <w:r>
              <w:rPr>
                <w:rFonts w:ascii="Calibri" w:cs="Calibri" w:eastAsia="Calibri" w:hAnsi="Calibri"/>
                <w:color w:val="5B6577"/>
                <w:sz w:val="17"/>
                <w:szCs w:val="17"/>
              </w:rPr>
              <w:t xml:space="preserve">flights on time or early (≤ 15 min late)</w:t>
            </w:r>
          </w:p>
        </w:tc>
        <w:tc>
          <w:tcPr>
            <w:tcW w:type="dxa" w:w="3212"/>
            <w:tcBorders>
              <w:top w:val="single" w:color="1B7F8C" w:sz="18"/>
              <w:left w:val="none" w:color="FFFFFF" w:sz="0"/>
              <w:bottom w:val="none" w:color="FFFFFF" w:sz="0"/>
              <w:right w:val="none" w:color="FFFFFF" w:sz="0"/>
            </w:tcBorders>
            <w:shd w:fill="F3F6FA" w:color="auto" w:val="clear"/>
            <w:tcMar>
              <w:top w:type="dxa" w:w="100"/>
              <w:left w:type="dxa" w:w="120"/>
              <w:bottom w:type="dxa" w:w="100"/>
              <w:right w:type="dxa" w:w="120"/>
            </w:tcMar>
          </w:tcPr>
          <w:p>
            <w:pPr>
              <w:spacing w:after="20"/>
            </w:pPr>
            <w:r>
              <w:rPr>
                <w:rFonts w:ascii="Calibri" w:cs="Calibri" w:eastAsia="Calibri" w:hAnsi="Calibri"/>
                <w:b/>
                <w:bCs/>
                <w:color w:val="1F3A5F"/>
                <w:sz w:val="36"/>
                <w:szCs w:val="36"/>
              </w:rPr>
              <w:t xml:space="preserve">5.84%</w:t>
            </w:r>
          </w:p>
          <w:p>
            <w:pPr>
              <w:spacing w:after="0"/>
            </w:pPr>
            <w:r>
              <w:rPr>
                <w:rFonts w:ascii="Calibri" w:cs="Calibri" w:eastAsia="Calibri" w:hAnsi="Calibri"/>
                <w:color w:val="5B6577"/>
                <w:sz w:val="17"/>
                <w:szCs w:val="17"/>
              </w:rPr>
              <w:t xml:space="preserve">severe delays (&gt; 60 min late)</w:t>
            </w:r>
          </w:p>
        </w:tc>
        <w:tc>
          <w:tcPr>
            <w:tcW w:type="dxa" w:w="3214"/>
            <w:tcBorders>
              <w:top w:val="single" w:color="1B7F8C" w:sz="18"/>
              <w:left w:val="none" w:color="FFFFFF" w:sz="0"/>
              <w:bottom w:val="none" w:color="FFFFFF" w:sz="0"/>
              <w:right w:val="none" w:color="FFFFFF" w:sz="0"/>
            </w:tcBorders>
            <w:shd w:fill="F3F6FA" w:color="auto" w:val="clear"/>
            <w:tcMar>
              <w:top w:type="dxa" w:w="100"/>
              <w:left w:type="dxa" w:w="120"/>
              <w:bottom w:type="dxa" w:w="100"/>
              <w:right w:type="dxa" w:w="120"/>
            </w:tcMar>
          </w:tcPr>
          <w:p>
            <w:pPr>
              <w:spacing w:after="20"/>
            </w:pPr>
            <w:r>
              <w:rPr>
                <w:rFonts w:ascii="Calibri" w:cs="Calibri" w:eastAsia="Calibri" w:hAnsi="Calibri"/>
                <w:b/>
                <w:bCs/>
                <w:color w:val="1F3A5F"/>
                <w:sz w:val="36"/>
                <w:szCs w:val="36"/>
              </w:rPr>
              <w:t xml:space="preserve">2.64% · 0.24%</w:t>
            </w:r>
          </w:p>
          <w:p>
            <w:pPr>
              <w:spacing w:after="0"/>
            </w:pPr>
            <w:r>
              <w:rPr>
                <w:rFonts w:ascii="Calibri" w:cs="Calibri" w:eastAsia="Calibri" w:hAnsi="Calibri"/>
                <w:color w:val="5B6577"/>
                <w:sz w:val="17"/>
                <w:szCs w:val="17"/>
              </w:rPr>
              <w:t xml:space="preserve">cancellation · diversion rate</w:t>
            </w:r>
          </w:p>
        </w:tc>
      </w:tr>
    </w:tbl>
    <w:p>
      <w:pPr>
        <w:spacing w:after="60"/>
      </w:pPr>
    </w:p>
    <w:p>
      <w:pPr>
        <w:pStyle w:val="Heading2"/>
        <w:keepNext/>
      </w:pPr>
      <w:r>
        <w:rPr>
          <w:rFonts w:ascii="Calibri" w:cs="Calibri" w:eastAsia="Calibri" w:hAnsi="Calibri"/>
        </w:rPr>
        <w:t xml:space="preserve">Key findings</w:t>
      </w:r>
    </w:p>
    <w:p>
      <w:pPr>
        <w:pStyle w:val="ListParagraph"/>
        <w:numPr>
          <w:ilvl w:val="0"/>
          <w:numId w:val="2"/>
        </w:numPr>
        <w:spacing w:after="70" w:line="270"/>
      </w:pPr>
      <w:r>
        <w:rPr>
          <w:rFonts w:ascii="Calibri" w:cs="Calibri" w:eastAsia="Calibri" w:hAnsi="Calibri"/>
          <w:b/>
          <w:bCs/>
          <w:sz w:val="21"/>
          <w:szCs w:val="21"/>
        </w:rPr>
        <w:t xml:space="preserve">The problem is the tail.</w:t>
      </w:r>
      <w:r>
        <w:rPr>
          <w:rFonts w:ascii="Calibri" w:cs="Calibri" w:eastAsia="Calibri" w:hAnsi="Calibri"/>
          <w:sz w:val="21"/>
          <w:szCs w:val="21"/>
        </w:rPr>
        <w:t xml:space="preserve"> The median flight arrived 7 minutes early and about 80% were on time or early, but 5.84% of flights were over 60 minutes late (99th percentile: 189 min).</w:t>
      </w:r>
    </w:p>
    <w:p>
      <w:pPr>
        <w:pStyle w:val="ListParagraph"/>
        <w:numPr>
          <w:ilvl w:val="0"/>
          <w:numId w:val="2"/>
        </w:numPr>
        <w:spacing w:after="70" w:line="270"/>
      </w:pPr>
      <w:r>
        <w:rPr>
          <w:rFonts w:ascii="Calibri" w:cs="Calibri" w:eastAsia="Calibri" w:hAnsi="Calibri"/>
          <w:b/>
          <w:bCs/>
          <w:sz w:val="21"/>
          <w:szCs w:val="21"/>
        </w:rPr>
        <w:t xml:space="preserve">Airline performance varies widely.</w:t>
      </w:r>
      <w:r>
        <w:rPr>
          <w:rFonts w:ascii="Calibri" w:cs="Calibri" w:eastAsia="Calibri" w:hAnsi="Calibri"/>
          <w:sz w:val="21"/>
          <w:szCs w:val="21"/>
        </w:rPr>
        <w:t xml:space="preserve"> Scores range from 0.91 (Hawaiian) to 0.13 (ExpressJet). Of the five largest carriers (65% of flights), Delta scores well (0.78) while United (0.54) and American (0.49) sit in the lower half.</w:t>
      </w:r>
    </w:p>
    <w:p>
      <w:pPr>
        <w:pStyle w:val="ListParagraph"/>
        <w:numPr>
          <w:ilvl w:val="0"/>
          <w:numId w:val="2"/>
        </w:numPr>
        <w:spacing w:after="70" w:line="270"/>
      </w:pPr>
      <w:r>
        <w:rPr>
          <w:rFonts w:ascii="Calibri" w:cs="Calibri" w:eastAsia="Calibri" w:hAnsi="Calibri"/>
          <w:b/>
          <w:bCs/>
          <w:sz w:val="21"/>
          <w:szCs w:val="21"/>
        </w:rPr>
        <w:t xml:space="preserve">Delay burden is concentrated in hubs.</w:t>
      </w:r>
      <w:r>
        <w:rPr>
          <w:rFonts w:ascii="Calibri" w:cs="Calibri" w:eastAsia="Calibri" w:hAnsi="Calibri"/>
          <w:sz w:val="21"/>
          <w:szCs w:val="21"/>
        </w:rPr>
        <w:t xml:space="preserve"> Ten airports handle 30.5% of departures but about 45% of net arrival-delay minutes; DFW, DEN and ORD carry the most, MCO and EWR have the worst rates.</w:t>
      </w:r>
    </w:p>
    <w:p>
      <w:pPr>
        <w:pStyle w:val="ListParagraph"/>
        <w:numPr>
          <w:ilvl w:val="0"/>
          <w:numId w:val="2"/>
        </w:numPr>
        <w:spacing w:after="70" w:line="270"/>
      </w:pPr>
      <w:r>
        <w:rPr>
          <w:rFonts w:ascii="Calibri" w:cs="Calibri" w:eastAsia="Calibri" w:hAnsi="Calibri"/>
          <w:b/>
          <w:bCs/>
          <w:sz w:val="21"/>
          <w:szCs w:val="21"/>
        </w:rPr>
        <w:t xml:space="preserve">Two causes explain three-quarters of delay minutes:</w:t>
      </w:r>
      <w:r>
        <w:rPr>
          <w:rFonts w:ascii="Calibri" w:cs="Calibri" w:eastAsia="Calibri" w:hAnsi="Calibri"/>
          <w:sz w:val="21"/>
          <w:szCs w:val="21"/>
        </w:rPr>
        <w:t xml:space="preserve"> late-arriving aircraft (37.7%) and carrier-related causes (36.7%); NAS adds 19.5%, weather 5.9%.</w:t>
      </w:r>
    </w:p>
    <w:p>
      <w:pPr>
        <w:pStyle w:val="ListParagraph"/>
        <w:numPr>
          <w:ilvl w:val="0"/>
          <w:numId w:val="2"/>
        </w:numPr>
        <w:spacing w:after="70" w:line="270"/>
      </w:pPr>
      <w:r>
        <w:rPr>
          <w:rFonts w:ascii="Calibri" w:cs="Calibri" w:eastAsia="Calibri" w:hAnsi="Calibri"/>
          <w:b/>
          <w:bCs/>
          <w:sz w:val="21"/>
          <w:szCs w:val="21"/>
        </w:rPr>
        <w:t xml:space="preserve">Summer is the highest-risk period.</w:t>
      </w:r>
      <w:r>
        <w:rPr>
          <w:rFonts w:ascii="Calibri" w:cs="Calibri" w:eastAsia="Calibri" w:hAnsi="Calibri"/>
          <w:sz w:val="21"/>
          <w:szCs w:val="21"/>
        </w:rPr>
        <w:t xml:space="preserve"> June (10.1 min) and July (9.5 min) lead; Friday is the worst weekday. Delays have risen every year since 2021.</w:t>
      </w:r>
    </w:p>
    <w:p>
      <w:pPr>
        <w:pStyle w:val="ListParagraph"/>
        <w:numPr>
          <w:ilvl w:val="0"/>
          <w:numId w:val="2"/>
        </w:numPr>
        <w:spacing w:after="70" w:line="270"/>
      </w:pPr>
      <w:r>
        <w:rPr>
          <w:rFonts w:ascii="Calibri" w:cs="Calibri" w:eastAsia="Calibri" w:hAnsi="Calibri"/>
          <w:b/>
          <w:bCs/>
          <w:sz w:val="21"/>
          <w:szCs w:val="21"/>
        </w:rPr>
        <w:t xml:space="preserve">Departure punctuality is the main lever:</w:t>
      </w:r>
      <w:r>
        <w:rPr>
          <w:rFonts w:ascii="Calibri" w:cs="Calibri" w:eastAsia="Calibri" w:hAnsi="Calibri"/>
          <w:sz w:val="21"/>
          <w:szCs w:val="21"/>
        </w:rPr>
        <w:t xml:space="preserve"> departure and arrival delay are almost perfectly correlated (r = 0.965); distance is unrelated (r = 0.002).</w:t>
      </w:r>
    </w:p>
    <w:p>
      <w:pPr>
        <w:spacing w:after="60"/>
      </w:pPr>
    </w:p>
    <w:p>
      <w:pPr>
        <w:pStyle w:val="Heading2"/>
        <w:keepNext/>
      </w:pPr>
      <w:r>
        <w:rPr>
          <w:rFonts w:ascii="Calibri" w:cs="Calibri" w:eastAsia="Calibri" w:hAnsi="Calibri"/>
        </w:rPr>
        <w:t xml:space="preserve">Answers to the project's business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8"/>
                <w:szCs w:val="18"/>
              </w:rPr>
              <w:t xml:space="preserve">Business question</w:t>
            </w:r>
          </w:p>
        </w:tc>
        <w:tc>
          <w:tcPr>
            <w:tcW w:type="dxa" w:w="6938"/>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8"/>
                <w:szCs w:val="18"/>
              </w:rPr>
              <w:t xml:space="preserve">Answer from the data</w:t>
            </w:r>
          </w:p>
        </w:tc>
      </w:tr>
      <w:tr>
        <w:trPr>
          <w:cantSplit/>
        </w:trPr>
        <w:tc>
          <w:tcPr>
            <w:tcW w:type="dxa" w:w="2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Which airlines are strongest and weakest?</w:t>
            </w:r>
          </w:p>
        </w:tc>
        <w:tc>
          <w:tcPr>
            <w:tcW w:type="dxa" w:w="69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Strongest:</w:t>
            </w:r>
            <w:r>
              <w:rPr>
                <w:rFonts w:ascii="Calibri" w:cs="Calibri" w:eastAsia="Calibri" w:hAnsi="Calibri"/>
                <w:sz w:val="18"/>
                <w:szCs w:val="18"/>
              </w:rPr>
              <w:t xml:space="preserve"> Hawaiian (0.91), Horizon (0.85), Delta (0.78). </w:t>
            </w:r>
            <w:r>
              <w:rPr>
                <w:rFonts w:ascii="Calibri" w:cs="Calibri" w:eastAsia="Calibri" w:hAnsi="Calibri"/>
                <w:sz w:val="18"/>
                <w:szCs w:val="18"/>
              </w:rPr>
              <w:t xml:space="preserve">Weakest:</w:t>
            </w:r>
            <w:r>
              <w:rPr>
                <w:rFonts w:ascii="Calibri" w:cs="Calibri" w:eastAsia="Calibri" w:hAnsi="Calibri"/>
                <w:sz w:val="18"/>
                <w:szCs w:val="18"/>
              </w:rPr>
              <w:t xml:space="preserve"> ExpressJet (0.13), Allegiant (0.15), JetBlue (0.22).</w:t>
            </w:r>
          </w:p>
        </w:tc>
      </w:tr>
      <w:tr>
        <w:trPr>
          <w:cantSplit/>
        </w:trPr>
        <w:tc>
          <w:tcPr>
            <w:tcW w:type="dxa" w:w="27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Which airports create the greatest delay burden?</w:t>
            </w:r>
          </w:p>
        </w:tc>
        <w:tc>
          <w:tcPr>
            <w:tcW w:type="dxa" w:w="693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By total minutes: DFW (1.05M), DEN (0.86M), ORD (0.72M), MCO (0.61M), LAS (0.47M). By rate among large airports: MCO, EWR, FLL, MIA, DFW.</w:t>
            </w:r>
          </w:p>
        </w:tc>
      </w:tr>
      <w:tr>
        <w:trPr>
          <w:cantSplit/>
        </w:trPr>
        <w:tc>
          <w:tcPr>
            <w:tcW w:type="dxa" w:w="2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Which routes need attention?</w:t>
            </w:r>
          </w:p>
        </w:tc>
        <w:tc>
          <w:tcPr>
            <w:tcW w:type="dxa" w:w="69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Routes with ≥ 500 flights: DEN↔ASE, MCO→EWR, MCO→JFK, EWR↔SJU, PNS→DFW, DFW→BHM, DCA↔HPN.</w:t>
            </w:r>
          </w:p>
        </w:tc>
      </w:tr>
      <w:tr>
        <w:trPr>
          <w:cantSplit/>
        </w:trPr>
        <w:tc>
          <w:tcPr>
            <w:tcW w:type="dxa" w:w="27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Which causes contribute most?</w:t>
            </w:r>
          </w:p>
        </w:tc>
        <w:tc>
          <w:tcPr>
            <w:tcW w:type="dxa" w:w="693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Late aircraft 37.7%, carrier 36.7%, NAS 19.5%, weather 5.9%, security 0.2% of cause-attributed delay minutes.</w:t>
            </w:r>
          </w:p>
        </w:tc>
      </w:tr>
      <w:tr>
        <w:trPr>
          <w:cantSplit/>
        </w:trPr>
        <w:tc>
          <w:tcPr>
            <w:tcW w:type="dxa" w:w="2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Which periods carry the highest risk?</w:t>
            </w:r>
          </w:p>
        </w:tc>
        <w:tc>
          <w:tcPr>
            <w:tcW w:type="dxa" w:w="69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Summer (June–July), Fridays, and December (13.5 min in 2022). 2023 is the worst year so far.</w:t>
            </w:r>
          </w:p>
        </w:tc>
      </w:tr>
      <w:tr>
        <w:trPr>
          <w:cantSplit/>
        </w:trPr>
        <w:tc>
          <w:tcPr>
            <w:tcW w:type="dxa" w:w="27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Which segments combine high volume with poor reliability?</w:t>
            </w:r>
          </w:p>
        </w:tc>
        <w:tc>
          <w:tcPr>
            <w:tcW w:type="dxa" w:w="693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Airlines: American, JetBlue and United (SkyWest and Envoy borderline). Airports: DFW, DEN, ORD, MCO, LAS, IAH, EWR, MIA, FLL.</w:t>
            </w:r>
          </w:p>
        </w:tc>
      </w:tr>
      <w:tr>
        <w:trPr>
          <w:cantSplit/>
        </w:trPr>
        <w:tc>
          <w:tcPr>
            <w:tcW w:type="dxa" w:w="2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8"/>
                <w:szCs w:val="18"/>
              </w:rPr>
              <w:t xml:space="preserve">What should management prioritise?</w:t>
            </w:r>
          </w:p>
        </w:tc>
        <w:tc>
          <w:tcPr>
            <w:tcW w:type="dxa" w:w="69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8"/>
                <w:szCs w:val="18"/>
              </w:rPr>
              <w:t xml:space="preserve">Nine recommendations (Section 9): aircraft-rotation buffers, carrier-process reviews, a summer readiness plan, hub and route watchlists.</w:t>
            </w:r>
          </w:p>
        </w:tc>
      </w:tr>
    </w:tbl>
    <w:p>
      <w:pPr>
        <w:pStyle w:val="Heading1"/>
        <w:pageBreakBefore/>
      </w:pPr>
      <w:r>
        <w:rPr>
          <w:rFonts w:ascii="Calibri" w:cs="Calibri" w:eastAsia="Calibri" w:hAnsi="Calibri"/>
        </w:rPr>
        <w:t xml:space="preserve">2  Scope, Data and Method</w:t>
      </w:r>
    </w:p>
    <w:p>
      <w:pPr>
        <w:pStyle w:val="Heading2"/>
        <w:keepNext/>
      </w:pPr>
      <w:r>
        <w:rPr>
          <w:rFonts w:ascii="Calibri" w:cs="Calibri" w:eastAsia="Calibri" w:hAnsi="Calibri"/>
        </w:rPr>
        <w:t xml:space="preserve">2.1  Data</w:t>
      </w:r>
    </w:p>
    <w:p>
      <w:pPr>
        <w:spacing w:after="120" w:before="0" w:line="276"/>
      </w:pPr>
      <w:r>
        <w:rPr>
          <w:rFonts w:ascii="Calibri" w:cs="Calibri" w:eastAsia="Calibri" w:hAnsi="Calibri"/>
          <w:sz w:val="21"/>
          <w:szCs w:val="21"/>
        </w:rPr>
        <w:t xml:space="preserve">The raw file contains 3,000,000 flight records and 32 variables covering schedule, actual times, delays, cancellations, diversions, distance and five delay-cause fields. The raw data was kept untouched and a separate cleaned dataset (39 columns, including 7 derived fields) was used for all analysis.</w:t>
      </w:r>
    </w:p>
    <w:p>
      <w:pPr>
        <w:pStyle w:val="Heading2"/>
        <w:keepNext/>
      </w:pPr>
      <w:r>
        <w:rPr>
          <w:rFonts w:ascii="Calibri" w:cs="Calibri" w:eastAsia="Calibri" w:hAnsi="Calibri"/>
        </w:rPr>
        <w:t xml:space="preserve">2.2  Cleaning decisions</w:t>
      </w:r>
    </w:p>
    <w:p>
      <w:pPr>
        <w:pStyle w:val="ListParagraph"/>
        <w:numPr>
          <w:ilvl w:val="0"/>
          <w:numId w:val="2"/>
        </w:numPr>
        <w:spacing w:after="70" w:line="270"/>
      </w:pPr>
      <w:r>
        <w:rPr>
          <w:rFonts w:ascii="Calibri" w:cs="Calibri" w:eastAsia="Calibri" w:hAnsi="Calibri"/>
          <w:b/>
          <w:bCs/>
          <w:sz w:val="21"/>
          <w:szCs w:val="21"/>
        </w:rPr>
        <w:t xml:space="preserve">No duplicates</w:t>
      </w:r>
      <w:r>
        <w:rPr>
          <w:rFonts w:ascii="Calibri" w:cs="Calibri" w:eastAsia="Calibri" w:hAnsi="Calibri"/>
          <w:sz w:val="21"/>
          <w:szCs w:val="21"/>
        </w:rPr>
        <w:t xml:space="preserve"> and no invalid cancelled/diverted flags (all values 0 or 1); no negative taxi, air, elapsed-time or distance values.</w:t>
      </w:r>
    </w:p>
    <w:p>
      <w:pPr>
        <w:pStyle w:val="ListParagraph"/>
        <w:numPr>
          <w:ilvl w:val="0"/>
          <w:numId w:val="2"/>
        </w:numPr>
        <w:spacing w:after="70" w:line="270"/>
      </w:pPr>
      <w:r>
        <w:rPr>
          <w:rFonts w:ascii="Calibri" w:cs="Calibri" w:eastAsia="Calibri" w:hAnsi="Calibri"/>
          <w:b/>
          <w:bCs/>
          <w:sz w:val="21"/>
          <w:szCs w:val="21"/>
        </w:rPr>
        <w:t xml:space="preserve">Missing values were treated by business meaning, not filled blindly.</w:t>
      </w:r>
      <w:r>
        <w:rPr>
          <w:rFonts w:ascii="Calibri" w:cs="Calibri" w:eastAsia="Calibri" w:hAnsi="Calibri"/>
          <w:sz w:val="21"/>
          <w:szCs w:val="21"/>
        </w:rPr>
        <w:t xml:space="preserve"> Arrival delay is missing for 86,198 flights (2.87%), essentially the cancelled (79,140) and diverted (7,056) flights. Delay-cause fields are blank for 82.2% of records because no cause was recorded; they were treated as zero only when summing cause minutes.</w:t>
      </w:r>
    </w:p>
    <w:p>
      <w:pPr>
        <w:pStyle w:val="ListParagraph"/>
        <w:numPr>
          <w:ilvl w:val="0"/>
          <w:numId w:val="2"/>
        </w:numPr>
        <w:spacing w:after="70" w:line="270"/>
      </w:pPr>
      <w:r>
        <w:rPr>
          <w:rFonts w:ascii="Calibri" w:cs="Calibri" w:eastAsia="Calibri" w:hAnsi="Calibri"/>
          <w:b/>
          <w:bCs/>
          <w:sz w:val="21"/>
          <w:szCs w:val="21"/>
        </w:rPr>
        <w:t xml:space="preserve">Cancellation code</w:t>
      </w:r>
      <w:r>
        <w:rPr>
          <w:rFonts w:ascii="Calibri" w:cs="Calibri" w:eastAsia="Calibri" w:hAnsi="Calibri"/>
          <w:sz w:val="21"/>
          <w:szCs w:val="21"/>
        </w:rPr>
        <w:t xml:space="preserve"> was labelled NOT_CANCELLED for flights that operated; no reason was invented for cancelled flights.</w:t>
      </w:r>
    </w:p>
    <w:p>
      <w:pPr>
        <w:pStyle w:val="ListParagraph"/>
        <w:numPr>
          <w:ilvl w:val="0"/>
          <w:numId w:val="2"/>
        </w:numPr>
        <w:spacing w:after="70" w:line="270"/>
      </w:pPr>
      <w:r>
        <w:rPr>
          <w:rFonts w:ascii="Calibri" w:cs="Calibri" w:eastAsia="Calibri" w:hAnsi="Calibri"/>
          <w:b/>
          <w:bCs/>
          <w:sz w:val="21"/>
          <w:szCs w:val="21"/>
        </w:rPr>
        <w:t xml:space="preserve">Derived fields:</w:t>
      </w:r>
      <w:r>
        <w:rPr>
          <w:rFonts w:ascii="Calibri" w:cs="Calibri" w:eastAsia="Calibri" w:hAnsi="Calibri"/>
          <w:sz w:val="21"/>
          <w:szCs w:val="21"/>
        </w:rPr>
        <w:t xml:space="preserve"> delay severity class, total cause minutes, year, month, day, weekday, route (origin → destination). Season was derived during the analysis stage.</w:t>
      </w:r>
    </w:p>
    <w:p>
      <w:pPr>
        <w:pStyle w:val="Heading2"/>
        <w:keepNext/>
      </w:pPr>
      <w:r>
        <w:rPr>
          <w:rFonts w:ascii="Calibri" w:cs="Calibri" w:eastAsia="Calibri" w:hAnsi="Calibri"/>
        </w:rPr>
        <w:t xml:space="preserve">2.3  Delay severity rule</w:t>
      </w:r>
    </w:p>
    <w:p>
      <w:pPr>
        <w:keepNext/>
        <w:spacing w:after="120" w:before="0" w:line="276"/>
      </w:pPr>
      <w:r>
        <w:rPr>
          <w:rFonts w:ascii="Calibri" w:cs="Calibri" w:eastAsia="Calibri" w:hAnsi="Calibri"/>
          <w:sz w:val="21"/>
          <w:szCs w:val="21"/>
        </w:rPr>
        <w:t xml:space="preserve">Flights are classified by arrival delay. Cancelled and diverted flights have no arrival delay and are reported as Unknown, so they are measured separately through cancellation and diversion rates.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38"/>
        <w:gridCol w:w="1800"/>
        <w:gridCol w:w="1900"/>
      </w:tblGrid>
      <w:tr>
        <w:trPr>
          <w:cantSplit/>
          <w:tblHeader/>
        </w:trPr>
        <w:tc>
          <w:tcPr>
            <w:tcW w:type="dxa" w:w="23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Class</w:t>
            </w:r>
          </w:p>
        </w:tc>
        <w:tc>
          <w:tcPr>
            <w:tcW w:type="dxa" w:w="3638"/>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Rule (arrival delay)</w:t>
            </w:r>
          </w:p>
        </w:tc>
        <w:tc>
          <w:tcPr>
            <w:tcW w:type="dxa" w:w="18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Flights</w:t>
            </w:r>
          </w:p>
        </w:tc>
        <w:tc>
          <w:tcPr>
            <w:tcW w:type="dxa" w:w="19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 of all flights</w:t>
            </w:r>
          </w:p>
        </w:tc>
      </w:tr>
      <w:tr>
        <w:trPr>
          <w:cantSplit/>
        </w:trPr>
        <w:tc>
          <w:tcPr>
            <w:tcW w:type="dxa" w:w="2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On time / early</w:t>
            </w:r>
          </w:p>
        </w:tc>
        <w:tc>
          <w:tcPr>
            <w:tcW w:type="dxa" w:w="36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 15 minutes</w:t>
            </w:r>
          </w:p>
        </w:tc>
        <w:tc>
          <w:tcPr>
            <w:tcW w:type="dxa" w:w="18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2,398,513</w:t>
            </w:r>
          </w:p>
        </w:tc>
        <w:tc>
          <w:tcPr>
            <w:tcW w:type="dxa" w:w="19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79.95%</w:t>
            </w:r>
          </w:p>
        </w:tc>
      </w:tr>
      <w:tr>
        <w:trPr>
          <w:cantSplit/>
        </w:trPr>
        <w:tc>
          <w:tcPr>
            <w:tcW w:type="dxa" w:w="23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Moderate delay</w:t>
            </w:r>
          </w:p>
        </w:tc>
        <w:tc>
          <w:tcPr>
            <w:tcW w:type="dxa" w:w="363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&gt; 15 to 30 minutes</w:t>
            </w:r>
          </w:p>
        </w:tc>
        <w:tc>
          <w:tcPr>
            <w:tcW w:type="dxa" w:w="18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184,218</w:t>
            </w:r>
          </w:p>
        </w:tc>
        <w:tc>
          <w:tcPr>
            <w:tcW w:type="dxa" w:w="19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6.14%</w:t>
            </w:r>
          </w:p>
        </w:tc>
      </w:tr>
      <w:tr>
        <w:trPr>
          <w:cantSplit/>
        </w:trPr>
        <w:tc>
          <w:tcPr>
            <w:tcW w:type="dxa" w:w="2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Significant delay</w:t>
            </w:r>
          </w:p>
        </w:tc>
        <w:tc>
          <w:tcPr>
            <w:tcW w:type="dxa" w:w="36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&gt; 30 to 60 minutes</w:t>
            </w:r>
          </w:p>
        </w:tc>
        <w:tc>
          <w:tcPr>
            <w:tcW w:type="dxa" w:w="18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155,936</w:t>
            </w:r>
          </w:p>
        </w:tc>
        <w:tc>
          <w:tcPr>
            <w:tcW w:type="dxa" w:w="19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5.20%</w:t>
            </w:r>
          </w:p>
        </w:tc>
      </w:tr>
      <w:tr>
        <w:trPr>
          <w:cantSplit/>
        </w:trPr>
        <w:tc>
          <w:tcPr>
            <w:tcW w:type="dxa" w:w="23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Severe delay</w:t>
            </w:r>
          </w:p>
        </w:tc>
        <w:tc>
          <w:tcPr>
            <w:tcW w:type="dxa" w:w="363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&gt; 60 minutes</w:t>
            </w:r>
          </w:p>
        </w:tc>
        <w:tc>
          <w:tcPr>
            <w:tcW w:type="dxa" w:w="18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175,135</w:t>
            </w:r>
          </w:p>
        </w:tc>
        <w:tc>
          <w:tcPr>
            <w:tcW w:type="dxa" w:w="19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5.84%</w:t>
            </w:r>
          </w:p>
        </w:tc>
      </w:tr>
      <w:tr>
        <w:trPr>
          <w:cantSplit/>
        </w:trPr>
        <w:tc>
          <w:tcPr>
            <w:tcW w:type="dxa" w:w="2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Unknown</w:t>
            </w:r>
          </w:p>
        </w:tc>
        <w:tc>
          <w:tcPr>
            <w:tcW w:type="dxa" w:w="36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Cancelled or diverted (no arrival delay)</w:t>
            </w:r>
          </w:p>
        </w:tc>
        <w:tc>
          <w:tcPr>
            <w:tcW w:type="dxa" w:w="18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86,198</w:t>
            </w:r>
          </w:p>
        </w:tc>
        <w:tc>
          <w:tcPr>
            <w:tcW w:type="dxa" w:w="19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2.87%</w:t>
            </w:r>
          </w:p>
        </w:tc>
      </w:tr>
    </w:tbl>
    <w:p>
      <w:pPr>
        <w:spacing w:after="160"/>
      </w:pPr>
    </w:p>
    <w:p>
      <w:pPr>
        <w:pStyle w:val="Heading2"/>
        <w:keepNext/>
      </w:pPr>
      <w:r>
        <w:rPr>
          <w:rFonts w:ascii="Calibri" w:cs="Calibri" w:eastAsia="Calibri" w:hAnsi="Calibri"/>
        </w:rPr>
        <w:t xml:space="preserve">2.4  Rule-based scoring algorithms</w:t>
      </w:r>
    </w:p>
    <w:p>
      <w:pPr>
        <w:keepNext/>
        <w:spacing w:after="120" w:before="0" w:line="276"/>
      </w:pPr>
      <w:r>
        <w:rPr>
          <w:rFonts w:ascii="Calibri" w:cs="Calibri" w:eastAsia="Calibri" w:hAnsi="Calibri"/>
          <w:sz w:val="21"/>
          <w:szCs w:val="21"/>
        </w:rPr>
        <w:t xml:space="preserve">No machine learning is used. Each score is a documented formula; because the project brief does not prescribe weights, equal weights were used as a transparent baseline.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638"/>
        <w:gridCol w:w="2000"/>
      </w:tblGrid>
      <w:tr>
        <w:trPr>
          <w:cantSplit/>
          <w:tblHeader/>
        </w:trPr>
        <w:tc>
          <w:tcPr>
            <w:tcW w:type="dxa" w:w="20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8"/>
                <w:szCs w:val="18"/>
              </w:rPr>
              <w:t xml:space="preserve">Score</w:t>
            </w:r>
          </w:p>
        </w:tc>
        <w:tc>
          <w:tcPr>
            <w:tcW w:type="dxa" w:w="30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8"/>
                <w:szCs w:val="18"/>
              </w:rPr>
              <w:t xml:space="preserve">Inputs</w:t>
            </w:r>
          </w:p>
        </w:tc>
        <w:tc>
          <w:tcPr>
            <w:tcW w:type="dxa" w:w="2638"/>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8"/>
                <w:szCs w:val="18"/>
              </w:rPr>
              <w:t xml:space="preserve">Formula</w:t>
            </w:r>
          </w:p>
        </w:tc>
        <w:tc>
          <w:tcPr>
            <w:tcW w:type="dxa" w:w="20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8"/>
                <w:szCs w:val="18"/>
              </w:rPr>
              <w:t xml:space="preserve">How to read it</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Airline Performance Score</w:t>
            </w:r>
          </w:p>
        </w:tc>
        <w:tc>
          <w:tcPr>
            <w:tcW w:type="dxa" w:w="30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Avg arrival delay, severe-delay rate, cancellation rate, diversion rate</w:t>
            </w:r>
          </w:p>
        </w:tc>
        <w:tc>
          <w:tcPr>
            <w:tcW w:type="dxa" w:w="26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Min-max normalised (best = 1), weights 25% each</w:t>
            </w:r>
          </w:p>
        </w:tc>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0–1; higher = better relative performance</w:t>
            </w:r>
          </w:p>
        </w:tc>
      </w:tr>
      <w:tr>
        <w:trPr>
          <w:cantSplit/>
        </w:trPr>
        <w:tc>
          <w:tcPr>
            <w:tcW w:type="dxa" w:w="20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Airport Risk Score</w:t>
            </w:r>
          </w:p>
        </w:tc>
        <w:tc>
          <w:tcPr>
            <w:tcW w:type="dxa" w:w="30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Delayed-flight rate, severe-delay rate, disruption rate (cancellation + diversion)</w:t>
            </w:r>
          </w:p>
        </w:tc>
        <w:tc>
          <w:tcPr>
            <w:tcW w:type="dxa" w:w="263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Min-max normalised, weights 33.3% each</w:t>
            </w:r>
          </w:p>
        </w:tc>
        <w:tc>
          <w:tcPr>
            <w:tcW w:type="dxa" w:w="20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0–1; higher = higher relative risk</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8"/>
                <w:szCs w:val="18"/>
              </w:rPr>
              <w:t xml:space="preserve">Route Risk Score</w:t>
            </w:r>
          </w:p>
        </w:tc>
        <w:tc>
          <w:tcPr>
            <w:tcW w:type="dxa" w:w="30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8"/>
                <w:szCs w:val="18"/>
              </w:rPr>
              <w:t xml:space="preserve">Same three inputs at route level</w:t>
            </w:r>
          </w:p>
        </w:tc>
        <w:tc>
          <w:tcPr>
            <w:tcW w:type="dxa" w:w="26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8"/>
                <w:szCs w:val="18"/>
              </w:rPr>
              <w:t xml:space="preserve">Min-max normalised, weights 33.3% each</w:t>
            </w:r>
          </w:p>
        </w:tc>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8"/>
                <w:szCs w:val="18"/>
              </w:rPr>
              <w:t xml:space="preserve">0–1; higher = higher relative risk</w:t>
            </w:r>
          </w:p>
        </w:tc>
      </w:tr>
    </w:tbl>
    <w:p>
      <w:pPr>
        <w:spacing w:after="160"/>
      </w:pPr>
    </w:p>
    <w:p>
      <w:pPr>
        <w:pStyle w:val="Heading2"/>
        <w:keepNext/>
      </w:pPr>
      <w:r>
        <w:rPr>
          <w:rFonts w:ascii="Calibri" w:cs="Calibri" w:eastAsia="Calibri" w:hAnsi="Calibri"/>
        </w:rPr>
        <w:t xml:space="preserve">2.5  Metric definitions to keep in mind</w:t>
      </w:r>
    </w:p>
    <w:p>
      <w:pPr>
        <w:keepNext/>
        <w:spacing w:after="120" w:before="0" w:line="276"/>
      </w:pPr>
      <w:r>
        <w:rPr>
          <w:rFonts w:ascii="Calibri" w:cs="Calibri" w:eastAsia="Calibri" w:hAnsi="Calibri"/>
          <w:sz w:val="21"/>
          <w:szCs w:val="21"/>
        </w:rPr>
        <w:t xml:space="preserve">Rates in the Python analysis use all scheduled flights as the denominator, so cancelled and diverted flights count as not delayed. The Tableau workbook uses slightly different thresholds and weights for some metrics. Both views agree on the main conclusions (Section 4), but the differences matter if the numbers are compared side by 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238"/>
      </w:tblGrid>
      <w:tr>
        <w:trPr>
          <w:cantSplit/>
          <w:tblHeader/>
        </w:trPr>
        <w:tc>
          <w:tcPr>
            <w:tcW w:type="dxa" w:w="20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Metric</w:t>
            </w:r>
          </w:p>
        </w:tc>
        <w:tc>
          <w:tcPr>
            <w:tcW w:type="dxa" w:w="34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Python analysis</w:t>
            </w:r>
          </w:p>
        </w:tc>
        <w:tc>
          <w:tcPr>
            <w:tcW w:type="dxa" w:w="4238"/>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Tableau workbook</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Severe delay</w:t>
            </w:r>
          </w:p>
        </w:tc>
        <w:tc>
          <w:tcPr>
            <w:tcW w:type="dxa" w:w="34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Arrival delay &gt; 60 min</w:t>
            </w:r>
          </w:p>
        </w:tc>
        <w:tc>
          <w:tcPr>
            <w:tcW w:type="dxa" w:w="42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Severe flag uses ≥ 60 min; severe rate uses the same &gt; 60 class</w:t>
            </w:r>
          </w:p>
        </w:tc>
      </w:tr>
      <w:tr>
        <w:trPr>
          <w:cantSplit/>
        </w:trPr>
        <w:tc>
          <w:tcPr>
            <w:tcW w:type="dxa" w:w="20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Delay frequency</w:t>
            </w:r>
          </w:p>
        </w:tc>
        <w:tc>
          <w:tcPr>
            <w:tcW w:type="dxa" w:w="34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Arrival delay &gt; 0 min</w:t>
            </w:r>
          </w:p>
        </w:tc>
        <w:tc>
          <w:tcPr>
            <w:tcW w:type="dxa" w:w="423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Delay Frequency &gt; 15 min; Delay Frequency Score &gt; 0 min</w:t>
            </w:r>
          </w:p>
        </w:tc>
      </w:tr>
      <w:tr>
        <w:trPr>
          <w:cantSplit/>
        </w:trPr>
        <w:tc>
          <w:tcPr>
            <w:tcW w:type="dxa" w:w="20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Airline score</w:t>
            </w:r>
          </w:p>
        </w:tc>
        <w:tc>
          <w:tcPr>
            <w:tcW w:type="dxa" w:w="34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25% / 25% / 25% / 25%, min-max scaled</w:t>
            </w:r>
          </w:p>
        </w:tc>
        <w:tc>
          <w:tcPr>
            <w:tcW w:type="dxa" w:w="42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30% delay, 30% severe, 20% cancellation, 20% diversion, scaled 0–100</w:t>
            </w:r>
          </w:p>
        </w:tc>
      </w:tr>
      <w:tr>
        <w:trPr>
          <w:cantSplit/>
        </w:trPr>
        <w:tc>
          <w:tcPr>
            <w:tcW w:type="dxa" w:w="20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Route risk</w:t>
            </w:r>
          </w:p>
        </w:tc>
        <w:tc>
          <w:tcPr>
            <w:tcW w:type="dxa" w:w="34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Equal weights, min-max scaled</w:t>
            </w:r>
          </w:p>
        </w:tc>
        <w:tc>
          <w:tcPr>
            <w:tcW w:type="dxa" w:w="423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40% frequency, 40% severity, 20% disruption; High ≥ 75, Medium ≥ 50</w:t>
            </w:r>
          </w:p>
        </w:tc>
      </w:tr>
    </w:tbl>
    <w:p>
      <w:pPr>
        <w:pStyle w:val="Heading1"/>
      </w:pPr>
      <w:r>
        <w:rPr>
          <w:rFonts w:ascii="Calibri" w:cs="Calibri" w:eastAsia="Calibri" w:hAnsi="Calibri"/>
        </w:rPr>
        <w:t xml:space="preserve">3  Network Overview</w:t>
      </w:r>
    </w:p>
    <w:p>
      <w:pPr>
        <w:spacing w:after="120" w:before="0" w:line="276"/>
      </w:pPr>
      <w:r>
        <w:rPr>
          <w:rFonts w:ascii="Calibri" w:cs="Calibri" w:eastAsia="Calibri" w:hAnsi="Calibri"/>
          <w:sz w:val="21"/>
          <w:szCs w:val="21"/>
        </w:rPr>
        <w:t xml:space="preserve">Across 2,913,802 flights with a recorded arrival delay, the average flight arrived </w:t>
      </w:r>
      <w:r>
        <w:rPr>
          <w:rFonts w:ascii="Calibri" w:cs="Calibri" w:eastAsia="Calibri" w:hAnsi="Calibri"/>
          <w:b/>
          <w:bCs/>
          <w:sz w:val="21"/>
          <w:szCs w:val="21"/>
        </w:rPr>
        <w:t xml:space="preserve">4.26 minutes late</w:t>
      </w:r>
      <w:r>
        <w:rPr>
          <w:rFonts w:ascii="Calibri" w:cs="Calibri" w:eastAsia="Calibri" w:hAnsi="Calibri"/>
          <w:sz w:val="21"/>
          <w:szCs w:val="21"/>
        </w:rPr>
        <w:t xml:space="preserve">, but the median flight arrived </w:t>
      </w:r>
      <w:r>
        <w:rPr>
          <w:rFonts w:ascii="Calibri" w:cs="Calibri" w:eastAsia="Calibri" w:hAnsi="Calibri"/>
          <w:b/>
          <w:bCs/>
          <w:sz w:val="21"/>
          <w:szCs w:val="21"/>
        </w:rPr>
        <w:t xml:space="preserve">7 minutes early</w:t>
      </w:r>
      <w:r>
        <w:rPr>
          <w:rFonts w:ascii="Calibri" w:cs="Calibri" w:eastAsia="Calibri" w:hAnsi="Calibri"/>
          <w:sz w:val="21"/>
          <w:szCs w:val="21"/>
        </w:rPr>
        <w:t xml:space="preserve">. The gap between mean and median shows a right-skewed distribution: many flights run on or ahead of schedule while a small share is delayed for a long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cantSplit/>
          <w:tblHeader/>
        </w:trPr>
        <w:tc>
          <w:tcPr>
            <w:tcW w:type="dxa" w:w="52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Statistic (arrival delay)</w:t>
            </w:r>
          </w:p>
        </w:tc>
        <w:tc>
          <w:tcPr>
            <w:tcW w:type="dxa" w:w="4438"/>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Value</w:t>
            </w:r>
          </w:p>
        </w:tc>
      </w:tr>
      <w:tr>
        <w:trPr>
          <w:cantSplit/>
        </w:trPr>
        <w:tc>
          <w:tcPr>
            <w:tcW w:type="dxa" w:w="52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Mean / median</w:t>
            </w:r>
          </w:p>
        </w:tc>
        <w:tc>
          <w:tcPr>
            <w:tcW w:type="dxa" w:w="44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4.26 min / −7 min</w:t>
            </w:r>
          </w:p>
        </w:tc>
      </w:tr>
      <w:tr>
        <w:trPr>
          <w:cantSplit/>
        </w:trPr>
        <w:tc>
          <w:tcPr>
            <w:tcW w:type="dxa" w:w="52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Standard deviation</w:t>
            </w:r>
          </w:p>
        </w:tc>
        <w:tc>
          <w:tcPr>
            <w:tcW w:type="dxa" w:w="443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51.2 min</w:t>
            </w:r>
          </w:p>
        </w:tc>
      </w:tr>
      <w:tr>
        <w:trPr>
          <w:cantSplit/>
        </w:trPr>
        <w:tc>
          <w:tcPr>
            <w:tcW w:type="dxa" w:w="52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75th / 90th percentile</w:t>
            </w:r>
          </w:p>
        </w:tc>
        <w:tc>
          <w:tcPr>
            <w:tcW w:type="dxa" w:w="44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7 min / 36 min</w:t>
            </w:r>
          </w:p>
        </w:tc>
      </w:tr>
      <w:tr>
        <w:trPr>
          <w:cantSplit/>
        </w:trPr>
        <w:tc>
          <w:tcPr>
            <w:tcW w:type="dxa" w:w="52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95th / 99th percentile</w:t>
            </w:r>
          </w:p>
        </w:tc>
        <w:tc>
          <w:tcPr>
            <w:tcW w:type="dxa" w:w="443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71 min / 189 min</w:t>
            </w:r>
          </w:p>
        </w:tc>
      </w:tr>
      <w:tr>
        <w:trPr>
          <w:cantSplit/>
        </w:trPr>
        <w:tc>
          <w:tcPr>
            <w:tcW w:type="dxa" w:w="52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Flights delayed more than 180 minutes</w:t>
            </w:r>
          </w:p>
        </w:tc>
        <w:tc>
          <w:tcPr>
            <w:tcW w:type="dxa" w:w="44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32,263 (1.11% of flights with an arrival time)</w:t>
            </w:r>
          </w:p>
        </w:tc>
      </w:tr>
      <w:tr>
        <w:trPr>
          <w:cantSplit/>
        </w:trPr>
        <w:tc>
          <w:tcPr>
            <w:tcW w:type="dxa" w:w="52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Average departure delay</w:t>
            </w:r>
          </w:p>
        </w:tc>
        <w:tc>
          <w:tcPr>
            <w:tcW w:type="dxa" w:w="443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10.12 min</w:t>
            </w:r>
          </w:p>
        </w:tc>
      </w:tr>
    </w:tbl>
    <w:p>
      <w:pPr>
        <w:spacing w:after="160"/>
      </w:pPr>
    </w:p>
    <w:p>
      <w:pPr>
        <w:pStyle w:val="Heading2"/>
        <w:keepNext/>
      </w:pPr>
      <w:r>
        <w:rPr>
          <w:rFonts w:ascii="Calibri" w:cs="Calibri" w:eastAsia="Calibri" w:hAnsi="Calibri"/>
        </w:rPr>
        <w:t xml:space="preserve">Delays are created on the ground</w:t>
      </w:r>
    </w:p>
    <w:p>
      <w:pPr>
        <w:spacing w:after="120" w:before="0" w:line="276"/>
      </w:pPr>
      <w:r>
        <w:rPr>
          <w:rFonts w:ascii="Calibri" w:cs="Calibri" w:eastAsia="Calibri" w:hAnsi="Calibri"/>
          <w:sz w:val="21"/>
          <w:szCs w:val="21"/>
        </w:rPr>
        <w:t xml:space="preserve">Departure delay is almost perfectly correlated with arrival delay (r = 0.965). Taxi-out time shows a weak link (0.195) and taxi-in a weaker one (0.111). Distance (0.002) and air time (0.017) are essentially unrelated to arrival delay. In practice, a flight that leaves late usually arrives late, and the time lost on the ground is rarely recovered in the air.</w:t>
      </w:r>
    </w:p>
    <w:p>
      <w:pPr>
        <w:pStyle w:val="Heading2"/>
        <w:keepNext/>
      </w:pPr>
      <w:r>
        <w:rPr>
          <w:rFonts w:ascii="Calibri" w:cs="Calibri" w:eastAsia="Calibri" w:hAnsi="Calibri"/>
        </w:rPr>
        <w:t xml:space="preserve">Cancellations and diversions</w:t>
      </w:r>
    </w:p>
    <w:p>
      <w:pPr>
        <w:spacing w:after="120" w:before="0" w:line="276"/>
      </w:pPr>
      <w:r>
        <w:rPr>
          <w:rFonts w:ascii="Calibri" w:cs="Calibri" w:eastAsia="Calibri" w:hAnsi="Calibri"/>
          <w:sz w:val="21"/>
          <w:szCs w:val="21"/>
        </w:rPr>
        <w:t xml:space="preserve">A total of </w:t>
      </w:r>
      <w:r>
        <w:rPr>
          <w:rFonts w:ascii="Calibri" w:cs="Calibri" w:eastAsia="Calibri" w:hAnsi="Calibri"/>
          <w:b/>
          <w:bCs/>
          <w:sz w:val="21"/>
          <w:szCs w:val="21"/>
        </w:rPr>
        <w:t xml:space="preserve">79,140 flights (2.64%)</w:t>
      </w:r>
      <w:r>
        <w:rPr>
          <w:rFonts w:ascii="Calibri" w:cs="Calibri" w:eastAsia="Calibri" w:hAnsi="Calibri"/>
          <w:sz w:val="21"/>
          <w:szCs w:val="21"/>
        </w:rPr>
        <w:t xml:space="preserve"> were cancelled and </w:t>
      </w:r>
      <w:r>
        <w:rPr>
          <w:rFonts w:ascii="Calibri" w:cs="Calibri" w:eastAsia="Calibri" w:hAnsi="Calibri"/>
          <w:b/>
          <w:bCs/>
          <w:sz w:val="21"/>
          <w:szCs w:val="21"/>
        </w:rPr>
        <w:t xml:space="preserve">7,056 (0.24%)</w:t>
      </w:r>
      <w:r>
        <w:rPr>
          <w:rFonts w:ascii="Calibri" w:cs="Calibri" w:eastAsia="Calibri" w:hAnsi="Calibri"/>
          <w:sz w:val="21"/>
          <w:szCs w:val="21"/>
        </w:rPr>
        <w:t xml:space="preserve"> were diverted. Where a reason was recorded, weather accounts for 36.4% of cancellations, code D for 30.9%, carrier causes for 24.6% and the air-traffic system for 8.2%. Code D appears almost only in 2020 (24,221 of its 24,417 records), which suggests a one-off pandemic-period effect rather than a normal operating pattern; it should be validated before being read as a genuine security issue.</w:t>
      </w:r>
    </w:p>
    <w:p>
      <w:pPr>
        <w:pStyle w:val="Heading1"/>
        <w:pageBreakBefore/>
      </w:pPr>
      <w:r>
        <w:rPr>
          <w:rFonts w:ascii="Calibri" w:cs="Calibri" w:eastAsia="Calibri" w:hAnsi="Calibri"/>
        </w:rPr>
        <w:t xml:space="preserve">4  Airline Insights</w:t>
      </w:r>
    </w:p>
    <w:p>
      <w:pPr>
        <w:pStyle w:val="Heading2"/>
        <w:keepNext/>
      </w:pPr>
      <w:r>
        <w:rPr>
          <w:rFonts w:ascii="Calibri" w:cs="Calibri" w:eastAsia="Calibri" w:hAnsi="Calibri"/>
        </w:rPr>
        <w:t xml:space="preserve">4.1  Who performs best and worst</w:t>
      </w:r>
    </w:p>
    <w:p>
      <w:pPr>
        <w:spacing w:after="120" w:before="0" w:line="276"/>
      </w:pPr>
      <w:r>
        <w:rPr>
          <w:rFonts w:ascii="Calibri" w:cs="Calibri" w:eastAsia="Calibri" w:hAnsi="Calibri"/>
          <w:sz w:val="21"/>
          <w:szCs w:val="21"/>
        </w:rPr>
        <w:t xml:space="preserve">The Airline Performance Score combines average arrival delay, severe-delay rate, cancellation rate and diversion rate. Hawaiian (0.91), Horizon (0.85) and Delta (0.78) lead; ExpressJet (0.13), Allegiant (0.15) and JetBlue (0.22) trail. The full scorecard is in Appendix A.</w:t>
      </w:r>
    </w:p>
    <w:p>
      <w:pPr>
        <w:keepNext/>
        <w:spacing w:after="40" w:before="120"/>
        <w:jc w:val="center"/>
      </w:pPr>
      <w:r>
        <w:drawing>
          <wp:inline distT="0" distB="0" distL="0" distR="0">
            <wp:extent cx="4762500" cy="3705225"/>
            <wp:effectExtent t="0" r="0" b="0" l="0"/>
            <wp:docPr id="1" name="c1_airline_score.png" descr="Airline Performance Score (teal = score of 0.70 or more, red = below 0.30)" title="Airline Performance Score (teal = score of 0.70 or more, red = below 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705225"/>
                    </a:xfrm>
                    <a:prstGeom prst="rect">
                      <a:avLst/>
                    </a:prstGeom>
                  </pic:spPr>
                </pic:pic>
              </a:graphicData>
            </a:graphic>
          </wp:inline>
        </w:drawing>
      </w:r>
    </w:p>
    <w:p>
      <w:pPr>
        <w:spacing w:after="180"/>
        <w:jc w:val="center"/>
      </w:pPr>
      <w:r>
        <w:rPr>
          <w:rFonts w:ascii="Calibri" w:cs="Calibri" w:eastAsia="Calibri" w:hAnsi="Calibri"/>
          <w:i/>
          <w:iCs/>
          <w:color w:val="5B6577"/>
          <w:sz w:val="18"/>
          <w:szCs w:val="18"/>
        </w:rPr>
        <w:t xml:space="preserve">Figure 1. Airline Performance Score (teal = score of 0.70 or more, red = below 0.30)</w:t>
      </w:r>
    </w:p>
    <w:p>
      <w:pPr>
        <w:spacing w:after="120" w:before="0" w:line="276"/>
      </w:pPr>
      <w:r>
        <w:rPr>
          <w:rFonts w:ascii="Calibri" w:cs="Calibri" w:eastAsia="Calibri" w:hAnsi="Calibri"/>
          <w:b/>
          <w:bCs/>
          <w:sz w:val="21"/>
          <w:szCs w:val="21"/>
        </w:rPr>
        <w:t xml:space="preserve">Cross-check.</w:t>
      </w:r>
      <w:r>
        <w:rPr>
          <w:rFonts w:ascii="Calibri" w:cs="Calibri" w:eastAsia="Calibri" w:hAnsi="Calibri"/>
          <w:sz w:val="21"/>
          <w:szCs w:val="21"/>
        </w:rPr>
        <w:t xml:space="preserve"> The Tableau workbook scores airlines with different weights. The two methods rank airlines almost identically (Spearman rank correlation 0.92). Both put Hawaiian, Horizon, Delta, Endeavor, Alaska and Republic in the top six and JetBlue and Allegiant in the bottom two, so these conclusions do not depend on the weighting choice.</w:t>
      </w:r>
    </w:p>
    <w:p>
      <w:pPr>
        <w:pStyle w:val="Heading2"/>
        <w:keepNext/>
      </w:pPr>
      <w:r>
        <w:rPr>
          <w:rFonts w:ascii="Calibri" w:cs="Calibri" w:eastAsia="Calibri" w:hAnsi="Calibri"/>
        </w:rPr>
        <w:t xml:space="preserve">4.2  Frequency versus severity</w:t>
      </w:r>
    </w:p>
    <w:p>
      <w:pPr>
        <w:spacing w:after="120" w:before="0" w:line="276"/>
      </w:pPr>
      <w:r>
        <w:rPr>
          <w:rFonts w:ascii="Calibri" w:cs="Calibri" w:eastAsia="Calibri" w:hAnsi="Calibri"/>
          <w:sz w:val="21"/>
          <w:szCs w:val="21"/>
        </w:rPr>
        <w:t xml:space="preserve">Airlines fail in different ways, which is why a single metric is misleading. JetBlue combines the highest severe-delay rate (10.8%) with the highest average departure delay (18.3 min) and a 12.3-minute average arrival delay. Allegiant has the highest average arrival delay (13.3 min). ExpressJet has the highest cancellation rate (5.57%) and diversion rate (0.36%). Southwest stands out for volume: it flies the most flights (576,470) with a low severe-delay rate (4.7%) but a relatively high cancellation rate (3.4%).</w:t>
      </w:r>
    </w:p>
    <w:p>
      <w:pPr>
        <w:keepNext/>
        <w:spacing w:after="40" w:before="120"/>
        <w:jc w:val="center"/>
      </w:pPr>
      <w:r>
        <w:drawing>
          <wp:inline distT="0" distB="0" distL="0" distR="0">
            <wp:extent cx="4476750" cy="3105150"/>
            <wp:effectExtent t="0" r="0" b="0" l="0"/>
            <wp:docPr id="1" name="c2_sev_vs_cancel.png" descr="Severe-delay rate versus cancellation rate by airline" title="Severe-delay rate versus cancellation rate by air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105150"/>
                    </a:xfrm>
                    <a:prstGeom prst="rect">
                      <a:avLst/>
                    </a:prstGeom>
                  </pic:spPr>
                </pic:pic>
              </a:graphicData>
            </a:graphic>
          </wp:inline>
        </w:drawing>
      </w:r>
    </w:p>
    <w:p>
      <w:pPr>
        <w:spacing w:after="180"/>
        <w:jc w:val="center"/>
      </w:pPr>
      <w:r>
        <w:rPr>
          <w:rFonts w:ascii="Calibri" w:cs="Calibri" w:eastAsia="Calibri" w:hAnsi="Calibri"/>
          <w:i/>
          <w:iCs/>
          <w:color w:val="5B6577"/>
          <w:sz w:val="18"/>
          <w:szCs w:val="18"/>
        </w:rPr>
        <w:t xml:space="preserve">Figure 2. Severe-delay rate versus cancellation rate by airline</w:t>
      </w:r>
    </w:p>
    <w:p>
      <w:pPr>
        <w:pStyle w:val="Heading2"/>
        <w:keepNext/>
      </w:pPr>
      <w:r>
        <w:rPr>
          <w:rFonts w:ascii="Calibri" w:cs="Calibri" w:eastAsia="Calibri" w:hAnsi="Calibri"/>
        </w:rPr>
        <w:t xml:space="preserve">4.3  High volume combined with poor reliability</w:t>
      </w:r>
    </w:p>
    <w:p>
      <w:pPr>
        <w:keepNext/>
        <w:spacing w:after="120" w:before="0" w:line="276"/>
      </w:pPr>
      <w:r>
        <w:rPr>
          <w:rFonts w:ascii="Calibri" w:cs="Calibri" w:eastAsia="Calibri" w:hAnsi="Calibri"/>
          <w:sz w:val="21"/>
          <w:szCs w:val="21"/>
        </w:rPr>
        <w:t xml:space="preserve">Impact depends on scale as well as rate. Using the dataset medians as benchmarks, five high-volume airlines show at least two poor-reliability indicators.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600"/>
        <w:gridCol w:w="1300"/>
        <w:gridCol w:w="1700"/>
        <w:gridCol w:w="1438"/>
      </w:tblGrid>
      <w:tr>
        <w:trPr>
          <w:cantSplit/>
          <w:tblHeader/>
        </w:trPr>
        <w:tc>
          <w:tcPr>
            <w:tcW w:type="dxa" w:w="23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Airline</w:t>
            </w:r>
          </w:p>
        </w:tc>
        <w:tc>
          <w:tcPr>
            <w:tcW w:type="dxa" w:w="13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Flights</w:t>
            </w:r>
          </w:p>
        </w:tc>
        <w:tc>
          <w:tcPr>
            <w:tcW w:type="dxa" w:w="16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Avg arrival delay</w:t>
            </w:r>
          </w:p>
        </w:tc>
        <w:tc>
          <w:tcPr>
            <w:tcW w:type="dxa" w:w="13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Severe rate</w:t>
            </w:r>
          </w:p>
        </w:tc>
        <w:tc>
          <w:tcPr>
            <w:tcW w:type="dxa" w:w="17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Cancellation rate</w:t>
            </w:r>
          </w:p>
        </w:tc>
        <w:tc>
          <w:tcPr>
            <w:tcW w:type="dxa" w:w="1438"/>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center"/>
            </w:pPr>
            <w:r>
              <w:rPr>
                <w:rFonts w:ascii="Calibri" w:cs="Calibri" w:eastAsia="Calibri" w:hAnsi="Calibri"/>
                <w:b/>
                <w:bCs/>
                <w:color w:val="FFFFFF"/>
                <w:sz w:val="19"/>
                <w:szCs w:val="19"/>
              </w:rPr>
              <w:t xml:space="preserve">Indicators above median</w:t>
            </w:r>
          </w:p>
        </w:tc>
      </w:tr>
      <w:tr>
        <w:trPr>
          <w:cantSplit/>
        </w:trPr>
        <w:tc>
          <w:tcPr>
            <w:tcW w:type="dxa" w:w="2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American Airlines</w:t>
            </w:r>
          </w:p>
        </w:tc>
        <w:tc>
          <w:tcPr>
            <w:tcW w:type="dxa" w:w="1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383,106</w:t>
            </w:r>
          </w:p>
        </w:tc>
        <w:tc>
          <w:tcPr>
            <w:tcW w:type="dxa" w:w="16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6.66 min</w:t>
            </w:r>
          </w:p>
        </w:tc>
        <w:tc>
          <w:tcPr>
            <w:tcW w:type="dxa" w:w="1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6.71%</w:t>
            </w:r>
          </w:p>
        </w:tc>
        <w:tc>
          <w:tcPr>
            <w:tcW w:type="dxa" w:w="1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2.85%</w:t>
            </w:r>
          </w:p>
        </w:tc>
        <w:tc>
          <w:tcPr>
            <w:tcW w:type="dxa" w:w="14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center"/>
            </w:pPr>
            <w:r>
              <w:rPr>
                <w:rFonts w:ascii="Calibri" w:cs="Calibri" w:eastAsia="Calibri" w:hAnsi="Calibri"/>
                <w:sz w:val="19"/>
                <w:szCs w:val="19"/>
              </w:rPr>
              <w:t xml:space="preserve">4 of 4</w:t>
            </w:r>
          </w:p>
        </w:tc>
      </w:tr>
      <w:tr>
        <w:trPr>
          <w:cantSplit/>
        </w:trPr>
        <w:tc>
          <w:tcPr>
            <w:tcW w:type="dxa" w:w="23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JetBlue Airways</w:t>
            </w:r>
          </w:p>
        </w:tc>
        <w:tc>
          <w:tcPr>
            <w:tcW w:type="dxa" w:w="13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112,844</w:t>
            </w:r>
          </w:p>
        </w:tc>
        <w:tc>
          <w:tcPr>
            <w:tcW w:type="dxa" w:w="16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12.28 min</w:t>
            </w:r>
          </w:p>
        </w:tc>
        <w:tc>
          <w:tcPr>
            <w:tcW w:type="dxa" w:w="13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10.82%</w:t>
            </w:r>
          </w:p>
        </w:tc>
        <w:tc>
          <w:tcPr>
            <w:tcW w:type="dxa" w:w="17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2.69%</w:t>
            </w:r>
          </w:p>
        </w:tc>
        <w:tc>
          <w:tcPr>
            <w:tcW w:type="dxa" w:w="143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center"/>
            </w:pPr>
            <w:r>
              <w:rPr>
                <w:rFonts w:ascii="Calibri" w:cs="Calibri" w:eastAsia="Calibri" w:hAnsi="Calibri"/>
                <w:sz w:val="19"/>
                <w:szCs w:val="19"/>
              </w:rPr>
              <w:t xml:space="preserve">4 of 4</w:t>
            </w:r>
          </w:p>
        </w:tc>
      </w:tr>
      <w:tr>
        <w:trPr>
          <w:cantSplit/>
        </w:trPr>
        <w:tc>
          <w:tcPr>
            <w:tcW w:type="dxa" w:w="2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United Air Lines</w:t>
            </w:r>
          </w:p>
        </w:tc>
        <w:tc>
          <w:tcPr>
            <w:tcW w:type="dxa" w:w="1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254,504</w:t>
            </w:r>
          </w:p>
        </w:tc>
        <w:tc>
          <w:tcPr>
            <w:tcW w:type="dxa" w:w="16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5.04 min</w:t>
            </w:r>
          </w:p>
        </w:tc>
        <w:tc>
          <w:tcPr>
            <w:tcW w:type="dxa" w:w="1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6.65%</w:t>
            </w:r>
          </w:p>
        </w:tc>
        <w:tc>
          <w:tcPr>
            <w:tcW w:type="dxa" w:w="1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2.18%</w:t>
            </w:r>
          </w:p>
        </w:tc>
        <w:tc>
          <w:tcPr>
            <w:tcW w:type="dxa" w:w="14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center"/>
            </w:pPr>
            <w:r>
              <w:rPr>
                <w:rFonts w:ascii="Calibri" w:cs="Calibri" w:eastAsia="Calibri" w:hAnsi="Calibri"/>
                <w:sz w:val="19"/>
                <w:szCs w:val="19"/>
              </w:rPr>
              <w:t xml:space="preserve">3 of 4</w:t>
            </w:r>
          </w:p>
        </w:tc>
      </w:tr>
      <w:tr>
        <w:trPr>
          <w:cantSplit/>
        </w:trPr>
        <w:tc>
          <w:tcPr>
            <w:tcW w:type="dxa" w:w="23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SkyWest Airlines</w:t>
            </w:r>
          </w:p>
        </w:tc>
        <w:tc>
          <w:tcPr>
            <w:tcW w:type="dxa" w:w="13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343,737</w:t>
            </w:r>
          </w:p>
        </w:tc>
        <w:tc>
          <w:tcPr>
            <w:tcW w:type="dxa" w:w="16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4.02 min</w:t>
            </w:r>
          </w:p>
        </w:tc>
        <w:tc>
          <w:tcPr>
            <w:tcW w:type="dxa" w:w="13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5.87%</w:t>
            </w:r>
          </w:p>
        </w:tc>
        <w:tc>
          <w:tcPr>
            <w:tcW w:type="dxa" w:w="17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2.25%</w:t>
            </w:r>
          </w:p>
        </w:tc>
        <w:tc>
          <w:tcPr>
            <w:tcW w:type="dxa" w:w="143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center"/>
            </w:pPr>
            <w:r>
              <w:rPr>
                <w:rFonts w:ascii="Calibri" w:cs="Calibri" w:eastAsia="Calibri" w:hAnsi="Calibri"/>
                <w:sz w:val="19"/>
                <w:szCs w:val="19"/>
              </w:rPr>
              <w:t xml:space="preserve">2 of 4</w:t>
            </w:r>
          </w:p>
        </w:tc>
      </w:tr>
      <w:tr>
        <w:trPr>
          <w:cantSplit/>
        </w:trPr>
        <w:tc>
          <w:tcPr>
            <w:tcW w:type="dxa" w:w="2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Envoy Air</w:t>
            </w:r>
          </w:p>
        </w:tc>
        <w:tc>
          <w:tcPr>
            <w:tcW w:type="dxa" w:w="1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121,256</w:t>
            </w:r>
          </w:p>
        </w:tc>
        <w:tc>
          <w:tcPr>
            <w:tcW w:type="dxa" w:w="16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3.28 min</w:t>
            </w:r>
          </w:p>
        </w:tc>
        <w:tc>
          <w:tcPr>
            <w:tcW w:type="dxa" w:w="1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5.18%</w:t>
            </w:r>
          </w:p>
        </w:tc>
        <w:tc>
          <w:tcPr>
            <w:tcW w:type="dxa" w:w="1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3.00%</w:t>
            </w:r>
          </w:p>
        </w:tc>
        <w:tc>
          <w:tcPr>
            <w:tcW w:type="dxa" w:w="14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center"/>
            </w:pPr>
            <w:r>
              <w:rPr>
                <w:rFonts w:ascii="Calibri" w:cs="Calibri" w:eastAsia="Calibri" w:hAnsi="Calibri"/>
                <w:sz w:val="19"/>
                <w:szCs w:val="19"/>
              </w:rPr>
              <w:t xml:space="preserve">2 of 4</w:t>
            </w:r>
          </w:p>
        </w:tc>
      </w:tr>
    </w:tbl>
    <w:p>
      <w:pPr>
        <w:spacing w:after="120"/>
      </w:pPr>
    </w:p>
    <w:p>
      <w:pPr>
        <w:spacing w:after="120" w:before="0" w:line="276"/>
      </w:pPr>
      <w:r>
        <w:rPr>
          <w:rFonts w:ascii="Calibri" w:cs="Calibri" w:eastAsia="Calibri" w:hAnsi="Calibri"/>
          <w:sz w:val="21"/>
          <w:szCs w:val="21"/>
        </w:rPr>
        <w:t xml:space="preserve">American Airlines also records the most extreme delays (5,188 flights over 180 minutes), followed by SkyWest (4,585) and Delta (3,700). Part of this reflects volume, but it confirms that American is the largest single source of severe disruption. Several regional carriers fly on behalf of major airlines, so their results partly reflect the networks they serve.</w:t>
      </w:r>
    </w:p>
    <w:p>
      <w:pPr>
        <w:pStyle w:val="Heading1"/>
        <w:pageBreakBefore/>
      </w:pPr>
      <w:r>
        <w:rPr>
          <w:rFonts w:ascii="Calibri" w:cs="Calibri" w:eastAsia="Calibri" w:hAnsi="Calibri"/>
        </w:rPr>
        <w:t xml:space="preserve">5  Airport and Route Insights</w:t>
      </w:r>
    </w:p>
    <w:p>
      <w:pPr>
        <w:pStyle w:val="Heading2"/>
        <w:keepNext/>
      </w:pPr>
      <w:r>
        <w:rPr>
          <w:rFonts w:ascii="Calibri" w:cs="Calibri" w:eastAsia="Calibri" w:hAnsi="Calibri"/>
        </w:rPr>
        <w:t xml:space="preserve">5.1  Where the delay burden sits</w:t>
      </w:r>
    </w:p>
    <w:p>
      <w:pPr>
        <w:spacing w:after="120" w:before="0" w:line="276"/>
      </w:pPr>
      <w:r>
        <w:rPr>
          <w:rFonts w:ascii="Calibri" w:cs="Calibri" w:eastAsia="Calibri" w:hAnsi="Calibri"/>
          <w:sz w:val="21"/>
          <w:szCs w:val="21"/>
        </w:rPr>
        <w:t xml:space="preserve">Delay burden depends on both volume and rate. DFW generates the largest total (about 1.05 million net arrival-delay minutes), followed by DEN and ORD. Together, the top ten airports handle </w:t>
      </w:r>
      <w:r>
        <w:rPr>
          <w:rFonts w:ascii="Calibri" w:cs="Calibri" w:eastAsia="Calibri" w:hAnsi="Calibri"/>
          <w:b/>
          <w:bCs/>
          <w:sz w:val="21"/>
          <w:szCs w:val="21"/>
        </w:rPr>
        <w:t xml:space="preserve">30.5% of departures but about 45% of net delay minutes</w:t>
      </w:r>
      <w:r>
        <w:rPr>
          <w:rFonts w:ascii="Calibri" w:cs="Calibri" w:eastAsia="Calibri" w:hAnsi="Calibri"/>
          <w:sz w:val="21"/>
          <w:szCs w:val="21"/>
        </w:rPr>
        <w:t xml:space="preserve">. ATL is the busiest airport (153,556 flights) yet performs well (2.6-minute average delay), so volume alone does not explain the burden.</w:t>
      </w:r>
    </w:p>
    <w:p>
      <w:pPr>
        <w:keepNext/>
        <w:spacing w:after="40" w:before="120"/>
        <w:jc w:val="center"/>
      </w:pPr>
      <w:r>
        <w:drawing>
          <wp:inline distT="0" distB="0" distL="0" distR="0">
            <wp:extent cx="5334000" cy="3257550"/>
            <wp:effectExtent t="0" r="0" b="0" l="0"/>
            <wp:docPr id="1" name="c5_airports.png" descr="Top 10 airports by total (net) arrival-delay minutes, with average delay and flight volume" title="Top 10 airports by total (net) arrival-delay minutes, with average delay and flight 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57550"/>
                    </a:xfrm>
                    <a:prstGeom prst="rect">
                      <a:avLst/>
                    </a:prstGeom>
                  </pic:spPr>
                </pic:pic>
              </a:graphicData>
            </a:graphic>
          </wp:inline>
        </w:drawing>
      </w:r>
    </w:p>
    <w:p>
      <w:pPr>
        <w:spacing w:after="180"/>
        <w:jc w:val="center"/>
      </w:pPr>
      <w:r>
        <w:rPr>
          <w:rFonts w:ascii="Calibri" w:cs="Calibri" w:eastAsia="Calibri" w:hAnsi="Calibri"/>
          <w:i/>
          <w:iCs/>
          <w:color w:val="5B6577"/>
          <w:sz w:val="18"/>
          <w:szCs w:val="18"/>
        </w:rPr>
        <w:t xml:space="preserve">Figure 3. Top 10 airports by total (net) arrival-delay minutes, with average delay and flight volume</w:t>
      </w:r>
    </w:p>
    <w:p>
      <w:pPr>
        <w:keepNext/>
        <w:spacing w:after="120" w:before="0" w:line="276"/>
      </w:pPr>
      <w:r>
        <w:rPr>
          <w:rFonts w:ascii="Calibri" w:cs="Calibri" w:eastAsia="Calibri" w:hAnsi="Calibri"/>
          <w:sz w:val="21"/>
          <w:szCs w:val="21"/>
        </w:rPr>
        <w:t xml:space="preserve">Large airports (at least 40,000 departures) with both average arrival delay and severe-delay rate above the network average form the priority hub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150"/>
        <w:gridCol w:w="1300"/>
        <w:gridCol w:w="1250"/>
        <w:gridCol w:w="1200"/>
        <w:gridCol w:w="1300"/>
        <w:gridCol w:w="1738"/>
      </w:tblGrid>
      <w:tr>
        <w:trPr>
          <w:cantSplit/>
          <w:tblHeader/>
        </w:trPr>
        <w:tc>
          <w:tcPr>
            <w:tcW w:type="dxa" w:w="17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8"/>
                <w:szCs w:val="18"/>
              </w:rPr>
              <w:t xml:space="preserve">Airport</w:t>
            </w:r>
          </w:p>
        </w:tc>
        <w:tc>
          <w:tcPr>
            <w:tcW w:type="dxa" w:w="115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8"/>
                <w:szCs w:val="18"/>
              </w:rPr>
              <w:t xml:space="preserve">Flights</w:t>
            </w:r>
          </w:p>
        </w:tc>
        <w:tc>
          <w:tcPr>
            <w:tcW w:type="dxa" w:w="13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8"/>
                <w:szCs w:val="18"/>
              </w:rPr>
              <w:t xml:space="preserve">Avg arrival delay</w:t>
            </w:r>
          </w:p>
        </w:tc>
        <w:tc>
          <w:tcPr>
            <w:tcW w:type="dxa" w:w="125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8"/>
                <w:szCs w:val="18"/>
              </w:rPr>
              <w:t xml:space="preserve">Delayed rate</w:t>
            </w:r>
          </w:p>
        </w:tc>
        <w:tc>
          <w:tcPr>
            <w:tcW w:type="dxa" w:w="12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8"/>
                <w:szCs w:val="18"/>
              </w:rPr>
              <w:t xml:space="preserve">Severe rate</w:t>
            </w:r>
          </w:p>
        </w:tc>
        <w:tc>
          <w:tcPr>
            <w:tcW w:type="dxa" w:w="13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8"/>
                <w:szCs w:val="18"/>
              </w:rPr>
              <w:t xml:space="preserve">Cancellation</w:t>
            </w:r>
          </w:p>
        </w:tc>
        <w:tc>
          <w:tcPr>
            <w:tcW w:type="dxa" w:w="1738"/>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8"/>
                <w:szCs w:val="18"/>
              </w:rPr>
              <w:t xml:space="preserve">Net delay minutes</w:t>
            </w:r>
          </w:p>
        </w:tc>
      </w:tr>
      <w:tr>
        <w:trPr>
          <w:cantSplit/>
        </w:trPr>
        <w:tc>
          <w:tcPr>
            <w:tcW w:type="dxa" w:w="1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DFW</w:t>
            </w:r>
          </w:p>
        </w:tc>
        <w:tc>
          <w:tcPr>
            <w:tcW w:type="dxa" w:w="11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130,334</w:t>
            </w:r>
          </w:p>
        </w:tc>
        <w:tc>
          <w:tcPr>
            <w:tcW w:type="dxa" w:w="1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8.38</w:t>
            </w:r>
          </w:p>
        </w:tc>
        <w:tc>
          <w:tcPr>
            <w:tcW w:type="dxa" w:w="12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36.98%</w:t>
            </w:r>
          </w:p>
        </w:tc>
        <w:tc>
          <w:tcPr>
            <w:tcW w:type="dxa" w:w="12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7.23%</w:t>
            </w:r>
          </w:p>
        </w:tc>
        <w:tc>
          <w:tcPr>
            <w:tcW w:type="dxa" w:w="1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3.22%</w:t>
            </w:r>
          </w:p>
        </w:tc>
        <w:tc>
          <w:tcPr>
            <w:tcW w:type="dxa" w:w="17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1,053,531</w:t>
            </w:r>
          </w:p>
        </w:tc>
      </w:tr>
      <w:tr>
        <w:trPr>
          <w:cantSplit/>
        </w:trPr>
        <w:tc>
          <w:tcPr>
            <w:tcW w:type="dxa" w:w="17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ORD</w:t>
            </w:r>
          </w:p>
        </w:tc>
        <w:tc>
          <w:tcPr>
            <w:tcW w:type="dxa" w:w="11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122,296</w:t>
            </w:r>
          </w:p>
        </w:tc>
        <w:tc>
          <w:tcPr>
            <w:tcW w:type="dxa" w:w="13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6.06</w:t>
            </w:r>
          </w:p>
        </w:tc>
        <w:tc>
          <w:tcPr>
            <w:tcW w:type="dxa" w:w="12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34.40%</w:t>
            </w:r>
          </w:p>
        </w:tc>
        <w:tc>
          <w:tcPr>
            <w:tcW w:type="dxa" w:w="12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7.03%</w:t>
            </w:r>
          </w:p>
        </w:tc>
        <w:tc>
          <w:tcPr>
            <w:tcW w:type="dxa" w:w="13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3.10%</w:t>
            </w:r>
          </w:p>
        </w:tc>
        <w:tc>
          <w:tcPr>
            <w:tcW w:type="dxa" w:w="173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716,684</w:t>
            </w:r>
          </w:p>
        </w:tc>
      </w:tr>
      <w:tr>
        <w:trPr>
          <w:cantSplit/>
        </w:trPr>
        <w:tc>
          <w:tcPr>
            <w:tcW w:type="dxa" w:w="1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DEN</w:t>
            </w:r>
          </w:p>
        </w:tc>
        <w:tc>
          <w:tcPr>
            <w:tcW w:type="dxa" w:w="11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119,919</w:t>
            </w:r>
          </w:p>
        </w:tc>
        <w:tc>
          <w:tcPr>
            <w:tcW w:type="dxa" w:w="1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7.38</w:t>
            </w:r>
          </w:p>
        </w:tc>
        <w:tc>
          <w:tcPr>
            <w:tcW w:type="dxa" w:w="12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38.43%</w:t>
            </w:r>
          </w:p>
        </w:tc>
        <w:tc>
          <w:tcPr>
            <w:tcW w:type="dxa" w:w="12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6.73%</w:t>
            </w:r>
          </w:p>
        </w:tc>
        <w:tc>
          <w:tcPr>
            <w:tcW w:type="dxa" w:w="1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2.72%</w:t>
            </w:r>
          </w:p>
        </w:tc>
        <w:tc>
          <w:tcPr>
            <w:tcW w:type="dxa" w:w="17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858,837</w:t>
            </w:r>
          </w:p>
        </w:tc>
      </w:tr>
      <w:tr>
        <w:trPr>
          <w:cantSplit/>
        </w:trPr>
        <w:tc>
          <w:tcPr>
            <w:tcW w:type="dxa" w:w="17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LAS</w:t>
            </w:r>
          </w:p>
        </w:tc>
        <w:tc>
          <w:tcPr>
            <w:tcW w:type="dxa" w:w="11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73,470</w:t>
            </w:r>
          </w:p>
        </w:tc>
        <w:tc>
          <w:tcPr>
            <w:tcW w:type="dxa" w:w="13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6.61</w:t>
            </w:r>
          </w:p>
        </w:tc>
        <w:tc>
          <w:tcPr>
            <w:tcW w:type="dxa" w:w="12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38.23%</w:t>
            </w:r>
          </w:p>
        </w:tc>
        <w:tc>
          <w:tcPr>
            <w:tcW w:type="dxa" w:w="12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6.05%</w:t>
            </w:r>
          </w:p>
        </w:tc>
        <w:tc>
          <w:tcPr>
            <w:tcW w:type="dxa" w:w="13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2.58%</w:t>
            </w:r>
          </w:p>
        </w:tc>
        <w:tc>
          <w:tcPr>
            <w:tcW w:type="dxa" w:w="173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472,143</w:t>
            </w:r>
          </w:p>
        </w:tc>
      </w:tr>
      <w:tr>
        <w:trPr>
          <w:cantSplit/>
        </w:trPr>
        <w:tc>
          <w:tcPr>
            <w:tcW w:type="dxa" w:w="1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MCO</w:t>
            </w:r>
          </w:p>
        </w:tc>
        <w:tc>
          <w:tcPr>
            <w:tcW w:type="dxa" w:w="11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63,883</w:t>
            </w:r>
          </w:p>
        </w:tc>
        <w:tc>
          <w:tcPr>
            <w:tcW w:type="dxa" w:w="1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9.88</w:t>
            </w:r>
          </w:p>
        </w:tc>
        <w:tc>
          <w:tcPr>
            <w:tcW w:type="dxa" w:w="12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38.74%</w:t>
            </w:r>
          </w:p>
        </w:tc>
        <w:tc>
          <w:tcPr>
            <w:tcW w:type="dxa" w:w="12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8.51%</w:t>
            </w:r>
          </w:p>
        </w:tc>
        <w:tc>
          <w:tcPr>
            <w:tcW w:type="dxa" w:w="1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2.73%</w:t>
            </w:r>
          </w:p>
        </w:tc>
        <w:tc>
          <w:tcPr>
            <w:tcW w:type="dxa" w:w="17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612,711</w:t>
            </w:r>
          </w:p>
        </w:tc>
      </w:tr>
      <w:tr>
        <w:trPr>
          <w:cantSplit/>
        </w:trPr>
        <w:tc>
          <w:tcPr>
            <w:tcW w:type="dxa" w:w="17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IAH</w:t>
            </w:r>
          </w:p>
        </w:tc>
        <w:tc>
          <w:tcPr>
            <w:tcW w:type="dxa" w:w="11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62,542</w:t>
            </w:r>
          </w:p>
        </w:tc>
        <w:tc>
          <w:tcPr>
            <w:tcW w:type="dxa" w:w="13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5.64</w:t>
            </w:r>
          </w:p>
        </w:tc>
        <w:tc>
          <w:tcPr>
            <w:tcW w:type="dxa" w:w="12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33.11%</w:t>
            </w:r>
          </w:p>
        </w:tc>
        <w:tc>
          <w:tcPr>
            <w:tcW w:type="dxa" w:w="12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6.63%</w:t>
            </w:r>
          </w:p>
        </w:tc>
        <w:tc>
          <w:tcPr>
            <w:tcW w:type="dxa" w:w="13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2.38%</w:t>
            </w:r>
          </w:p>
        </w:tc>
        <w:tc>
          <w:tcPr>
            <w:tcW w:type="dxa" w:w="173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343,331</w:t>
            </w:r>
          </w:p>
        </w:tc>
      </w:tr>
      <w:tr>
        <w:trPr>
          <w:cantSplit/>
        </w:trPr>
        <w:tc>
          <w:tcPr>
            <w:tcW w:type="dxa" w:w="1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EWR</w:t>
            </w:r>
          </w:p>
        </w:tc>
        <w:tc>
          <w:tcPr>
            <w:tcW w:type="dxa" w:w="11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52,989</w:t>
            </w:r>
          </w:p>
        </w:tc>
        <w:tc>
          <w:tcPr>
            <w:tcW w:type="dxa" w:w="1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8.67</w:t>
            </w:r>
          </w:p>
        </w:tc>
        <w:tc>
          <w:tcPr>
            <w:tcW w:type="dxa" w:w="12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36.60%</w:t>
            </w:r>
          </w:p>
        </w:tc>
        <w:tc>
          <w:tcPr>
            <w:tcW w:type="dxa" w:w="12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9.13%</w:t>
            </w:r>
          </w:p>
        </w:tc>
        <w:tc>
          <w:tcPr>
            <w:tcW w:type="dxa" w:w="1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3.87%</w:t>
            </w:r>
          </w:p>
        </w:tc>
        <w:tc>
          <w:tcPr>
            <w:tcW w:type="dxa" w:w="17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440,310</w:t>
            </w:r>
          </w:p>
        </w:tc>
      </w:tr>
      <w:tr>
        <w:trPr>
          <w:cantSplit/>
        </w:trPr>
        <w:tc>
          <w:tcPr>
            <w:tcW w:type="dxa" w:w="17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MIA</w:t>
            </w:r>
          </w:p>
        </w:tc>
        <w:tc>
          <w:tcPr>
            <w:tcW w:type="dxa" w:w="11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41,981</w:t>
            </w:r>
          </w:p>
        </w:tc>
        <w:tc>
          <w:tcPr>
            <w:tcW w:type="dxa" w:w="13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8.70</w:t>
            </w:r>
          </w:p>
        </w:tc>
        <w:tc>
          <w:tcPr>
            <w:tcW w:type="dxa" w:w="12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37.59%</w:t>
            </w:r>
          </w:p>
        </w:tc>
        <w:tc>
          <w:tcPr>
            <w:tcW w:type="dxa" w:w="12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7.51%</w:t>
            </w:r>
          </w:p>
        </w:tc>
        <w:tc>
          <w:tcPr>
            <w:tcW w:type="dxa" w:w="13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2.26%</w:t>
            </w:r>
          </w:p>
        </w:tc>
        <w:tc>
          <w:tcPr>
            <w:tcW w:type="dxa" w:w="173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355,954</w:t>
            </w:r>
          </w:p>
        </w:tc>
      </w:tr>
      <w:tr>
        <w:trPr>
          <w:cantSplit/>
        </w:trPr>
        <w:tc>
          <w:tcPr>
            <w:tcW w:type="dxa" w:w="1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FLL</w:t>
            </w:r>
          </w:p>
        </w:tc>
        <w:tc>
          <w:tcPr>
            <w:tcW w:type="dxa" w:w="11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40,276</w:t>
            </w:r>
          </w:p>
        </w:tc>
        <w:tc>
          <w:tcPr>
            <w:tcW w:type="dxa" w:w="1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8.74</w:t>
            </w:r>
          </w:p>
        </w:tc>
        <w:tc>
          <w:tcPr>
            <w:tcW w:type="dxa" w:w="12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36.74%</w:t>
            </w:r>
          </w:p>
        </w:tc>
        <w:tc>
          <w:tcPr>
            <w:tcW w:type="dxa" w:w="12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8.28%</w:t>
            </w:r>
          </w:p>
        </w:tc>
        <w:tc>
          <w:tcPr>
            <w:tcW w:type="dxa" w:w="1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2.70%</w:t>
            </w:r>
          </w:p>
        </w:tc>
        <w:tc>
          <w:tcPr>
            <w:tcW w:type="dxa" w:w="17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341,669</w:t>
            </w:r>
          </w:p>
        </w:tc>
      </w:tr>
      <w:tr>
        <w:trPr>
          <w:cantSplit/>
        </w:trPr>
        <w:tc>
          <w:tcPr>
            <w:tcW w:type="dxa" w:w="1700"/>
            <w:tcBorders>
              <w:top w:val="single" w:color="C9D2DE" w:sz="4"/>
              <w:left w:val="single" w:color="C9D2DE" w:sz="4"/>
              <w:bottom w:val="single" w:color="C9D2DE" w:sz="4"/>
              <w:right w:val="single" w:color="C9D2DE" w:sz="4"/>
            </w:tcBorders>
            <w:shd w:fill="DCE6F0"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8"/>
                <w:szCs w:val="18"/>
              </w:rPr>
              <w:t xml:space="preserve">Network average</w:t>
            </w:r>
          </w:p>
        </w:tc>
        <w:tc>
          <w:tcPr>
            <w:tcW w:type="dxa" w:w="1150"/>
            <w:tcBorders>
              <w:top w:val="single" w:color="C9D2DE" w:sz="4"/>
              <w:left w:val="single" w:color="C9D2DE" w:sz="4"/>
              <w:bottom w:val="single" w:color="C9D2DE" w:sz="4"/>
              <w:right w:val="single" w:color="C9D2DE" w:sz="4"/>
            </w:tcBorders>
            <w:shd w:fill="DCE6F0"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8"/>
                <w:szCs w:val="18"/>
              </w:rPr>
              <w:t xml:space="preserve">–</w:t>
            </w:r>
          </w:p>
        </w:tc>
        <w:tc>
          <w:tcPr>
            <w:tcW w:type="dxa" w:w="1300"/>
            <w:tcBorders>
              <w:top w:val="single" w:color="C9D2DE" w:sz="4"/>
              <w:left w:val="single" w:color="C9D2DE" w:sz="4"/>
              <w:bottom w:val="single" w:color="C9D2DE" w:sz="4"/>
              <w:right w:val="single" w:color="C9D2DE" w:sz="4"/>
            </w:tcBorders>
            <w:shd w:fill="DCE6F0"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8"/>
                <w:szCs w:val="18"/>
              </w:rPr>
              <w:t xml:space="preserve">4.26</w:t>
            </w:r>
          </w:p>
        </w:tc>
        <w:tc>
          <w:tcPr>
            <w:tcW w:type="dxa" w:w="1250"/>
            <w:tcBorders>
              <w:top w:val="single" w:color="C9D2DE" w:sz="4"/>
              <w:left w:val="single" w:color="C9D2DE" w:sz="4"/>
              <w:bottom w:val="single" w:color="C9D2DE" w:sz="4"/>
              <w:right w:val="single" w:color="C9D2DE" w:sz="4"/>
            </w:tcBorders>
            <w:shd w:fill="DCE6F0"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8"/>
                <w:szCs w:val="18"/>
              </w:rPr>
              <w:t xml:space="preserve">32.60%</w:t>
            </w:r>
          </w:p>
        </w:tc>
        <w:tc>
          <w:tcPr>
            <w:tcW w:type="dxa" w:w="1200"/>
            <w:tcBorders>
              <w:top w:val="single" w:color="C9D2DE" w:sz="4"/>
              <w:left w:val="single" w:color="C9D2DE" w:sz="4"/>
              <w:bottom w:val="single" w:color="C9D2DE" w:sz="4"/>
              <w:right w:val="single" w:color="C9D2DE" w:sz="4"/>
            </w:tcBorders>
            <w:shd w:fill="DCE6F0"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8"/>
                <w:szCs w:val="18"/>
              </w:rPr>
              <w:t xml:space="preserve">5.84%</w:t>
            </w:r>
          </w:p>
        </w:tc>
        <w:tc>
          <w:tcPr>
            <w:tcW w:type="dxa" w:w="1300"/>
            <w:tcBorders>
              <w:top w:val="single" w:color="C9D2DE" w:sz="4"/>
              <w:left w:val="single" w:color="C9D2DE" w:sz="4"/>
              <w:bottom w:val="single" w:color="C9D2DE" w:sz="4"/>
              <w:right w:val="single" w:color="C9D2DE" w:sz="4"/>
            </w:tcBorders>
            <w:shd w:fill="DCE6F0"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8"/>
                <w:szCs w:val="18"/>
              </w:rPr>
              <w:t xml:space="preserve">2.64%</w:t>
            </w:r>
          </w:p>
        </w:tc>
        <w:tc>
          <w:tcPr>
            <w:tcW w:type="dxa" w:w="1738"/>
            <w:tcBorders>
              <w:top w:val="single" w:color="C9D2DE" w:sz="4"/>
              <w:left w:val="single" w:color="C9D2DE" w:sz="4"/>
              <w:bottom w:val="single" w:color="C9D2DE" w:sz="4"/>
              <w:right w:val="single" w:color="C9D2DE" w:sz="4"/>
            </w:tcBorders>
            <w:shd w:fill="DCE6F0"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8"/>
                <w:szCs w:val="18"/>
              </w:rPr>
              <w:t xml:space="preserve">–</w:t>
            </w:r>
          </w:p>
        </w:tc>
      </w:tr>
    </w:tbl>
    <w:p>
      <w:pPr>
        <w:spacing w:after="140"/>
      </w:pPr>
    </w:p>
    <w:p>
      <w:pPr>
        <w:pStyle w:val="Heading2"/>
        <w:keepNext/>
      </w:pPr>
      <w:r>
        <w:rPr>
          <w:rFonts w:ascii="Calibri" w:cs="Calibri" w:eastAsia="Calibri" w:hAnsi="Calibri"/>
        </w:rPr>
        <w:t xml:space="preserve">5.2  Smaller airports with concentrated problems</w:t>
      </w:r>
    </w:p>
    <w:p>
      <w:pPr>
        <w:keepNext/>
        <w:spacing w:after="120" w:before="0" w:line="276"/>
      </w:pPr>
      <w:r>
        <w:rPr>
          <w:rFonts w:ascii="Calibri" w:cs="Calibri" w:eastAsia="Calibri" w:hAnsi="Calibri"/>
          <w:sz w:val="21"/>
          <w:szCs w:val="21"/>
        </w:rPr>
        <w:t xml:space="preserve">The project's Airport Risk Score, applied to all 380 origin airports, ranks tiny airports first (ART with 21 flights, OGD with 18, HYA with 50) because a handful of flights can produce extreme percentages. These results are not statistically reliable. Restricting the score to the 198 airports with at least 1,000 flights gives a more useful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1700"/>
        <w:gridCol w:w="1400"/>
        <w:gridCol w:w="1700"/>
        <w:gridCol w:w="1688"/>
      </w:tblGrid>
      <w:tr>
        <w:trPr>
          <w:cantSplit/>
          <w:tblHeader/>
        </w:trPr>
        <w:tc>
          <w:tcPr>
            <w:tcW w:type="dxa" w:w="19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8"/>
                <w:szCs w:val="18"/>
              </w:rPr>
              <w:t xml:space="preserve">Airport</w:t>
            </w:r>
          </w:p>
        </w:tc>
        <w:tc>
          <w:tcPr>
            <w:tcW w:type="dxa" w:w="125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8"/>
                <w:szCs w:val="18"/>
              </w:rPr>
              <w:t xml:space="preserve">Flights</w:t>
            </w:r>
          </w:p>
        </w:tc>
        <w:tc>
          <w:tcPr>
            <w:tcW w:type="dxa" w:w="17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8"/>
                <w:szCs w:val="18"/>
              </w:rPr>
              <w:t xml:space="preserve">Avg arrival delay</w:t>
            </w:r>
          </w:p>
        </w:tc>
        <w:tc>
          <w:tcPr>
            <w:tcW w:type="dxa" w:w="14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8"/>
                <w:szCs w:val="18"/>
              </w:rPr>
              <w:t xml:space="preserve">Severe rate</w:t>
            </w:r>
          </w:p>
        </w:tc>
        <w:tc>
          <w:tcPr>
            <w:tcW w:type="dxa" w:w="17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8"/>
                <w:szCs w:val="18"/>
              </w:rPr>
              <w:t xml:space="preserve">Disruption rate</w:t>
            </w:r>
          </w:p>
        </w:tc>
        <w:tc>
          <w:tcPr>
            <w:tcW w:type="dxa" w:w="1688"/>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8"/>
                <w:szCs w:val="18"/>
              </w:rPr>
              <w:t xml:space="preserve">Risk score</w:t>
            </w:r>
          </w:p>
        </w:tc>
      </w:tr>
      <w:tr>
        <w:trPr>
          <w:cantSplit/>
        </w:trPr>
        <w:tc>
          <w:tcPr>
            <w:tcW w:type="dxa" w:w="19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ASE (Aspen)</w:t>
            </w:r>
          </w:p>
        </w:tc>
        <w:tc>
          <w:tcPr>
            <w:tcW w:type="dxa" w:w="12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2,859</w:t>
            </w:r>
          </w:p>
        </w:tc>
        <w:tc>
          <w:tcPr>
            <w:tcW w:type="dxa" w:w="1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22.21 min</w:t>
            </w:r>
          </w:p>
        </w:tc>
        <w:tc>
          <w:tcPr>
            <w:tcW w:type="dxa" w:w="14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12.56%</w:t>
            </w:r>
          </w:p>
        </w:tc>
        <w:tc>
          <w:tcPr>
            <w:tcW w:type="dxa" w:w="1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9.90%</w:t>
            </w:r>
          </w:p>
        </w:tc>
        <w:tc>
          <w:tcPr>
            <w:tcW w:type="dxa" w:w="168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0.97</w:t>
            </w:r>
          </w:p>
        </w:tc>
      </w:tr>
      <w:tr>
        <w:trPr>
          <w:cantSplit/>
        </w:trPr>
        <w:tc>
          <w:tcPr>
            <w:tcW w:type="dxa" w:w="19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SFB</w:t>
            </w:r>
          </w:p>
        </w:tc>
        <w:tc>
          <w:tcPr>
            <w:tcW w:type="dxa" w:w="12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4,581</w:t>
            </w:r>
          </w:p>
        </w:tc>
        <w:tc>
          <w:tcPr>
            <w:tcW w:type="dxa" w:w="17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10.47 min</w:t>
            </w:r>
          </w:p>
        </w:tc>
        <w:tc>
          <w:tcPr>
            <w:tcW w:type="dxa" w:w="14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7.29%</w:t>
            </w:r>
          </w:p>
        </w:tc>
        <w:tc>
          <w:tcPr>
            <w:tcW w:type="dxa" w:w="17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5.57%</w:t>
            </w:r>
          </w:p>
        </w:tc>
        <w:tc>
          <w:tcPr>
            <w:tcW w:type="dxa" w:w="168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0.64</w:t>
            </w:r>
          </w:p>
        </w:tc>
      </w:tr>
      <w:tr>
        <w:trPr>
          <w:cantSplit/>
        </w:trPr>
        <w:tc>
          <w:tcPr>
            <w:tcW w:type="dxa" w:w="19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PGD</w:t>
            </w:r>
          </w:p>
        </w:tc>
        <w:tc>
          <w:tcPr>
            <w:tcW w:type="dxa" w:w="12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2,854</w:t>
            </w:r>
          </w:p>
        </w:tc>
        <w:tc>
          <w:tcPr>
            <w:tcW w:type="dxa" w:w="1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10.39 min</w:t>
            </w:r>
          </w:p>
        </w:tc>
        <w:tc>
          <w:tcPr>
            <w:tcW w:type="dxa" w:w="14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8.13%</w:t>
            </w:r>
          </w:p>
        </w:tc>
        <w:tc>
          <w:tcPr>
            <w:tcW w:type="dxa" w:w="1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4.70%</w:t>
            </w:r>
          </w:p>
        </w:tc>
        <w:tc>
          <w:tcPr>
            <w:tcW w:type="dxa" w:w="168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0.64</w:t>
            </w:r>
          </w:p>
        </w:tc>
      </w:tr>
      <w:tr>
        <w:trPr>
          <w:cantSplit/>
        </w:trPr>
        <w:tc>
          <w:tcPr>
            <w:tcW w:type="dxa" w:w="19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EWR</w:t>
            </w:r>
          </w:p>
        </w:tc>
        <w:tc>
          <w:tcPr>
            <w:tcW w:type="dxa" w:w="12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52,989</w:t>
            </w:r>
          </w:p>
        </w:tc>
        <w:tc>
          <w:tcPr>
            <w:tcW w:type="dxa" w:w="17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8.67 min</w:t>
            </w:r>
          </w:p>
        </w:tc>
        <w:tc>
          <w:tcPr>
            <w:tcW w:type="dxa" w:w="14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9.13%</w:t>
            </w:r>
          </w:p>
        </w:tc>
        <w:tc>
          <w:tcPr>
            <w:tcW w:type="dxa" w:w="17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4.12%</w:t>
            </w:r>
          </w:p>
        </w:tc>
        <w:tc>
          <w:tcPr>
            <w:tcW w:type="dxa" w:w="168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0.62</w:t>
            </w:r>
          </w:p>
        </w:tc>
      </w:tr>
      <w:tr>
        <w:trPr>
          <w:cantSplit/>
        </w:trPr>
        <w:tc>
          <w:tcPr>
            <w:tcW w:type="dxa" w:w="19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EGE</w:t>
            </w:r>
          </w:p>
        </w:tc>
        <w:tc>
          <w:tcPr>
            <w:tcW w:type="dxa" w:w="12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1,325</w:t>
            </w:r>
          </w:p>
        </w:tc>
        <w:tc>
          <w:tcPr>
            <w:tcW w:type="dxa" w:w="1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12.12 min</w:t>
            </w:r>
          </w:p>
        </w:tc>
        <w:tc>
          <w:tcPr>
            <w:tcW w:type="dxa" w:w="14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8.45%</w:t>
            </w:r>
          </w:p>
        </w:tc>
        <w:tc>
          <w:tcPr>
            <w:tcW w:type="dxa" w:w="1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5.66%</w:t>
            </w:r>
          </w:p>
        </w:tc>
        <w:tc>
          <w:tcPr>
            <w:tcW w:type="dxa" w:w="168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0.62</w:t>
            </w:r>
          </w:p>
        </w:tc>
      </w:tr>
      <w:tr>
        <w:trPr>
          <w:cantSplit/>
        </w:trPr>
        <w:tc>
          <w:tcPr>
            <w:tcW w:type="dxa" w:w="19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EYW</w:t>
            </w:r>
          </w:p>
        </w:tc>
        <w:tc>
          <w:tcPr>
            <w:tcW w:type="dxa" w:w="12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3,493</w:t>
            </w:r>
          </w:p>
        </w:tc>
        <w:tc>
          <w:tcPr>
            <w:tcW w:type="dxa" w:w="17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10.96 min</w:t>
            </w:r>
          </w:p>
        </w:tc>
        <w:tc>
          <w:tcPr>
            <w:tcW w:type="dxa" w:w="14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7.19%</w:t>
            </w:r>
          </w:p>
        </w:tc>
        <w:tc>
          <w:tcPr>
            <w:tcW w:type="dxa" w:w="17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4.09%</w:t>
            </w:r>
          </w:p>
        </w:tc>
        <w:tc>
          <w:tcPr>
            <w:tcW w:type="dxa" w:w="168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0.60</w:t>
            </w:r>
          </w:p>
        </w:tc>
      </w:tr>
      <w:tr>
        <w:trPr>
          <w:cantSplit/>
        </w:trPr>
        <w:tc>
          <w:tcPr>
            <w:tcW w:type="dxa" w:w="19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8"/>
                <w:szCs w:val="18"/>
              </w:rPr>
              <w:t xml:space="preserve">MCO</w:t>
            </w:r>
          </w:p>
        </w:tc>
        <w:tc>
          <w:tcPr>
            <w:tcW w:type="dxa" w:w="12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8"/>
                <w:szCs w:val="18"/>
              </w:rPr>
              <w:t xml:space="preserve">63,883</w:t>
            </w:r>
          </w:p>
        </w:tc>
        <w:tc>
          <w:tcPr>
            <w:tcW w:type="dxa" w:w="1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8"/>
                <w:szCs w:val="18"/>
              </w:rPr>
              <w:t xml:space="preserve">9.88 min</w:t>
            </w:r>
          </w:p>
        </w:tc>
        <w:tc>
          <w:tcPr>
            <w:tcW w:type="dxa" w:w="14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8"/>
                <w:szCs w:val="18"/>
              </w:rPr>
              <w:t xml:space="preserve">8.51%</w:t>
            </w:r>
          </w:p>
        </w:tc>
        <w:tc>
          <w:tcPr>
            <w:tcW w:type="dxa" w:w="1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8"/>
                <w:szCs w:val="18"/>
              </w:rPr>
              <w:t xml:space="preserve">2.91%</w:t>
            </w:r>
          </w:p>
        </w:tc>
        <w:tc>
          <w:tcPr>
            <w:tcW w:type="dxa" w:w="168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8"/>
                <w:szCs w:val="18"/>
              </w:rPr>
              <w:t xml:space="preserve">0.59</w:t>
            </w:r>
          </w:p>
        </w:tc>
      </w:tr>
    </w:tbl>
    <w:p>
      <w:pPr>
        <w:spacing w:after="100"/>
      </w:pPr>
    </w:p>
    <w:p>
      <w:pPr>
        <w:spacing w:after="120" w:before="0" w:line="276"/>
      </w:pPr>
      <w:r>
        <w:rPr>
          <w:rFonts w:ascii="Calibri" w:cs="Calibri" w:eastAsia="Calibri" w:hAnsi="Calibri"/>
          <w:sz w:val="21"/>
          <w:szCs w:val="21"/>
        </w:rPr>
        <w:t xml:space="preserve">ASE is the clear outlier: a 22-minute average delay and nearly 10% of flights cancelled or diverted. Its low volume means the response can be targeted rather than network-wide. EWR and MCO appear on both the large-airport list and the risk list, which makes them the strongest candidates for a bottleneck review.</w:t>
      </w:r>
    </w:p>
    <w:p>
      <w:pPr>
        <w:pStyle w:val="Heading2"/>
        <w:keepNext/>
      </w:pPr>
      <w:r>
        <w:rPr>
          <w:rFonts w:ascii="Calibri" w:cs="Calibri" w:eastAsia="Calibri" w:hAnsi="Calibri"/>
        </w:rPr>
        <w:t xml:space="preserve">5.3  Routes</w:t>
      </w:r>
    </w:p>
    <w:p>
      <w:pPr>
        <w:spacing w:after="120" w:before="0" w:line="276"/>
      </w:pPr>
      <w:r>
        <w:rPr>
          <w:rFonts w:ascii="Calibri" w:cs="Calibri" w:eastAsia="Calibri" w:hAnsi="Calibri"/>
          <w:sz w:val="21"/>
          <w:szCs w:val="21"/>
        </w:rPr>
        <w:t xml:space="preserve">Route results were also volume-adjusted. Ranking all routes with 100 or more flights surfaces thin samples such as RNO→JFK (47.4-minute average delay on 101 flights) and ABQ→JFK (40.1 minutes on 116 flights); these are useful watch items but too small to act on alone. Restricting to the 2,018 routes with at least 500 flights gives a firmer priority list.</w:t>
      </w:r>
    </w:p>
    <w:p>
      <w:pPr>
        <w:keepNext/>
        <w:spacing w:after="40" w:before="120"/>
        <w:jc w:val="center"/>
      </w:pPr>
      <w:r>
        <w:drawing>
          <wp:inline distT="0" distB="0" distL="0" distR="0">
            <wp:extent cx="5334000" cy="3114675"/>
            <wp:effectExtent t="0" r="0" b="0" l="0"/>
            <wp:docPr id="1" name="c6_routes.png" descr="Top 10 routes by Route Risk Score among routes with at least 500 flights" title="Top 10 routes by Route Risk Score among routes with at least 500 fl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14675"/>
                    </a:xfrm>
                    <a:prstGeom prst="rect">
                      <a:avLst/>
                    </a:prstGeom>
                  </pic:spPr>
                </pic:pic>
              </a:graphicData>
            </a:graphic>
          </wp:inline>
        </w:drawing>
      </w:r>
    </w:p>
    <w:p>
      <w:pPr>
        <w:spacing w:after="180"/>
        <w:jc w:val="center"/>
      </w:pPr>
      <w:r>
        <w:rPr>
          <w:rFonts w:ascii="Calibri" w:cs="Calibri" w:eastAsia="Calibri" w:hAnsi="Calibri"/>
          <w:i/>
          <w:iCs/>
          <w:color w:val="5B6577"/>
          <w:sz w:val="18"/>
          <w:szCs w:val="18"/>
        </w:rPr>
        <w:t xml:space="preserve">Figure 4. Top 10 routes by Route Risk Score among routes with at least 500 flights</w:t>
      </w:r>
    </w:p>
    <w:p>
      <w:pPr>
        <w:spacing w:after="120" w:before="0" w:line="276"/>
      </w:pPr>
      <w:r>
        <w:rPr>
          <w:rFonts w:ascii="Calibri" w:cs="Calibri" w:eastAsia="Calibri" w:hAnsi="Calibri"/>
          <w:sz w:val="21"/>
          <w:szCs w:val="21"/>
        </w:rPr>
        <w:t xml:space="preserve">Three patterns stand out. </w:t>
      </w:r>
      <w:r>
        <w:rPr>
          <w:rFonts w:ascii="Calibri" w:cs="Calibri" w:eastAsia="Calibri" w:hAnsi="Calibri"/>
          <w:b/>
          <w:bCs/>
          <w:sz w:val="21"/>
          <w:szCs w:val="21"/>
        </w:rPr>
        <w:t xml:space="preserve">Aspen</w:t>
      </w:r>
      <w:r>
        <w:rPr>
          <w:rFonts w:ascii="Calibri" w:cs="Calibri" w:eastAsia="Calibri" w:hAnsi="Calibri"/>
          <w:sz w:val="21"/>
          <w:szCs w:val="21"/>
        </w:rPr>
        <w:t xml:space="preserve"> (DEN↔ASE) combines delays with disruption: 21.2 minutes average delay into ASE from Denver and about 9% cancelled or diverted. </w:t>
      </w:r>
      <w:r>
        <w:rPr>
          <w:rFonts w:ascii="Calibri" w:cs="Calibri" w:eastAsia="Calibri" w:hAnsi="Calibri"/>
          <w:b/>
          <w:bCs/>
          <w:sz w:val="21"/>
          <w:szCs w:val="21"/>
        </w:rPr>
        <w:t xml:space="preserve">New York-area airports</w:t>
      </w:r>
      <w:r>
        <w:rPr>
          <w:rFonts w:ascii="Calibri" w:cs="Calibri" w:eastAsia="Calibri" w:hAnsi="Calibri"/>
          <w:sz w:val="21"/>
          <w:szCs w:val="21"/>
        </w:rPr>
        <w:t xml:space="preserve"> (EWR, JFK) appear on the Florida and Caribbean corridors, such as MCO→EWR (18.2 min, 12.4% severe) and MCO→JFK (18.6 min, 13.4% severe). </w:t>
      </w:r>
      <w:r>
        <w:rPr>
          <w:rFonts w:ascii="Calibri" w:cs="Calibri" w:eastAsia="Calibri" w:hAnsi="Calibri"/>
          <w:b/>
          <w:bCs/>
          <w:sz w:val="21"/>
          <w:szCs w:val="21"/>
        </w:rPr>
        <w:t xml:space="preserve">San Juan</w:t>
      </w:r>
      <w:r>
        <w:rPr>
          <w:rFonts w:ascii="Calibri" w:cs="Calibri" w:eastAsia="Calibri" w:hAnsi="Calibri"/>
          <w:sz w:val="21"/>
          <w:szCs w:val="21"/>
        </w:rPr>
        <w:t xml:space="preserve"> routes (EWR↔SJU, BOS→SJU) have delayed-flight rates of 47–48%, the highest in the top ten. The Tableau route risk score (Dashboard 3) surfaces largely the same routes.</w:t>
      </w:r>
    </w:p>
    <w:p>
      <w:pPr>
        <w:pStyle w:val="Heading1"/>
        <w:pageBreakBefore/>
      </w:pPr>
      <w:r>
        <w:rPr>
          <w:rFonts w:ascii="Calibri" w:cs="Calibri" w:eastAsia="Calibri" w:hAnsi="Calibri"/>
        </w:rPr>
        <w:t xml:space="preserve">6  Root-Cause Findings</w:t>
      </w:r>
    </w:p>
    <w:p>
      <w:pPr>
        <w:spacing w:after="120" w:before="0" w:line="276"/>
      </w:pPr>
      <w:r>
        <w:rPr>
          <w:rFonts w:ascii="Calibri" w:cs="Calibri" w:eastAsia="Calibri" w:hAnsi="Calibri"/>
          <w:sz w:val="21"/>
          <w:szCs w:val="21"/>
        </w:rPr>
        <w:t xml:space="preserve">Delay causes are recorded in five categories. The shares below describe </w:t>
      </w:r>
      <w:r>
        <w:rPr>
          <w:rFonts w:ascii="Calibri" w:cs="Calibri" w:eastAsia="Calibri" w:hAnsi="Calibri"/>
          <w:b/>
          <w:bCs/>
          <w:sz w:val="21"/>
          <w:szCs w:val="21"/>
        </w:rPr>
        <w:t xml:space="preserve">recorded delay minutes</w:t>
      </w:r>
      <w:r>
        <w:rPr>
          <w:rFonts w:ascii="Calibri" w:cs="Calibri" w:eastAsia="Calibri" w:hAnsi="Calibri"/>
          <w:sz w:val="21"/>
          <w:szCs w:val="21"/>
        </w:rPr>
        <w:t xml:space="preserve">, not the share of flights, and the cause fields are populated for 533,863 flights (about 18% of flights with an arrival time), consistent with delayed flights.</w:t>
      </w:r>
    </w:p>
    <w:p>
      <w:pPr>
        <w:keepNext/>
        <w:spacing w:after="40" w:before="120"/>
        <w:jc w:val="center"/>
      </w:pPr>
      <w:r>
        <w:drawing>
          <wp:inline distT="0" distB="0" distL="0" distR="0">
            <wp:extent cx="5334000" cy="2447925"/>
            <wp:effectExtent t="0" r="0" b="0" l="0"/>
            <wp:docPr id="1" name="c4_causes.png" descr="Share of cause-attributed delay minutes (36.05 million minutes in total)" title="Share of cause-attributed delay minutes (36.05 million minutes in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47925"/>
                    </a:xfrm>
                    <a:prstGeom prst="rect">
                      <a:avLst/>
                    </a:prstGeom>
                  </pic:spPr>
                </pic:pic>
              </a:graphicData>
            </a:graphic>
          </wp:inline>
        </w:drawing>
      </w:r>
    </w:p>
    <w:p>
      <w:pPr>
        <w:spacing w:after="180"/>
        <w:jc w:val="center"/>
      </w:pPr>
      <w:r>
        <w:rPr>
          <w:rFonts w:ascii="Calibri" w:cs="Calibri" w:eastAsia="Calibri" w:hAnsi="Calibri"/>
          <w:i/>
          <w:iCs/>
          <w:color w:val="5B6577"/>
          <w:sz w:val="18"/>
          <w:szCs w:val="18"/>
        </w:rPr>
        <w:t xml:space="preserve">Figure 5. Share of cause-attributed delay minutes (36.05 million minutes in total)</w:t>
      </w:r>
    </w:p>
    <w:p>
      <w:pPr>
        <w:spacing w:after="120" w:before="0" w:line="276"/>
      </w:pPr>
      <w:r>
        <w:rPr>
          <w:rFonts w:ascii="Calibri" w:cs="Calibri" w:eastAsia="Calibri" w:hAnsi="Calibri"/>
          <w:b/>
          <w:bCs/>
          <w:sz w:val="21"/>
          <w:szCs w:val="21"/>
        </w:rPr>
        <w:t xml:space="preserve">Late aircraft (37.7%) and carrier (36.7%) together explain 74.4% of delay minutes.</w:t>
      </w:r>
      <w:r>
        <w:rPr>
          <w:rFonts w:ascii="Calibri" w:cs="Calibri" w:eastAsia="Calibri" w:hAnsi="Calibri"/>
          <w:sz w:val="21"/>
          <w:szCs w:val="21"/>
        </w:rPr>
        <w:t xml:space="preserve"> Late-aircraft delay means a flight left late because the aircraft arrived late from its previous flight, so a delay at one point travels through the day. NAS delay adds 19.5%, weather 5.9% and security only 0.2%. Weather is therefore a minor driver of delay minutes (though it is the largest recorded reason for cancellations).</w:t>
      </w:r>
    </w:p>
    <w:p>
      <w:pPr>
        <w:pStyle w:val="Heading2"/>
        <w:keepNext/>
      </w:pPr>
      <w:r>
        <w:rPr>
          <w:rFonts w:ascii="Calibri" w:cs="Calibri" w:eastAsia="Calibri" w:hAnsi="Calibri"/>
        </w:rPr>
        <w:t xml:space="preserve">Delay profile differs by airline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Dominant cause</w:t>
            </w:r>
          </w:p>
        </w:tc>
        <w:tc>
          <w:tcPr>
            <w:tcW w:type="dxa" w:w="6638"/>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Airlines (share of the airline's delay minutes)</w:t>
            </w:r>
          </w:p>
        </w:tc>
      </w:tr>
      <w:tr>
        <w:trPr>
          <w:cantSplit/>
        </w:trPr>
        <w:tc>
          <w:tcPr>
            <w:tcW w:type="dxa" w:w="30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Late aircraft (12 airlines)</w:t>
            </w:r>
          </w:p>
        </w:tc>
        <w:tc>
          <w:tcPr>
            <w:tcW w:type="dxa" w:w="66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Southwest 48.2%, PSA 47.1%, Frontier 44.9%, Allegiant 42.4%, American 41.5%, United 40.6%, Horizon, Mesa, Envoy, Endeavor, Alaska, Republic</w:t>
            </w:r>
          </w:p>
        </w:tc>
      </w:tr>
      <w:tr>
        <w:trPr>
          <w:cantSplit/>
        </w:trPr>
        <w:tc>
          <w:tcPr>
            <w:tcW w:type="dxa" w:w="30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Carrier (4 airlines)</w:t>
            </w:r>
          </w:p>
        </w:tc>
        <w:tc>
          <w:tcPr>
            <w:tcW w:type="dxa" w:w="663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Hawaiian 56.3%, SkyWest 51.6%, Delta 46.1%, JetBlue 40.4%</w:t>
            </w:r>
          </w:p>
        </w:tc>
      </w:tr>
      <w:tr>
        <w:trPr>
          <w:cantSplit/>
        </w:trPr>
        <w:tc>
          <w:tcPr>
            <w:tcW w:type="dxa" w:w="30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NAS / air-traffic system (2 airlines)</w:t>
            </w:r>
          </w:p>
        </w:tc>
        <w:tc>
          <w:tcPr>
            <w:tcW w:type="dxa" w:w="66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Spirit 38.1%, ExpressJet 36.9%</w:t>
            </w:r>
          </w:p>
        </w:tc>
      </w:tr>
    </w:tbl>
    <w:p>
      <w:pPr>
        <w:spacing w:after="140"/>
      </w:pPr>
    </w:p>
    <w:p>
      <w:pPr>
        <w:spacing w:after="120" w:before="0" w:line="276"/>
      </w:pPr>
      <w:r>
        <w:rPr>
          <w:rFonts w:ascii="Calibri" w:cs="Calibri" w:eastAsia="Calibri" w:hAnsi="Calibri"/>
          <w:sz w:val="21"/>
          <w:szCs w:val="21"/>
        </w:rPr>
        <w:t xml:space="preserve">Weather weighs most for the regional carriers SkyWest (12.4%), Envoy (11.5%) and Mesa (9.1%). Airports differ too: carrier delay is the largest share at ATL (46.2%), JFK (44.4%), LAX (42.0%) and DEN (41.0%); late aircraft dominates at BUR (49.3%), CLT (42.1%) and DFW (41.7%); and NAS delay is unusually high at CVG (28.4%). By season, the late-aircraft share is highest in summer (39.5%) and the weather share is highest in winter (6.9%).</w:t>
      </w:r>
    </w:p>
    <w:p>
      <w:pPr>
        <w:pBdr>
          <w:left w:val="single" w:color="1B7F8C" w:sz="24" w:space="8"/>
        </w:pBdr>
        <w:shd w:fill="EAF3F5" w:val="clear"/>
        <w:spacing w:after="160" w:before="100" w:line="276"/>
        <w:ind w:left="200" w:right="120"/>
      </w:pPr>
      <w:r>
        <w:rPr>
          <w:rFonts w:ascii="Calibri" w:cs="Calibri" w:eastAsia="Calibri" w:hAnsi="Calibri"/>
          <w:b/>
          <w:bCs/>
          <w:color w:val="1B3A44"/>
          <w:sz w:val="21"/>
          <w:szCs w:val="21"/>
        </w:rPr>
        <w:t xml:space="preserve">Management reading:</w:t>
      </w:r>
      <w:r>
        <w:rPr>
          <w:rFonts w:ascii="Calibri" w:cs="Calibri" w:eastAsia="Calibri" w:hAnsi="Calibri"/>
          <w:color w:val="1B3A44"/>
          <w:sz w:val="21"/>
          <w:szCs w:val="21"/>
        </w:rPr>
        <w:t xml:space="preserve"> most delay minutes sit in causes that an airline can influence through scheduling, turnaround and aircraft rotation. Because late-aircraft delay is partly a knock-on effect of earlier carrier, NAS or weather problems, fixing early-day punctuality and adding recovery buffers should reduce both categories.</w:t>
      </w:r>
    </w:p>
    <w:p>
      <w:pPr>
        <w:pStyle w:val="Heading1"/>
        <w:pageBreakBefore/>
      </w:pPr>
      <w:r>
        <w:rPr>
          <w:rFonts w:ascii="Calibri" w:cs="Calibri" w:eastAsia="Calibri" w:hAnsi="Calibri"/>
        </w:rPr>
        <w:t xml:space="preserve">7  Time and Seasonality</w:t>
      </w:r>
    </w:p>
    <w:p>
      <w:pPr>
        <w:pStyle w:val="Heading2"/>
        <w:keepNext/>
      </w:pPr>
      <w:r>
        <w:rPr>
          <w:rFonts w:ascii="Calibri" w:cs="Calibri" w:eastAsia="Calibri" w:hAnsi="Calibri"/>
        </w:rPr>
        <w:t xml:space="preserve">7.1  Year over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500"/>
        <w:gridCol w:w="1400"/>
        <w:gridCol w:w="1250"/>
        <w:gridCol w:w="1300"/>
        <w:gridCol w:w="1238"/>
      </w:tblGrid>
      <w:tr>
        <w:trPr>
          <w:cantSplit/>
          <w:tblHeader/>
        </w:trPr>
        <w:tc>
          <w:tcPr>
            <w:tcW w:type="dxa" w:w="17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8"/>
                <w:szCs w:val="18"/>
              </w:rPr>
              <w:t xml:space="preserve">Year</w:t>
            </w:r>
          </w:p>
        </w:tc>
        <w:tc>
          <w:tcPr>
            <w:tcW w:type="dxa" w:w="125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8"/>
                <w:szCs w:val="18"/>
              </w:rPr>
              <w:t xml:space="preserve">Flights</w:t>
            </w:r>
          </w:p>
        </w:tc>
        <w:tc>
          <w:tcPr>
            <w:tcW w:type="dxa" w:w="15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8"/>
                <w:szCs w:val="18"/>
              </w:rPr>
              <w:t xml:space="preserve">Avg departure delay</w:t>
            </w:r>
          </w:p>
        </w:tc>
        <w:tc>
          <w:tcPr>
            <w:tcW w:type="dxa" w:w="14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8"/>
                <w:szCs w:val="18"/>
              </w:rPr>
              <w:t xml:space="preserve">Avg arrival delay</w:t>
            </w:r>
          </w:p>
        </w:tc>
        <w:tc>
          <w:tcPr>
            <w:tcW w:type="dxa" w:w="125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8"/>
                <w:szCs w:val="18"/>
              </w:rPr>
              <w:t xml:space="preserve">Delayed rate</w:t>
            </w:r>
          </w:p>
        </w:tc>
        <w:tc>
          <w:tcPr>
            <w:tcW w:type="dxa" w:w="13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8"/>
                <w:szCs w:val="18"/>
              </w:rPr>
              <w:t xml:space="preserve">Cancellation</w:t>
            </w:r>
          </w:p>
        </w:tc>
        <w:tc>
          <w:tcPr>
            <w:tcW w:type="dxa" w:w="1238"/>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8"/>
                <w:szCs w:val="18"/>
              </w:rPr>
              <w:t xml:space="preserve">Diversion</w:t>
            </w:r>
          </w:p>
        </w:tc>
      </w:tr>
      <w:tr>
        <w:trPr>
          <w:cantSplit/>
        </w:trPr>
        <w:tc>
          <w:tcPr>
            <w:tcW w:type="dxa" w:w="1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2019</w:t>
            </w:r>
          </w:p>
        </w:tc>
        <w:tc>
          <w:tcPr>
            <w:tcW w:type="dxa" w:w="12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757,673</w:t>
            </w:r>
          </w:p>
        </w:tc>
        <w:tc>
          <w:tcPr>
            <w:tcW w:type="dxa" w:w="15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10.81</w:t>
            </w:r>
          </w:p>
        </w:tc>
        <w:tc>
          <w:tcPr>
            <w:tcW w:type="dxa" w:w="14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5.31</w:t>
            </w:r>
          </w:p>
        </w:tc>
        <w:tc>
          <w:tcPr>
            <w:tcW w:type="dxa" w:w="12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33.67%</w:t>
            </w:r>
          </w:p>
        </w:tc>
        <w:tc>
          <w:tcPr>
            <w:tcW w:type="dxa" w:w="1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1.79%</w:t>
            </w:r>
          </w:p>
        </w:tc>
        <w:tc>
          <w:tcPr>
            <w:tcW w:type="dxa" w:w="12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0.26%</w:t>
            </w:r>
          </w:p>
        </w:tc>
      </w:tr>
      <w:tr>
        <w:trPr>
          <w:cantSplit/>
        </w:trPr>
        <w:tc>
          <w:tcPr>
            <w:tcW w:type="dxa" w:w="17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2020</w:t>
            </w:r>
          </w:p>
        </w:tc>
        <w:tc>
          <w:tcPr>
            <w:tcW w:type="dxa" w:w="12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479,350</w:t>
            </w:r>
          </w:p>
        </w:tc>
        <w:tc>
          <w:tcPr>
            <w:tcW w:type="dxa" w:w="15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2.03</w:t>
            </w:r>
          </w:p>
        </w:tc>
        <w:tc>
          <w:tcPr>
            <w:tcW w:type="dxa" w:w="14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−5.01</w:t>
            </w:r>
          </w:p>
        </w:tc>
        <w:tc>
          <w:tcPr>
            <w:tcW w:type="dxa" w:w="12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20.47%</w:t>
            </w:r>
          </w:p>
        </w:tc>
        <w:tc>
          <w:tcPr>
            <w:tcW w:type="dxa" w:w="13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6.00%</w:t>
            </w:r>
          </w:p>
        </w:tc>
        <w:tc>
          <w:tcPr>
            <w:tcW w:type="dxa" w:w="123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0.16%</w:t>
            </w:r>
          </w:p>
        </w:tc>
      </w:tr>
      <w:tr>
        <w:trPr>
          <w:cantSplit/>
        </w:trPr>
        <w:tc>
          <w:tcPr>
            <w:tcW w:type="dxa" w:w="1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2021</w:t>
            </w:r>
          </w:p>
        </w:tc>
        <w:tc>
          <w:tcPr>
            <w:tcW w:type="dxa" w:w="12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611,633</w:t>
            </w:r>
          </w:p>
        </w:tc>
        <w:tc>
          <w:tcPr>
            <w:tcW w:type="dxa" w:w="15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9.39</w:t>
            </w:r>
          </w:p>
        </w:tc>
        <w:tc>
          <w:tcPr>
            <w:tcW w:type="dxa" w:w="14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3.10</w:t>
            </w:r>
          </w:p>
        </w:tc>
        <w:tc>
          <w:tcPr>
            <w:tcW w:type="dxa" w:w="12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32.03%</w:t>
            </w:r>
          </w:p>
        </w:tc>
        <w:tc>
          <w:tcPr>
            <w:tcW w:type="dxa" w:w="1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1.72%</w:t>
            </w:r>
          </w:p>
        </w:tc>
        <w:tc>
          <w:tcPr>
            <w:tcW w:type="dxa" w:w="12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0.23%</w:t>
            </w:r>
          </w:p>
        </w:tc>
      </w:tr>
      <w:tr>
        <w:trPr>
          <w:cantSplit/>
        </w:trPr>
        <w:tc>
          <w:tcPr>
            <w:tcW w:type="dxa" w:w="17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2022</w:t>
            </w:r>
          </w:p>
        </w:tc>
        <w:tc>
          <w:tcPr>
            <w:tcW w:type="dxa" w:w="12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687,860</w:t>
            </w:r>
          </w:p>
        </w:tc>
        <w:tc>
          <w:tcPr>
            <w:tcW w:type="dxa" w:w="15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12.50</w:t>
            </w:r>
          </w:p>
        </w:tc>
        <w:tc>
          <w:tcPr>
            <w:tcW w:type="dxa" w:w="14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6.91</w:t>
            </w:r>
          </w:p>
        </w:tc>
        <w:tc>
          <w:tcPr>
            <w:tcW w:type="dxa" w:w="12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36.24%</w:t>
            </w:r>
          </w:p>
        </w:tc>
        <w:tc>
          <w:tcPr>
            <w:tcW w:type="dxa" w:w="13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2.68%</w:t>
            </w:r>
          </w:p>
        </w:tc>
        <w:tc>
          <w:tcPr>
            <w:tcW w:type="dxa" w:w="123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0.24%</w:t>
            </w:r>
          </w:p>
        </w:tc>
      </w:tr>
      <w:tr>
        <w:trPr>
          <w:cantSplit/>
        </w:trPr>
        <w:tc>
          <w:tcPr>
            <w:tcW w:type="dxa" w:w="1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8"/>
                <w:szCs w:val="18"/>
              </w:rPr>
              <w:t xml:space="preserve">2023 (Jan–Aug)</w:t>
            </w:r>
          </w:p>
        </w:tc>
        <w:tc>
          <w:tcPr>
            <w:tcW w:type="dxa" w:w="12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8"/>
                <w:szCs w:val="18"/>
              </w:rPr>
              <w:t xml:space="preserve">463,484</w:t>
            </w:r>
          </w:p>
        </w:tc>
        <w:tc>
          <w:tcPr>
            <w:tcW w:type="dxa" w:w="15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8"/>
                <w:szCs w:val="18"/>
              </w:rPr>
              <w:t xml:space="preserve">14.47</w:t>
            </w:r>
          </w:p>
        </w:tc>
        <w:tc>
          <w:tcPr>
            <w:tcW w:type="dxa" w:w="14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8"/>
                <w:szCs w:val="18"/>
              </w:rPr>
              <w:t xml:space="preserve">9.37</w:t>
            </w:r>
          </w:p>
        </w:tc>
        <w:tc>
          <w:tcPr>
            <w:tcW w:type="dxa" w:w="12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8"/>
                <w:szCs w:val="18"/>
              </w:rPr>
              <w:t xml:space="preserve">38.79%</w:t>
            </w:r>
          </w:p>
        </w:tc>
        <w:tc>
          <w:tcPr>
            <w:tcW w:type="dxa" w:w="1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8"/>
                <w:szCs w:val="18"/>
              </w:rPr>
              <w:t xml:space="preserve">1.68%</w:t>
            </w:r>
          </w:p>
        </w:tc>
        <w:tc>
          <w:tcPr>
            <w:tcW w:type="dxa" w:w="12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8"/>
                <w:szCs w:val="18"/>
              </w:rPr>
              <w:t xml:space="preserve">0.27%</w:t>
            </w:r>
          </w:p>
        </w:tc>
      </w:tr>
    </w:tbl>
    <w:p>
      <w:pPr>
        <w:spacing w:after="100"/>
      </w:pPr>
    </w:p>
    <w:p>
      <w:pPr>
        <w:spacing w:after="120" w:before="0" w:line="276"/>
      </w:pPr>
      <w:r>
        <w:rPr>
          <w:rFonts w:ascii="Calibri" w:cs="Calibri" w:eastAsia="Calibri" w:hAnsi="Calibri"/>
          <w:sz w:val="21"/>
          <w:szCs w:val="21"/>
        </w:rPr>
        <w:t xml:space="preserve">2020 is an outlier: traffic collapsed during the pandemic, skies were emptier and average arrival delay fell below zero, while cancellations hit 6.0%. Since 2021 delays have risen every year. The 2023 data stops in August, so for a fair comparison use January–August only: average arrival delay was 3.2 min in 2021, 7.7 min in 2022 and </w:t>
      </w:r>
      <w:r>
        <w:rPr>
          <w:rFonts w:ascii="Calibri" w:cs="Calibri" w:eastAsia="Calibri" w:hAnsi="Calibri"/>
          <w:b/>
          <w:bCs/>
          <w:sz w:val="21"/>
          <w:szCs w:val="21"/>
        </w:rPr>
        <w:t xml:space="preserve">9.4 min in 2023</w:t>
      </w:r>
      <w:r>
        <w:rPr>
          <w:rFonts w:ascii="Calibri" w:cs="Calibri" w:eastAsia="Calibri" w:hAnsi="Calibri"/>
          <w:sz w:val="21"/>
          <w:szCs w:val="21"/>
        </w:rPr>
        <w:t xml:space="preserve">, still the worst of the period.</w:t>
      </w:r>
    </w:p>
    <w:p>
      <w:pPr>
        <w:pStyle w:val="Heading2"/>
        <w:keepNext/>
      </w:pPr>
      <w:r>
        <w:rPr>
          <w:rFonts w:ascii="Calibri" w:cs="Calibri" w:eastAsia="Calibri" w:hAnsi="Calibri"/>
        </w:rPr>
        <w:t xml:space="preserve">7.2  Month and season</w:t>
      </w:r>
    </w:p>
    <w:p>
      <w:pPr>
        <w:keepNext/>
        <w:spacing w:after="40" w:before="120"/>
        <w:jc w:val="center"/>
      </w:pPr>
      <w:r>
        <w:drawing>
          <wp:inline distT="0" distB="0" distL="0" distR="0">
            <wp:extent cx="5334000" cy="3181350"/>
            <wp:effectExtent t="0" r="0" b="0" l="0"/>
            <wp:docPr id="1" name="c3_monthly.png" descr="Average arrival delay by month; the bold line is the all-years average" title="Average arrival delay by month; the bold line is the all-years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181350"/>
                    </a:xfrm>
                    <a:prstGeom prst="rect">
                      <a:avLst/>
                    </a:prstGeom>
                  </pic:spPr>
                </pic:pic>
              </a:graphicData>
            </a:graphic>
          </wp:inline>
        </w:drawing>
      </w:r>
    </w:p>
    <w:p>
      <w:pPr>
        <w:spacing w:after="180"/>
        <w:jc w:val="center"/>
      </w:pPr>
      <w:r>
        <w:rPr>
          <w:rFonts w:ascii="Calibri" w:cs="Calibri" w:eastAsia="Calibri" w:hAnsi="Calibri"/>
          <w:i/>
          <w:iCs/>
          <w:color w:val="5B6577"/>
          <w:sz w:val="18"/>
          <w:szCs w:val="18"/>
        </w:rPr>
        <w:t xml:space="preserve">Figure 6. Average arrival delay by month; the bold line is the all-years average</w:t>
      </w:r>
    </w:p>
    <w:p>
      <w:pPr>
        <w:spacing w:after="120" w:before="0" w:line="276"/>
      </w:pPr>
      <w:r>
        <w:rPr>
          <w:rFonts w:ascii="Calibri" w:cs="Calibri" w:eastAsia="Calibri" w:hAnsi="Calibri"/>
          <w:b/>
          <w:bCs/>
          <w:sz w:val="21"/>
          <w:szCs w:val="21"/>
        </w:rPr>
        <w:t xml:space="preserve">June (10.1 min, 38.8% of flights delayed) and July (9.5 min, 37.1%) are the highest-risk months</w:t>
      </w:r>
      <w:r>
        <w:rPr>
          <w:rFonts w:ascii="Calibri" w:cs="Calibri" w:eastAsia="Calibri" w:hAnsi="Calibri"/>
          <w:sz w:val="21"/>
          <w:szCs w:val="21"/>
        </w:rPr>
        <w:t xml:space="preserve">, and June ranks first or second in 2019, 2021, 2022 and 2023. December follows (6.7 min), driven by December 2022 at 13.5 minutes, the worst December in the data. September (−0.5 min) and November (0.2 min) are the calmest months. Cancellations peak in April (6.85%) and March (5.03%) only because of 2020: April 2020 saw 41.6% of flights cancelled, and April without 2020 is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500"/>
        <w:gridCol w:w="1400"/>
        <w:gridCol w:w="1250"/>
        <w:gridCol w:w="1300"/>
        <w:gridCol w:w="1238"/>
      </w:tblGrid>
      <w:tr>
        <w:trPr>
          <w:cantSplit/>
          <w:tblHeader/>
        </w:trPr>
        <w:tc>
          <w:tcPr>
            <w:tcW w:type="dxa" w:w="17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8"/>
                <w:szCs w:val="18"/>
              </w:rPr>
              <w:t xml:space="preserve">Season</w:t>
            </w:r>
          </w:p>
        </w:tc>
        <w:tc>
          <w:tcPr>
            <w:tcW w:type="dxa" w:w="125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8"/>
                <w:szCs w:val="18"/>
              </w:rPr>
              <w:t xml:space="preserve">Flights</w:t>
            </w:r>
          </w:p>
        </w:tc>
        <w:tc>
          <w:tcPr>
            <w:tcW w:type="dxa" w:w="15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8"/>
                <w:szCs w:val="18"/>
              </w:rPr>
              <w:t xml:space="preserve">Avg departure delay</w:t>
            </w:r>
          </w:p>
        </w:tc>
        <w:tc>
          <w:tcPr>
            <w:tcW w:type="dxa" w:w="14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8"/>
                <w:szCs w:val="18"/>
              </w:rPr>
              <w:t xml:space="preserve">Avg arrival delay</w:t>
            </w:r>
          </w:p>
        </w:tc>
        <w:tc>
          <w:tcPr>
            <w:tcW w:type="dxa" w:w="125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8"/>
                <w:szCs w:val="18"/>
              </w:rPr>
              <w:t xml:space="preserve">Delayed rate</w:t>
            </w:r>
          </w:p>
        </w:tc>
        <w:tc>
          <w:tcPr>
            <w:tcW w:type="dxa" w:w="13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8"/>
                <w:szCs w:val="18"/>
              </w:rPr>
              <w:t xml:space="preserve">Cancellation</w:t>
            </w:r>
          </w:p>
        </w:tc>
        <w:tc>
          <w:tcPr>
            <w:tcW w:type="dxa" w:w="1238"/>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8"/>
                <w:szCs w:val="18"/>
              </w:rPr>
              <w:t xml:space="preserve">Diversion</w:t>
            </w:r>
          </w:p>
        </w:tc>
      </w:tr>
      <w:tr>
        <w:trPr>
          <w:cantSplit/>
        </w:trPr>
        <w:tc>
          <w:tcPr>
            <w:tcW w:type="dxa" w:w="1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Winter</w:t>
            </w:r>
          </w:p>
        </w:tc>
        <w:tc>
          <w:tcPr>
            <w:tcW w:type="dxa" w:w="12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732,588</w:t>
            </w:r>
          </w:p>
        </w:tc>
        <w:tc>
          <w:tcPr>
            <w:tcW w:type="dxa" w:w="15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10.18</w:t>
            </w:r>
          </w:p>
        </w:tc>
        <w:tc>
          <w:tcPr>
            <w:tcW w:type="dxa" w:w="14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4.03</w:t>
            </w:r>
          </w:p>
        </w:tc>
        <w:tc>
          <w:tcPr>
            <w:tcW w:type="dxa" w:w="12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32.96%</w:t>
            </w:r>
          </w:p>
        </w:tc>
        <w:tc>
          <w:tcPr>
            <w:tcW w:type="dxa" w:w="1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2.72%</w:t>
            </w:r>
          </w:p>
        </w:tc>
        <w:tc>
          <w:tcPr>
            <w:tcW w:type="dxa" w:w="12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0.22%</w:t>
            </w:r>
          </w:p>
        </w:tc>
      </w:tr>
      <w:tr>
        <w:trPr>
          <w:cantSplit/>
        </w:trPr>
        <w:tc>
          <w:tcPr>
            <w:tcW w:type="dxa" w:w="17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Spring</w:t>
            </w:r>
          </w:p>
        </w:tc>
        <w:tc>
          <w:tcPr>
            <w:tcW w:type="dxa" w:w="12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799,546</w:t>
            </w:r>
          </w:p>
        </w:tc>
        <w:tc>
          <w:tcPr>
            <w:tcW w:type="dxa" w:w="15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9.08</w:t>
            </w:r>
          </w:p>
        </w:tc>
        <w:tc>
          <w:tcPr>
            <w:tcW w:type="dxa" w:w="14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3.01</w:t>
            </w:r>
          </w:p>
        </w:tc>
        <w:tc>
          <w:tcPr>
            <w:tcW w:type="dxa" w:w="12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30.91%</w:t>
            </w:r>
          </w:p>
        </w:tc>
        <w:tc>
          <w:tcPr>
            <w:tcW w:type="dxa" w:w="13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4.56%</w:t>
            </w:r>
          </w:p>
        </w:tc>
        <w:tc>
          <w:tcPr>
            <w:tcW w:type="dxa" w:w="123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0.22%</w:t>
            </w:r>
          </w:p>
        </w:tc>
      </w:tr>
      <w:tr>
        <w:trPr>
          <w:cantSplit/>
        </w:trPr>
        <w:tc>
          <w:tcPr>
            <w:tcW w:type="dxa" w:w="1700"/>
            <w:tcBorders>
              <w:top w:val="single" w:color="C9D2DE" w:sz="4"/>
              <w:left w:val="single" w:color="C9D2DE" w:sz="4"/>
              <w:bottom w:val="single" w:color="C9D2DE" w:sz="4"/>
              <w:right w:val="single" w:color="C9D2DE" w:sz="4"/>
            </w:tcBorders>
            <w:shd w:fill="FBE9D6"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Summer</w:t>
            </w:r>
          </w:p>
        </w:tc>
        <w:tc>
          <w:tcPr>
            <w:tcW w:type="dxa" w:w="1250"/>
            <w:tcBorders>
              <w:top w:val="single" w:color="C9D2DE" w:sz="4"/>
              <w:left w:val="single" w:color="C9D2DE" w:sz="4"/>
              <w:bottom w:val="single" w:color="C9D2DE" w:sz="4"/>
              <w:right w:val="single" w:color="C9D2DE" w:sz="4"/>
            </w:tcBorders>
            <w:shd w:fill="FBE9D6"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833,208</w:t>
            </w:r>
          </w:p>
        </w:tc>
        <w:tc>
          <w:tcPr>
            <w:tcW w:type="dxa" w:w="1500"/>
            <w:tcBorders>
              <w:top w:val="single" w:color="C9D2DE" w:sz="4"/>
              <w:left w:val="single" w:color="C9D2DE" w:sz="4"/>
              <w:bottom w:val="single" w:color="C9D2DE" w:sz="4"/>
              <w:right w:val="single" w:color="C9D2DE" w:sz="4"/>
            </w:tcBorders>
            <w:shd w:fill="FBE9D6"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13.81</w:t>
            </w:r>
          </w:p>
        </w:tc>
        <w:tc>
          <w:tcPr>
            <w:tcW w:type="dxa" w:w="1400"/>
            <w:tcBorders>
              <w:top w:val="single" w:color="C9D2DE" w:sz="4"/>
              <w:left w:val="single" w:color="C9D2DE" w:sz="4"/>
              <w:bottom w:val="single" w:color="C9D2DE" w:sz="4"/>
              <w:right w:val="single" w:color="C9D2DE" w:sz="4"/>
            </w:tcBorders>
            <w:shd w:fill="FBE9D6"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8.62</w:t>
            </w:r>
          </w:p>
        </w:tc>
        <w:tc>
          <w:tcPr>
            <w:tcW w:type="dxa" w:w="1250"/>
            <w:tcBorders>
              <w:top w:val="single" w:color="C9D2DE" w:sz="4"/>
              <w:left w:val="single" w:color="C9D2DE" w:sz="4"/>
              <w:bottom w:val="single" w:color="C9D2DE" w:sz="4"/>
              <w:right w:val="single" w:color="C9D2DE" w:sz="4"/>
            </w:tcBorders>
            <w:shd w:fill="FBE9D6"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36.63%</w:t>
            </w:r>
          </w:p>
        </w:tc>
        <w:tc>
          <w:tcPr>
            <w:tcW w:type="dxa" w:w="1300"/>
            <w:tcBorders>
              <w:top w:val="single" w:color="C9D2DE" w:sz="4"/>
              <w:left w:val="single" w:color="C9D2DE" w:sz="4"/>
              <w:bottom w:val="single" w:color="C9D2DE" w:sz="4"/>
              <w:right w:val="single" w:color="C9D2DE" w:sz="4"/>
            </w:tcBorders>
            <w:shd w:fill="FBE9D6"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1.93%</w:t>
            </w:r>
          </w:p>
        </w:tc>
        <w:tc>
          <w:tcPr>
            <w:tcW w:type="dxa" w:w="1238"/>
            <w:tcBorders>
              <w:top w:val="single" w:color="C9D2DE" w:sz="4"/>
              <w:left w:val="single" w:color="C9D2DE" w:sz="4"/>
              <w:bottom w:val="single" w:color="C9D2DE" w:sz="4"/>
              <w:right w:val="single" w:color="C9D2DE" w:sz="4"/>
            </w:tcBorders>
            <w:shd w:fill="FBE9D6"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8"/>
                <w:szCs w:val="18"/>
              </w:rPr>
              <w:t xml:space="preserve">0.32%</w:t>
            </w:r>
          </w:p>
        </w:tc>
      </w:tr>
      <w:tr>
        <w:trPr>
          <w:cantSplit/>
        </w:trPr>
        <w:tc>
          <w:tcPr>
            <w:tcW w:type="dxa" w:w="17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8"/>
                <w:szCs w:val="18"/>
              </w:rPr>
              <w:t xml:space="preserve">Fall</w:t>
            </w:r>
          </w:p>
        </w:tc>
        <w:tc>
          <w:tcPr>
            <w:tcW w:type="dxa" w:w="12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8"/>
                <w:szCs w:val="18"/>
              </w:rPr>
              <w:t xml:space="preserve">634,658</w:t>
            </w:r>
          </w:p>
        </w:tc>
        <w:tc>
          <w:tcPr>
            <w:tcW w:type="dxa" w:w="15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8"/>
                <w:szCs w:val="18"/>
              </w:rPr>
              <w:t xml:space="preserve">6.52</w:t>
            </w:r>
          </w:p>
        </w:tc>
        <w:tc>
          <w:tcPr>
            <w:tcW w:type="dxa" w:w="14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8"/>
                <w:szCs w:val="18"/>
              </w:rPr>
              <w:t xml:space="preserve">0.37</w:t>
            </w:r>
          </w:p>
        </w:tc>
        <w:tc>
          <w:tcPr>
            <w:tcW w:type="dxa" w:w="12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8"/>
                <w:szCs w:val="18"/>
              </w:rPr>
              <w:t xml:space="preserve">29.05%</w:t>
            </w:r>
          </w:p>
        </w:tc>
        <w:tc>
          <w:tcPr>
            <w:tcW w:type="dxa" w:w="13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8"/>
                <w:szCs w:val="18"/>
              </w:rPr>
              <w:t xml:space="preserve">1.05%</w:t>
            </w:r>
          </w:p>
        </w:tc>
        <w:tc>
          <w:tcPr>
            <w:tcW w:type="dxa" w:w="123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8"/>
                <w:szCs w:val="18"/>
              </w:rPr>
              <w:t xml:space="preserve">0.17%</w:t>
            </w:r>
          </w:p>
        </w:tc>
      </w:tr>
    </w:tbl>
    <w:p>
      <w:pPr>
        <w:spacing w:after="140"/>
      </w:pPr>
    </w:p>
    <w:p>
      <w:pPr>
        <w:pStyle w:val="Heading2"/>
        <w:keepNext/>
      </w:pPr>
      <w:r>
        <w:rPr>
          <w:rFonts w:ascii="Calibri" w:cs="Calibri" w:eastAsia="Calibri" w:hAnsi="Calibri"/>
        </w:rPr>
        <w:t xml:space="preserve">7.3  Day of week</w:t>
      </w:r>
    </w:p>
    <w:p>
      <w:pPr>
        <w:keepNext/>
        <w:spacing w:after="40" w:before="120"/>
        <w:jc w:val="center"/>
      </w:pPr>
      <w:r>
        <w:drawing>
          <wp:inline distT="0" distB="0" distL="0" distR="0">
            <wp:extent cx="4953000" cy="2266950"/>
            <wp:effectExtent t="0" r="0" b="0" l="0"/>
            <wp:docPr id="1" name="c7_weekday.png" descr="Average arrival delay by day of week" title="Average arrival delay by day of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266950"/>
                    </a:xfrm>
                    <a:prstGeom prst="rect">
                      <a:avLst/>
                    </a:prstGeom>
                  </pic:spPr>
                </pic:pic>
              </a:graphicData>
            </a:graphic>
          </wp:inline>
        </w:drawing>
      </w:r>
    </w:p>
    <w:p>
      <w:pPr>
        <w:spacing w:after="180"/>
        <w:jc w:val="center"/>
      </w:pPr>
      <w:r>
        <w:rPr>
          <w:rFonts w:ascii="Calibri" w:cs="Calibri" w:eastAsia="Calibri" w:hAnsi="Calibri"/>
          <w:i/>
          <w:iCs/>
          <w:color w:val="5B6577"/>
          <w:sz w:val="18"/>
          <w:szCs w:val="18"/>
        </w:rPr>
        <w:t xml:space="preserve">Figure 7. Average arrival delay by day of week</w:t>
      </w:r>
    </w:p>
    <w:p>
      <w:pPr>
        <w:spacing w:after="120" w:before="0" w:line="276"/>
      </w:pPr>
      <w:r>
        <w:rPr>
          <w:rFonts w:ascii="Calibri" w:cs="Calibri" w:eastAsia="Calibri" w:hAnsi="Calibri"/>
          <w:sz w:val="21"/>
          <w:szCs w:val="21"/>
        </w:rPr>
        <w:t xml:space="preserve">Friday is the worst weekday (5.95 min, 35.1% delayed), followed by Thursday (5.56) and Sunday (5.29). Tuesday is the best (1.69 min). Friday stays the worst weekday and Tuesday the best even if 2020 is excluded (7.7 vs 3.2 min), so this is not a pandemic artefact.</w:t>
      </w:r>
    </w:p>
    <w:p>
      <w:pPr>
        <w:pStyle w:val="Heading1"/>
        <w:pageBreakBefore/>
      </w:pPr>
      <w:r>
        <w:rPr>
          <w:rFonts w:ascii="Calibri" w:cs="Calibri" w:eastAsia="Calibri" w:hAnsi="Calibri"/>
        </w:rPr>
        <w:t xml:space="preserve">8  Tableau Dashboards</w:t>
      </w:r>
    </w:p>
    <w:p>
      <w:pPr>
        <w:keepNext/>
        <w:spacing w:after="120" w:before="0" w:line="276"/>
      </w:pPr>
      <w:r>
        <w:rPr>
          <w:rFonts w:ascii="Calibri" w:cs="Calibri" w:eastAsia="Calibri" w:hAnsi="Calibri"/>
          <w:sz w:val="21"/>
          <w:szCs w:val="21"/>
        </w:rPr>
        <w:t xml:space="preserve">The Tableau workbook contains 25 worksheets arranged into four dashboards that mirror the project requirements. All four use the same cleaned dataset and share common KPI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338"/>
      </w:tblGrid>
      <w:tr>
        <w:trPr>
          <w:cantSplit/>
          <w:tblHeader/>
        </w:trPr>
        <w:tc>
          <w:tcPr>
            <w:tcW w:type="dxa" w:w="24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8"/>
                <w:szCs w:val="18"/>
              </w:rPr>
              <w:t xml:space="preserve">Dashboard</w:t>
            </w:r>
          </w:p>
        </w:tc>
        <w:tc>
          <w:tcPr>
            <w:tcW w:type="dxa" w:w="29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8"/>
                <w:szCs w:val="18"/>
              </w:rPr>
              <w:t xml:space="preserve">Purpose</w:t>
            </w:r>
          </w:p>
        </w:tc>
        <w:tc>
          <w:tcPr>
            <w:tcW w:type="dxa" w:w="4338"/>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8"/>
                <w:szCs w:val="18"/>
              </w:rPr>
              <w:t xml:space="preserve">Main views</w:t>
            </w:r>
          </w:p>
        </w:tc>
      </w:tr>
      <w:tr>
        <w:trPr>
          <w:cantSplit/>
        </w:trPr>
        <w:tc>
          <w:tcPr>
            <w:tcW w:type="dxa" w:w="24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1  Executive Overview</w:t>
            </w:r>
          </w:p>
        </w:tc>
        <w:tc>
          <w:tcPr>
            <w:tcW w:type="dxa" w:w="29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One-page view of network health for executives</w:t>
            </w:r>
          </w:p>
        </w:tc>
        <w:tc>
          <w:tcPr>
            <w:tcW w:type="dxa" w:w="43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KPI cards (flights, airlines, average delay, cancellation, diversion), airline ranking, delay trend, flight-volume trend</w:t>
            </w:r>
          </w:p>
        </w:tc>
      </w:tr>
      <w:tr>
        <w:trPr>
          <w:cantSplit/>
        </w:trPr>
        <w:tc>
          <w:tcPr>
            <w:tcW w:type="dxa" w:w="24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2  Airline Performance</w:t>
            </w:r>
          </w:p>
        </w:tc>
        <w:tc>
          <w:tcPr>
            <w:tcW w:type="dxa" w:w="29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Benchmark airlines and find weak spots</w:t>
            </w:r>
          </w:p>
        </w:tc>
        <w:tc>
          <w:tcPr>
            <w:tcW w:type="dxa" w:w="433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Airline scorecard, benchmarking, frequency versus severity, cancellation and diversion, airline drill-down</w:t>
            </w:r>
          </w:p>
        </w:tc>
      </w:tr>
      <w:tr>
        <w:trPr>
          <w:cantSplit/>
        </w:trPr>
        <w:tc>
          <w:tcPr>
            <w:tcW w:type="dxa" w:w="24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3  Airport &amp; Route Intelligence</w:t>
            </w:r>
          </w:p>
        </w:tc>
        <w:tc>
          <w:tcPr>
            <w:tcW w:type="dxa" w:w="29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Locate delay hotspots geographically and by route</w:t>
            </w:r>
          </w:p>
        </w:tc>
        <w:tc>
          <w:tcPr>
            <w:tcW w:type="dxa" w:w="433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Airport performance, top delayed routes, high-risk routes, origin-destination comparison, route detail</w:t>
            </w:r>
          </w:p>
        </w:tc>
      </w:tr>
      <w:tr>
        <w:trPr>
          <w:cantSplit/>
        </w:trPr>
        <w:tc>
          <w:tcPr>
            <w:tcW w:type="dxa" w:w="24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8"/>
                <w:szCs w:val="18"/>
              </w:rPr>
              <w:t xml:space="preserve">4  Delay Causes &amp; Trends</w:t>
            </w:r>
          </w:p>
        </w:tc>
        <w:tc>
          <w:tcPr>
            <w:tcW w:type="dxa" w:w="29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8"/>
                <w:szCs w:val="18"/>
              </w:rPr>
              <w:t xml:space="preserve">Explain why and when delays occur</w:t>
            </w:r>
          </w:p>
        </w:tc>
        <w:tc>
          <w:tcPr>
            <w:tcW w:type="dxa" w:w="433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8"/>
                <w:szCs w:val="18"/>
              </w:rPr>
              <w:t xml:space="preserve">Cause contribution, cause by airline and airport, monthly and seasonal trends, operational hotspots</w:t>
            </w:r>
          </w:p>
        </w:tc>
      </w:tr>
    </w:tbl>
    <w:p>
      <w:pPr>
        <w:spacing w:after="140"/>
      </w:pPr>
    </w:p>
    <w:p>
      <w:pPr>
        <w:spacing w:after="120" w:before="0" w:line="276"/>
      </w:pPr>
      <w:r>
        <w:rPr>
          <w:rFonts w:ascii="Calibri" w:cs="Calibri" w:eastAsia="Calibri" w:hAnsi="Calibri"/>
          <w:sz w:val="21"/>
          <w:szCs w:val="21"/>
        </w:rPr>
        <w:t xml:space="preserve">Two points to be aware of before presenting the workbook. First, the Route Risk Score is scaled 0–100 with High Risk at 75 or above, but among routes with at least 100 flights only one route reaches even the Medium threshold of 50, so the category colouring is nearly uniform; lowering the thresholds or normalising scores would make the view more useful. Second, the Airline Performance Score in Tableau is compressed into a narrow band (about 90 to 99) because it scales delay by a fixed 60 minutes, which makes airlines look more alike than they are.</w:t>
      </w:r>
    </w:p>
    <w:p>
      <w:pPr>
        <w:pStyle w:val="Heading1"/>
        <w:pageBreakBefore/>
      </w:pPr>
      <w:r>
        <w:rPr>
          <w:rFonts w:ascii="Calibri" w:cs="Calibri" w:eastAsia="Calibri" w:hAnsi="Calibri"/>
        </w:rPr>
        <w:t xml:space="preserve">9  Recommendations</w:t>
      </w:r>
    </w:p>
    <w:p>
      <w:pPr>
        <w:keepNext/>
        <w:spacing w:after="120" w:before="0" w:line="276"/>
      </w:pPr>
      <w:r>
        <w:rPr>
          <w:rFonts w:ascii="Calibri" w:cs="Calibri" w:eastAsia="Calibri" w:hAnsi="Calibri"/>
          <w:sz w:val="21"/>
          <w:szCs w:val="21"/>
        </w:rPr>
        <w:t xml:space="preserve">The recommendations below are descriptive and diagnostic. They point to where operational review will pay off most, and they do not prove that a specific intervention will reduce delay.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3700"/>
        <w:gridCol w:w="3188"/>
        <w:gridCol w:w="2300"/>
      </w:tblGrid>
      <w:tr>
        <w:trPr>
          <w:cantSplit/>
          <w:tblHeader/>
        </w:trPr>
        <w:tc>
          <w:tcPr>
            <w:tcW w:type="dxa" w:w="45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center"/>
            </w:pPr>
            <w:r>
              <w:rPr>
                <w:rFonts w:ascii="Calibri" w:cs="Calibri" w:eastAsia="Calibri" w:hAnsi="Calibri"/>
                <w:b/>
                <w:bCs/>
                <w:color w:val="FFFFFF"/>
                <w:sz w:val="18"/>
                <w:szCs w:val="18"/>
              </w:rPr>
              <w:t xml:space="preserve">#</w:t>
            </w:r>
          </w:p>
        </w:tc>
        <w:tc>
          <w:tcPr>
            <w:tcW w:type="dxa" w:w="37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8"/>
                <w:szCs w:val="18"/>
              </w:rPr>
              <w:t xml:space="preserve">Recommendation</w:t>
            </w:r>
          </w:p>
        </w:tc>
        <w:tc>
          <w:tcPr>
            <w:tcW w:type="dxa" w:w="3188"/>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8"/>
                <w:szCs w:val="18"/>
              </w:rPr>
              <w:t xml:space="preserve">Evidence</w:t>
            </w:r>
          </w:p>
        </w:tc>
        <w:tc>
          <w:tcPr>
            <w:tcW w:type="dxa" w:w="23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8"/>
                <w:szCs w:val="18"/>
              </w:rPr>
              <w:t xml:space="preserve">Suggested KPI to track</w:t>
            </w:r>
          </w:p>
        </w:tc>
      </w:tr>
      <w:tr>
        <w:trPr>
          <w:cantSplit/>
        </w:trPr>
        <w:tc>
          <w:tcPr>
            <w:tcW w:type="dxa" w:w="4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center"/>
            </w:pPr>
            <w:r>
              <w:rPr>
                <w:rFonts w:ascii="Calibri" w:cs="Calibri" w:eastAsia="Calibri" w:hAnsi="Calibri"/>
                <w:sz w:val="18"/>
                <w:szCs w:val="18"/>
              </w:rPr>
              <w:t xml:space="preserve">1</w:t>
            </w:r>
          </w:p>
        </w:tc>
        <w:tc>
          <w:tcPr>
            <w:tcW w:type="dxa" w:w="3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Protect aircraft rotations.</w:t>
            </w:r>
            <w:r>
              <w:rPr>
                <w:rFonts w:ascii="Calibri" w:cs="Calibri" w:eastAsia="Calibri" w:hAnsi="Calibri"/>
                <w:sz w:val="18"/>
                <w:szCs w:val="18"/>
              </w:rPr>
              <w:t xml:space="preserve"> Add schedule buffers on tight turns and set early-day recovery rules, starting with airlines where late aircraft is the main cause.</w:t>
            </w:r>
          </w:p>
        </w:tc>
        <w:tc>
          <w:tcPr>
            <w:tcW w:type="dxa" w:w="318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Late aircraft = 37.7% of delay minutes; Southwest 48.2%, PSA 47.1%, Frontier 44.9%</w:t>
            </w:r>
          </w:p>
        </w:tc>
        <w:tc>
          <w:tcPr>
            <w:tcW w:type="dxa" w:w="2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Late-aircraft delay minutes per flight</w:t>
            </w:r>
          </w:p>
        </w:tc>
      </w:tr>
      <w:tr>
        <w:trPr>
          <w:cantSplit/>
        </w:trPr>
        <w:tc>
          <w:tcPr>
            <w:tcW w:type="dxa" w:w="4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center"/>
            </w:pPr>
            <w:r>
              <w:rPr>
                <w:rFonts w:ascii="Calibri" w:cs="Calibri" w:eastAsia="Calibri" w:hAnsi="Calibri"/>
                <w:sz w:val="18"/>
                <w:szCs w:val="18"/>
              </w:rPr>
              <w:t xml:space="preserve">2</w:t>
            </w:r>
          </w:p>
        </w:tc>
        <w:tc>
          <w:tcPr>
            <w:tcW w:type="dxa" w:w="37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Review carrier-controlled processes</w:t>
            </w:r>
            <w:r>
              <w:rPr>
                <w:rFonts w:ascii="Calibri" w:cs="Calibri" w:eastAsia="Calibri" w:hAnsi="Calibri"/>
                <w:sz w:val="18"/>
                <w:szCs w:val="18"/>
              </w:rPr>
              <w:t xml:space="preserve"> (ground handling, crew, maintenance, servicing) at airlines where carrier delay dominates.</w:t>
            </w:r>
          </w:p>
        </w:tc>
        <w:tc>
          <w:tcPr>
            <w:tcW w:type="dxa" w:w="318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Carrier = 36.7%; Hawaiian 56.3%, SkyWest 51.6%, Delta 46.1%, JetBlue 40.4%</w:t>
            </w:r>
          </w:p>
        </w:tc>
        <w:tc>
          <w:tcPr>
            <w:tcW w:type="dxa" w:w="23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Carrier delay minutes per flight</w:t>
            </w:r>
          </w:p>
        </w:tc>
      </w:tr>
      <w:tr>
        <w:trPr>
          <w:cantSplit/>
        </w:trPr>
        <w:tc>
          <w:tcPr>
            <w:tcW w:type="dxa" w:w="4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center"/>
            </w:pPr>
            <w:r>
              <w:rPr>
                <w:rFonts w:ascii="Calibri" w:cs="Calibri" w:eastAsia="Calibri" w:hAnsi="Calibri"/>
                <w:sz w:val="18"/>
                <w:szCs w:val="18"/>
              </w:rPr>
              <w:t xml:space="preserve">3</w:t>
            </w:r>
          </w:p>
        </w:tc>
        <w:tc>
          <w:tcPr>
            <w:tcW w:type="dxa" w:w="3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Run airline-specific reviews for high-volume, low-score carriers:</w:t>
            </w:r>
            <w:r>
              <w:rPr>
                <w:rFonts w:ascii="Calibri" w:cs="Calibri" w:eastAsia="Calibri" w:hAnsi="Calibri"/>
                <w:sz w:val="18"/>
                <w:szCs w:val="18"/>
              </w:rPr>
              <w:t xml:space="preserve"> American, JetBlue and United first, then SkyWest and Envoy. Set a target such as bringing severe-delay rate to the airline median (5.9%).</w:t>
            </w:r>
          </w:p>
        </w:tc>
        <w:tc>
          <w:tcPr>
            <w:tcW w:type="dxa" w:w="318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American 6.7%, JetBlue 10.8%, United 6.7% severe rate; American has the most delays over 180 min</w:t>
            </w:r>
          </w:p>
        </w:tc>
        <w:tc>
          <w:tcPr>
            <w:tcW w:type="dxa" w:w="2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Severe-delay rate; Airline Performance Score</w:t>
            </w:r>
          </w:p>
        </w:tc>
      </w:tr>
      <w:tr>
        <w:trPr>
          <w:cantSplit/>
        </w:trPr>
        <w:tc>
          <w:tcPr>
            <w:tcW w:type="dxa" w:w="4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center"/>
            </w:pPr>
            <w:r>
              <w:rPr>
                <w:rFonts w:ascii="Calibri" w:cs="Calibri" w:eastAsia="Calibri" w:hAnsi="Calibri"/>
                <w:sz w:val="18"/>
                <w:szCs w:val="18"/>
              </w:rPr>
              <w:t xml:space="preserve">4</w:t>
            </w:r>
          </w:p>
        </w:tc>
        <w:tc>
          <w:tcPr>
            <w:tcW w:type="dxa" w:w="37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Investigate cancellation reliability</w:t>
            </w:r>
            <w:r>
              <w:rPr>
                <w:rFonts w:ascii="Calibri" w:cs="Calibri" w:eastAsia="Calibri" w:hAnsi="Calibri"/>
                <w:sz w:val="18"/>
                <w:szCs w:val="18"/>
              </w:rPr>
              <w:t xml:space="preserve"> at ExpressJet, Allegiant and Mesa, whose cancellation rates are well above the 2.6% median.</w:t>
            </w:r>
          </w:p>
        </w:tc>
        <w:tc>
          <w:tcPr>
            <w:tcW w:type="dxa" w:w="318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ExpressJet 5.57%, Allegiant 4.52%, Mesa 3.65%</w:t>
            </w:r>
          </w:p>
        </w:tc>
        <w:tc>
          <w:tcPr>
            <w:tcW w:type="dxa" w:w="23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Cancellation rate</w:t>
            </w:r>
          </w:p>
        </w:tc>
      </w:tr>
      <w:tr>
        <w:trPr>
          <w:cantSplit/>
        </w:trPr>
        <w:tc>
          <w:tcPr>
            <w:tcW w:type="dxa" w:w="4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center"/>
            </w:pPr>
            <w:r>
              <w:rPr>
                <w:rFonts w:ascii="Calibri" w:cs="Calibri" w:eastAsia="Calibri" w:hAnsi="Calibri"/>
                <w:sz w:val="18"/>
                <w:szCs w:val="18"/>
              </w:rPr>
              <w:t xml:space="preserve">5</w:t>
            </w:r>
          </w:p>
        </w:tc>
        <w:tc>
          <w:tcPr>
            <w:tcW w:type="dxa" w:w="3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Build a summer readiness plan</w:t>
            </w:r>
            <w:r>
              <w:rPr>
                <w:rFonts w:ascii="Calibri" w:cs="Calibri" w:eastAsia="Calibri" w:hAnsi="Calibri"/>
                <w:sz w:val="18"/>
                <w:szCs w:val="18"/>
              </w:rPr>
              <w:t xml:space="preserve"> before June: extra staffing, spare aircraft and tighter turnaround management in June–August.</w:t>
            </w:r>
          </w:p>
        </w:tc>
        <w:tc>
          <w:tcPr>
            <w:tcW w:type="dxa" w:w="318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Summer 8.6 min vs fall 0.4 min; June 10.1 min; late-aircraft share peaks in summer</w:t>
            </w:r>
          </w:p>
        </w:tc>
        <w:tc>
          <w:tcPr>
            <w:tcW w:type="dxa" w:w="2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Avg arrival delay in June–Aug</w:t>
            </w:r>
          </w:p>
        </w:tc>
      </w:tr>
      <w:tr>
        <w:trPr>
          <w:cantSplit/>
        </w:trPr>
        <w:tc>
          <w:tcPr>
            <w:tcW w:type="dxa" w:w="4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center"/>
            </w:pPr>
            <w:r>
              <w:rPr>
                <w:rFonts w:ascii="Calibri" w:cs="Calibri" w:eastAsia="Calibri" w:hAnsi="Calibri"/>
                <w:sz w:val="18"/>
                <w:szCs w:val="18"/>
              </w:rPr>
              <w:t xml:space="preserve">6</w:t>
            </w:r>
          </w:p>
        </w:tc>
        <w:tc>
          <w:tcPr>
            <w:tcW w:type="dxa" w:w="37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Start a hub bottleneck programme</w:t>
            </w:r>
            <w:r>
              <w:rPr>
                <w:rFonts w:ascii="Calibri" w:cs="Calibri" w:eastAsia="Calibri" w:hAnsi="Calibri"/>
                <w:sz w:val="18"/>
                <w:szCs w:val="18"/>
              </w:rPr>
              <w:t xml:space="preserve"> at DFW, DEN and ORD (largest totals) and EWR, MCO, FLL and MIA (worst rates).</w:t>
            </w:r>
          </w:p>
        </w:tc>
        <w:tc>
          <w:tcPr>
            <w:tcW w:type="dxa" w:w="318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Ten airports = 30.5% of flights, about 45% of net delay minutes</w:t>
            </w:r>
          </w:p>
        </w:tc>
        <w:tc>
          <w:tcPr>
            <w:tcW w:type="dxa" w:w="23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Net delay minutes; severe-delay rate by airport</w:t>
            </w:r>
          </w:p>
        </w:tc>
      </w:tr>
      <w:tr>
        <w:trPr>
          <w:cantSplit/>
        </w:trPr>
        <w:tc>
          <w:tcPr>
            <w:tcW w:type="dxa" w:w="4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center"/>
            </w:pPr>
            <w:r>
              <w:rPr>
                <w:rFonts w:ascii="Calibri" w:cs="Calibri" w:eastAsia="Calibri" w:hAnsi="Calibri"/>
                <w:sz w:val="18"/>
                <w:szCs w:val="18"/>
              </w:rPr>
              <w:t xml:space="preserve">7</w:t>
            </w:r>
          </w:p>
        </w:tc>
        <w:tc>
          <w:tcPr>
            <w:tcW w:type="dxa" w:w="3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Create a route watchlist</w:t>
            </w:r>
            <w:r>
              <w:rPr>
                <w:rFonts w:ascii="Calibri" w:cs="Calibri" w:eastAsia="Calibri" w:hAnsi="Calibri"/>
                <w:sz w:val="18"/>
                <w:szCs w:val="18"/>
              </w:rPr>
              <w:t xml:space="preserve"> and review scheduled block times on DEN↔ASE, MCO→EWR, MCO→JFK, EWR↔SJU, PNS→DFW and DFW→BHM.</w:t>
            </w:r>
          </w:p>
        </w:tc>
        <w:tc>
          <w:tcPr>
            <w:tcW w:type="dxa" w:w="318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Top-10 routes (≥ 500 flights) show 10–13% severe rates and up to 18.6 min average delay</w:t>
            </w:r>
          </w:p>
        </w:tc>
        <w:tc>
          <w:tcPr>
            <w:tcW w:type="dxa" w:w="2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Route risk score; on-time rate by route</w:t>
            </w:r>
          </w:p>
        </w:tc>
      </w:tr>
      <w:tr>
        <w:trPr>
          <w:cantSplit/>
        </w:trPr>
        <w:tc>
          <w:tcPr>
            <w:tcW w:type="dxa" w:w="4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center"/>
            </w:pPr>
            <w:r>
              <w:rPr>
                <w:rFonts w:ascii="Calibri" w:cs="Calibri" w:eastAsia="Calibri" w:hAnsi="Calibri"/>
                <w:sz w:val="18"/>
                <w:szCs w:val="18"/>
              </w:rPr>
              <w:t xml:space="preserve">8</w:t>
            </w:r>
          </w:p>
        </w:tc>
        <w:tc>
          <w:tcPr>
            <w:tcW w:type="dxa" w:w="37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Plan around high-risk days:</w:t>
            </w:r>
            <w:r>
              <w:rPr>
                <w:rFonts w:ascii="Calibri" w:cs="Calibri" w:eastAsia="Calibri" w:hAnsi="Calibri"/>
                <w:sz w:val="18"/>
                <w:szCs w:val="18"/>
              </w:rPr>
              <w:t xml:space="preserve"> strengthen readiness on Fridays and Thursdays and before the December peak.</w:t>
            </w:r>
          </w:p>
        </w:tc>
        <w:tc>
          <w:tcPr>
            <w:tcW w:type="dxa" w:w="318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Friday 5.95 vs Tuesday 1.69 min; December 2022 at 13.5 min</w:t>
            </w:r>
          </w:p>
        </w:tc>
        <w:tc>
          <w:tcPr>
            <w:tcW w:type="dxa" w:w="23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8"/>
                <w:szCs w:val="18"/>
              </w:rPr>
              <w:t xml:space="preserve">Avg arrival delay by weekday and month</w:t>
            </w:r>
          </w:p>
        </w:tc>
      </w:tr>
      <w:tr>
        <w:trPr>
          <w:cantSplit/>
        </w:trPr>
        <w:tc>
          <w:tcPr>
            <w:tcW w:type="dxa" w:w="4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center"/>
            </w:pPr>
            <w:r>
              <w:rPr>
                <w:rFonts w:ascii="Calibri" w:cs="Calibri" w:eastAsia="Calibri" w:hAnsi="Calibri"/>
                <w:sz w:val="18"/>
                <w:szCs w:val="18"/>
              </w:rPr>
              <w:t xml:space="preserve">9</w:t>
            </w:r>
          </w:p>
        </w:tc>
        <w:tc>
          <w:tcPr>
            <w:tcW w:type="dxa" w:w="37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8"/>
                <w:szCs w:val="18"/>
              </w:rPr>
              <w:t xml:space="preserve">Focus on on-time departure.</w:t>
            </w:r>
            <w:r>
              <w:rPr>
                <w:rFonts w:ascii="Calibri" w:cs="Calibri" w:eastAsia="Calibri" w:hAnsi="Calibri"/>
                <w:sz w:val="18"/>
                <w:szCs w:val="18"/>
              </w:rPr>
              <w:t xml:space="preserve"> Track on-time pushback and taxi-out performance as the lead indicators.</w:t>
            </w:r>
          </w:p>
        </w:tc>
        <w:tc>
          <w:tcPr>
            <w:tcW w:type="dxa" w:w="318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8"/>
                <w:szCs w:val="18"/>
              </w:rPr>
              <w:t xml:space="preserve">Departure vs arrival delay r = 0.965; distance r = 0.002</w:t>
            </w:r>
          </w:p>
        </w:tc>
        <w:tc>
          <w:tcPr>
            <w:tcW w:type="dxa" w:w="23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8"/>
                <w:szCs w:val="18"/>
              </w:rPr>
              <w:t xml:space="preserve">Departure delay; share of on-time departures</w:t>
            </w:r>
          </w:p>
        </w:tc>
      </w:tr>
    </w:tbl>
    <w:p>
      <w:pPr>
        <w:pStyle w:val="Heading1"/>
        <w:pageBreakBefore/>
      </w:pPr>
      <w:r>
        <w:rPr>
          <w:rFonts w:ascii="Calibri" w:cs="Calibri" w:eastAsia="Calibri" w:hAnsi="Calibri"/>
        </w:rPr>
        <w:t xml:space="preserve">10  Limitations and Next Steps</w:t>
      </w:r>
    </w:p>
    <w:p>
      <w:pPr>
        <w:pStyle w:val="Heading2"/>
        <w:keepNext/>
      </w:pPr>
      <w:r>
        <w:rPr>
          <w:rFonts w:ascii="Calibri" w:cs="Calibri" w:eastAsia="Calibri" w:hAnsi="Calibri"/>
        </w:rPr>
        <w:t xml:space="preserve">Limitations</w:t>
      </w:r>
    </w:p>
    <w:p>
      <w:pPr>
        <w:pStyle w:val="ListParagraph"/>
        <w:numPr>
          <w:ilvl w:val="0"/>
          <w:numId w:val="2"/>
        </w:numPr>
        <w:spacing w:after="70" w:line="270"/>
      </w:pPr>
      <w:r>
        <w:rPr>
          <w:rFonts w:ascii="Calibri" w:cs="Calibri" w:eastAsia="Calibri" w:hAnsi="Calibri"/>
          <w:b/>
          <w:bCs/>
          <w:sz w:val="21"/>
          <w:szCs w:val="21"/>
        </w:rPr>
        <w:t xml:space="preserve">Time coverage.</w:t>
      </w:r>
      <w:r>
        <w:rPr>
          <w:rFonts w:ascii="Calibri" w:cs="Calibri" w:eastAsia="Calibri" w:hAnsi="Calibri"/>
          <w:sz w:val="21"/>
          <w:szCs w:val="21"/>
        </w:rPr>
        <w:t xml:space="preserve"> Data runs from January 2019 to August 2023. September–December have only four years of data, and 2020 is distorted by the pandemic (arrival delay −5.0 min, 6.0% cancellations).</w:t>
      </w:r>
    </w:p>
    <w:p>
      <w:pPr>
        <w:pStyle w:val="ListParagraph"/>
        <w:numPr>
          <w:ilvl w:val="0"/>
          <w:numId w:val="2"/>
        </w:numPr>
        <w:spacing w:after="70" w:line="270"/>
      </w:pPr>
      <w:r>
        <w:rPr>
          <w:rFonts w:ascii="Calibri" w:cs="Calibri" w:eastAsia="Calibri" w:hAnsi="Calibri"/>
          <w:b/>
          <w:bCs/>
          <w:sz w:val="21"/>
          <w:szCs w:val="21"/>
        </w:rPr>
        <w:t xml:space="preserve">Cause data is partial.</w:t>
      </w:r>
      <w:r>
        <w:rPr>
          <w:rFonts w:ascii="Calibri" w:cs="Calibri" w:eastAsia="Calibri" w:hAnsi="Calibri"/>
          <w:sz w:val="21"/>
          <w:szCs w:val="21"/>
        </w:rPr>
        <w:t xml:space="preserve"> Cause fields exist for about 18% of flights with an arrival time and describe recorded delay minutes, not all flights. Late-aircraft delay is partly a consequence of other causes, so the five categories are not fully independent.</w:t>
      </w:r>
    </w:p>
    <w:p>
      <w:pPr>
        <w:pStyle w:val="ListParagraph"/>
        <w:numPr>
          <w:ilvl w:val="0"/>
          <w:numId w:val="2"/>
        </w:numPr>
        <w:spacing w:after="70" w:line="270"/>
      </w:pPr>
      <w:r>
        <w:rPr>
          <w:rFonts w:ascii="Calibri" w:cs="Calibri" w:eastAsia="Calibri" w:hAnsi="Calibri"/>
          <w:b/>
          <w:bCs/>
          <w:sz w:val="21"/>
          <w:szCs w:val="21"/>
        </w:rPr>
        <w:t xml:space="preserve">Scores are relative and assumption-based.</w:t>
      </w:r>
      <w:r>
        <w:rPr>
          <w:rFonts w:ascii="Calibri" w:cs="Calibri" w:eastAsia="Calibri" w:hAnsi="Calibri"/>
          <w:sz w:val="21"/>
          <w:szCs w:val="21"/>
        </w:rPr>
        <w:t xml:space="preserve"> Equal weights are a baseline, min-max scaling is sensitive to extreme values, and scores compare entities within this dataset only. Small airports and routes can look extreme on few flights; this report applies volume filters (airports ≥ 1,000, routes ≥ 500 flights) to reduce that.</w:t>
      </w:r>
    </w:p>
    <w:p>
      <w:pPr>
        <w:pStyle w:val="ListParagraph"/>
        <w:numPr>
          <w:ilvl w:val="0"/>
          <w:numId w:val="2"/>
        </w:numPr>
        <w:spacing w:after="70" w:line="270"/>
      </w:pPr>
      <w:r>
        <w:rPr>
          <w:rFonts w:ascii="Calibri" w:cs="Calibri" w:eastAsia="Calibri" w:hAnsi="Calibri"/>
          <w:b/>
          <w:bCs/>
          <w:sz w:val="21"/>
          <w:szCs w:val="21"/>
        </w:rPr>
        <w:t xml:space="preserve">Definitions differ slightly between Python and Tableau</w:t>
      </w:r>
      <w:r>
        <w:rPr>
          <w:rFonts w:ascii="Calibri" w:cs="Calibri" w:eastAsia="Calibri" w:hAnsi="Calibri"/>
          <w:sz w:val="21"/>
          <w:szCs w:val="21"/>
        </w:rPr>
        <w:t xml:space="preserve"> (Section 2.5), and Tableau's scoring thresholds need recalibration.</w:t>
      </w:r>
    </w:p>
    <w:p>
      <w:pPr>
        <w:pStyle w:val="ListParagraph"/>
        <w:numPr>
          <w:ilvl w:val="0"/>
          <w:numId w:val="2"/>
        </w:numPr>
        <w:spacing w:after="70" w:line="270"/>
      </w:pPr>
      <w:r>
        <w:rPr>
          <w:rFonts w:ascii="Calibri" w:cs="Calibri" w:eastAsia="Calibri" w:hAnsi="Calibri"/>
          <w:b/>
          <w:bCs/>
          <w:sz w:val="21"/>
          <w:szCs w:val="21"/>
        </w:rPr>
        <w:t xml:space="preserve">Origin-based airport view.</w:t>
      </w:r>
      <w:r>
        <w:rPr>
          <w:rFonts w:ascii="Calibri" w:cs="Calibri" w:eastAsia="Calibri" w:hAnsi="Calibri"/>
          <w:sz w:val="21"/>
          <w:szCs w:val="21"/>
        </w:rPr>
        <w:t xml:space="preserve"> Airport figures use the departure airport; arrival-airport congestion is not isolated. Regional carriers operate for major airlines, so brand-level conclusions are partly network effects.</w:t>
      </w:r>
    </w:p>
    <w:p>
      <w:pPr>
        <w:pStyle w:val="ListParagraph"/>
        <w:numPr>
          <w:ilvl w:val="0"/>
          <w:numId w:val="2"/>
        </w:numPr>
        <w:spacing w:after="70" w:line="270"/>
      </w:pPr>
      <w:r>
        <w:rPr>
          <w:rFonts w:ascii="Calibri" w:cs="Calibri" w:eastAsia="Calibri" w:hAnsi="Calibri"/>
          <w:b/>
          <w:bCs/>
          <w:sz w:val="21"/>
          <w:szCs w:val="21"/>
        </w:rPr>
        <w:t xml:space="preserve">Descriptive, not causal.</w:t>
      </w:r>
      <w:r>
        <w:rPr>
          <w:rFonts w:ascii="Calibri" w:cs="Calibri" w:eastAsia="Calibri" w:hAnsi="Calibri"/>
          <w:sz w:val="21"/>
          <w:szCs w:val="21"/>
        </w:rPr>
        <w:t xml:space="preserve"> The analysis identifies where and when problems concentrate. It cannot prove that a cause or intervention changes delay.</w:t>
      </w:r>
    </w:p>
    <w:p>
      <w:pPr>
        <w:pStyle w:val="Heading2"/>
        <w:keepNext/>
      </w:pPr>
      <w:r>
        <w:rPr>
          <w:rFonts w:ascii="Calibri" w:cs="Calibri" w:eastAsia="Calibri" w:hAnsi="Calibri"/>
        </w:rPr>
        <w:t xml:space="preserve">Next steps</w:t>
      </w:r>
    </w:p>
    <w:p>
      <w:pPr>
        <w:pStyle w:val="ListParagraph"/>
        <w:numPr>
          <w:ilvl w:val="0"/>
          <w:numId w:val="2"/>
        </w:numPr>
        <w:spacing w:after="70" w:line="270"/>
      </w:pPr>
      <w:r>
        <w:rPr>
          <w:rFonts w:ascii="Calibri" w:cs="Calibri" w:eastAsia="Calibri" w:hAnsi="Calibri"/>
          <w:sz w:val="21"/>
          <w:szCs w:val="21"/>
        </w:rPr>
        <w:t xml:space="preserve">Complete the MySQL layer (KPI queries, rankings with window functions, month-over-month changes) and reconcile results with this report.</w:t>
      </w:r>
    </w:p>
    <w:p>
      <w:pPr>
        <w:pStyle w:val="ListParagraph"/>
        <w:numPr>
          <w:ilvl w:val="0"/>
          <w:numId w:val="2"/>
        </w:numPr>
        <w:spacing w:after="70" w:line="270"/>
      </w:pPr>
      <w:r>
        <w:rPr>
          <w:rFonts w:ascii="Calibri" w:cs="Calibri" w:eastAsia="Calibri" w:hAnsi="Calibri"/>
          <w:sz w:val="21"/>
          <w:szCs w:val="21"/>
        </w:rPr>
        <w:t xml:space="preserve">Run a weight sensitivity test (for example 40/30/20/10) to confirm that airline and airport rankings are stable.</w:t>
      </w:r>
    </w:p>
    <w:p>
      <w:pPr>
        <w:pStyle w:val="ListParagraph"/>
        <w:numPr>
          <w:ilvl w:val="0"/>
          <w:numId w:val="2"/>
        </w:numPr>
        <w:spacing w:after="70" w:line="270"/>
      </w:pPr>
      <w:r>
        <w:rPr>
          <w:rFonts w:ascii="Calibri" w:cs="Calibri" w:eastAsia="Calibri" w:hAnsi="Calibri"/>
          <w:sz w:val="21"/>
          <w:szCs w:val="21"/>
        </w:rPr>
        <w:t xml:space="preserve">Add time-of-day analysis using scheduled departure time to test how delay builds through the day.</w:t>
      </w:r>
    </w:p>
    <w:p>
      <w:pPr>
        <w:pStyle w:val="ListParagraph"/>
        <w:numPr>
          <w:ilvl w:val="0"/>
          <w:numId w:val="2"/>
        </w:numPr>
        <w:spacing w:after="70" w:line="270"/>
      </w:pPr>
      <w:r>
        <w:rPr>
          <w:rFonts w:ascii="Calibri" w:cs="Calibri" w:eastAsia="Calibri" w:hAnsi="Calibri"/>
          <w:sz w:val="21"/>
          <w:szCs w:val="21"/>
        </w:rPr>
        <w:t xml:space="preserve">Align metric definitions and thresholds between Python and Tableau, and publish the dashboards with a short user guide.</w:t>
      </w:r>
    </w:p>
    <w:p>
      <w:pPr>
        <w:pStyle w:val="ListParagraph"/>
        <w:numPr>
          <w:ilvl w:val="0"/>
          <w:numId w:val="2"/>
        </w:numPr>
        <w:spacing w:after="70" w:line="270"/>
      </w:pPr>
      <w:r>
        <w:rPr>
          <w:rFonts w:ascii="Calibri" w:cs="Calibri" w:eastAsia="Calibri" w:hAnsi="Calibri"/>
          <w:sz w:val="21"/>
          <w:szCs w:val="21"/>
        </w:rPr>
        <w:t xml:space="preserve">Extend the dataset beyond August 2023 and separate 2020 in trend and seasonality views.</w:t>
      </w:r>
    </w:p>
    <w:p>
      <w:pPr>
        <w:pStyle w:val="Heading1"/>
        <w:pageBreakBefore/>
      </w:pPr>
      <w:r>
        <w:rPr>
          <w:rFonts w:ascii="Calibri" w:cs="Calibri" w:eastAsia="Calibri" w:hAnsi="Calibri"/>
        </w:rPr>
        <w:t xml:space="preserve">Appendix A  Airline Scorecard</w:t>
      </w:r>
    </w:p>
    <w:p>
      <w:pPr>
        <w:keepNext/>
        <w:spacing w:after="120" w:before="0" w:line="276"/>
      </w:pPr>
      <w:r>
        <w:rPr>
          <w:rFonts w:ascii="Calibri" w:cs="Calibri" w:eastAsia="Calibri" w:hAnsi="Calibri"/>
          <w:sz w:val="21"/>
          <w:szCs w:val="21"/>
        </w:rPr>
        <w:t xml:space="preserve">Airlines are ranked by the Airline Performance Score (equal weights, higher is better). The last column shows the rank from the Tableau scoring formula as a cross-check. Severe rate is the share of all flights with arrival delay above 60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500"/>
        <w:gridCol w:w="1000"/>
        <w:gridCol w:w="1000"/>
        <w:gridCol w:w="900"/>
        <w:gridCol w:w="900"/>
        <w:gridCol w:w="950"/>
        <w:gridCol w:w="800"/>
        <w:gridCol w:w="968"/>
      </w:tblGrid>
      <w:tr>
        <w:trPr>
          <w:cantSplit/>
          <w:tblHeader/>
        </w:trPr>
        <w:tc>
          <w:tcPr>
            <w:tcW w:type="dxa" w:w="62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val="false"/>
              <w:spacing w:after="0" w:line="252"/>
              <w:jc w:val="center"/>
            </w:pPr>
            <w:r>
              <w:rPr>
                <w:rFonts w:ascii="Calibri" w:cs="Calibri" w:eastAsia="Calibri" w:hAnsi="Calibri"/>
                <w:b/>
                <w:bCs/>
                <w:color w:val="FFFFFF"/>
                <w:sz w:val="17"/>
                <w:szCs w:val="17"/>
              </w:rPr>
              <w:t xml:space="preserve">Rank</w:t>
            </w:r>
          </w:p>
        </w:tc>
        <w:tc>
          <w:tcPr>
            <w:tcW w:type="dxa" w:w="25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b/>
                <w:bCs/>
                <w:color w:val="FFFFFF"/>
                <w:sz w:val="17"/>
                <w:szCs w:val="17"/>
              </w:rPr>
              <w:t xml:space="preserve">Airline</w:t>
            </w:r>
          </w:p>
        </w:tc>
        <w:tc>
          <w:tcPr>
            <w:tcW w:type="dxa" w:w="10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b/>
                <w:bCs/>
                <w:color w:val="FFFFFF"/>
                <w:sz w:val="17"/>
                <w:szCs w:val="17"/>
              </w:rPr>
              <w:t xml:space="preserve">Flights</w:t>
            </w:r>
          </w:p>
        </w:tc>
        <w:tc>
          <w:tcPr>
            <w:tcW w:type="dxa" w:w="10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b/>
                <w:bCs/>
                <w:color w:val="FFFFFF"/>
                <w:sz w:val="17"/>
                <w:szCs w:val="17"/>
              </w:rPr>
              <w:t xml:space="preserve">Avg arr. delay (min)</w:t>
            </w:r>
          </w:p>
        </w:tc>
        <w:tc>
          <w:tcPr>
            <w:tcW w:type="dxa" w:w="9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b/>
                <w:bCs/>
                <w:color w:val="FFFFFF"/>
                <w:sz w:val="17"/>
                <w:szCs w:val="17"/>
              </w:rPr>
              <w:t xml:space="preserve">Severe rate</w:t>
            </w:r>
          </w:p>
        </w:tc>
        <w:tc>
          <w:tcPr>
            <w:tcW w:type="dxa" w:w="9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b/>
                <w:bCs/>
                <w:color w:val="FFFFFF"/>
                <w:sz w:val="17"/>
                <w:szCs w:val="17"/>
              </w:rPr>
              <w:t xml:space="preserve">Cancel rate</w:t>
            </w:r>
          </w:p>
        </w:tc>
        <w:tc>
          <w:tcPr>
            <w:tcW w:type="dxa" w:w="95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b/>
                <w:bCs/>
                <w:color w:val="FFFFFF"/>
                <w:sz w:val="17"/>
                <w:szCs w:val="17"/>
              </w:rPr>
              <w:t xml:space="preserve">Diversion rate</w:t>
            </w:r>
          </w:p>
        </w:tc>
        <w:tc>
          <w:tcPr>
            <w:tcW w:type="dxa" w:w="800"/>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b/>
                <w:bCs/>
                <w:color w:val="FFFFFF"/>
                <w:sz w:val="17"/>
                <w:szCs w:val="17"/>
              </w:rPr>
              <w:t xml:space="preserve">Score</w:t>
            </w:r>
          </w:p>
        </w:tc>
        <w:tc>
          <w:tcPr>
            <w:tcW w:type="dxa" w:w="968"/>
            <w:tcBorders>
              <w:top w:val="single" w:color="C9D2DE" w:sz="4"/>
              <w:left w:val="single" w:color="C9D2DE" w:sz="4"/>
              <w:bottom w:val="single" w:color="C9D2DE" w:sz="4"/>
              <w:right w:val="single" w:color="C9D2DE" w:sz="4"/>
            </w:tcBorders>
            <w:shd w:fill="1F3A5F" w:color="auto" w:val="clear"/>
            <w:tcMar>
              <w:top w:type="dxa" w:w="60"/>
              <w:left w:type="dxa" w:w="100"/>
              <w:bottom w:type="dxa" w:w="60"/>
              <w:right w:type="dxa" w:w="100"/>
            </w:tcMar>
            <w:vAlign w:val="center"/>
          </w:tcPr>
          <w:p>
            <w:pPr>
              <w:keepNext w:val="false"/>
              <w:spacing w:after="0" w:line="252"/>
              <w:jc w:val="center"/>
            </w:pPr>
            <w:r>
              <w:rPr>
                <w:rFonts w:ascii="Calibri" w:cs="Calibri" w:eastAsia="Calibri" w:hAnsi="Calibri"/>
                <w:b/>
                <w:bCs/>
                <w:color w:val="FFFFFF"/>
                <w:sz w:val="17"/>
                <w:szCs w:val="17"/>
              </w:rPr>
              <w:t xml:space="preserve">Tableau rank</w:t>
            </w:r>
          </w:p>
        </w:tc>
      </w:tr>
      <w:tr>
        <w:trPr>
          <w:cantSplit/>
        </w:trPr>
        <w:tc>
          <w:tcPr>
            <w:tcW w:type="dxa" w:w="620"/>
            <w:tcBorders>
              <w:top w:val="single" w:color="C9D2DE" w:sz="4"/>
              <w:left w:val="single" w:color="C9D2DE" w:sz="4"/>
              <w:bottom w:val="single" w:color="C9D2DE" w:sz="4"/>
              <w:right w:val="single" w:color="C9D2DE" w:sz="4"/>
            </w:tcBorders>
            <w:shd w:fill="E3F1EE" w:color="auto" w:val="clear"/>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1</w:t>
            </w:r>
          </w:p>
        </w:tc>
        <w:tc>
          <w:tcPr>
            <w:tcW w:type="dxa" w:w="2500"/>
            <w:tcBorders>
              <w:top w:val="single" w:color="C9D2DE" w:sz="4"/>
              <w:left w:val="single" w:color="C9D2DE" w:sz="4"/>
              <w:bottom w:val="single" w:color="C9D2DE" w:sz="4"/>
              <w:right w:val="single" w:color="C9D2DE" w:sz="4"/>
            </w:tcBorders>
            <w:shd w:fill="E3F1EE"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7"/>
                <w:szCs w:val="17"/>
              </w:rPr>
              <w:t xml:space="preserve">Hawaiian Airlines</w:t>
            </w:r>
          </w:p>
        </w:tc>
        <w:tc>
          <w:tcPr>
            <w:tcW w:type="dxa" w:w="1000"/>
            <w:tcBorders>
              <w:top w:val="single" w:color="C9D2DE" w:sz="4"/>
              <w:left w:val="single" w:color="C9D2DE" w:sz="4"/>
              <w:bottom w:val="single" w:color="C9D2DE" w:sz="4"/>
              <w:right w:val="single" w:color="C9D2DE" w:sz="4"/>
            </w:tcBorders>
            <w:shd w:fill="E3F1EE"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32,114</w:t>
            </w:r>
          </w:p>
        </w:tc>
        <w:tc>
          <w:tcPr>
            <w:tcW w:type="dxa" w:w="1000"/>
            <w:tcBorders>
              <w:top w:val="single" w:color="C9D2DE" w:sz="4"/>
              <w:left w:val="single" w:color="C9D2DE" w:sz="4"/>
              <w:bottom w:val="single" w:color="C9D2DE" w:sz="4"/>
              <w:right w:val="single" w:color="C9D2DE" w:sz="4"/>
            </w:tcBorders>
            <w:shd w:fill="E3F1EE"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3.89</w:t>
            </w:r>
          </w:p>
        </w:tc>
        <w:tc>
          <w:tcPr>
            <w:tcW w:type="dxa" w:w="900"/>
            <w:tcBorders>
              <w:top w:val="single" w:color="C9D2DE" w:sz="4"/>
              <w:left w:val="single" w:color="C9D2DE" w:sz="4"/>
              <w:bottom w:val="single" w:color="C9D2DE" w:sz="4"/>
              <w:right w:val="single" w:color="C9D2DE" w:sz="4"/>
            </w:tcBorders>
            <w:shd w:fill="E3F1EE"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2.48%</w:t>
            </w:r>
          </w:p>
        </w:tc>
        <w:tc>
          <w:tcPr>
            <w:tcW w:type="dxa" w:w="900"/>
            <w:tcBorders>
              <w:top w:val="single" w:color="C9D2DE" w:sz="4"/>
              <w:left w:val="single" w:color="C9D2DE" w:sz="4"/>
              <w:bottom w:val="single" w:color="C9D2DE" w:sz="4"/>
              <w:right w:val="single" w:color="C9D2DE" w:sz="4"/>
            </w:tcBorders>
            <w:shd w:fill="E3F1EE"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1.21%</w:t>
            </w:r>
          </w:p>
        </w:tc>
        <w:tc>
          <w:tcPr>
            <w:tcW w:type="dxa" w:w="950"/>
            <w:tcBorders>
              <w:top w:val="single" w:color="C9D2DE" w:sz="4"/>
              <w:left w:val="single" w:color="C9D2DE" w:sz="4"/>
              <w:bottom w:val="single" w:color="C9D2DE" w:sz="4"/>
              <w:right w:val="single" w:color="C9D2DE" w:sz="4"/>
            </w:tcBorders>
            <w:shd w:fill="E3F1EE"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0.087%</w:t>
            </w:r>
          </w:p>
        </w:tc>
        <w:tc>
          <w:tcPr>
            <w:tcW w:type="dxa" w:w="800"/>
            <w:tcBorders>
              <w:top w:val="single" w:color="C9D2DE" w:sz="4"/>
              <w:left w:val="single" w:color="C9D2DE" w:sz="4"/>
              <w:bottom w:val="single" w:color="C9D2DE" w:sz="4"/>
              <w:right w:val="single" w:color="C9D2DE" w:sz="4"/>
            </w:tcBorders>
            <w:shd w:fill="E3F1EE"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0.911</w:t>
            </w:r>
          </w:p>
        </w:tc>
        <w:tc>
          <w:tcPr>
            <w:tcW w:type="dxa" w:w="968"/>
            <w:tcBorders>
              <w:top w:val="single" w:color="C9D2DE" w:sz="4"/>
              <w:left w:val="single" w:color="C9D2DE" w:sz="4"/>
              <w:bottom w:val="single" w:color="C9D2DE" w:sz="4"/>
              <w:right w:val="single" w:color="C9D2DE" w:sz="4"/>
            </w:tcBorders>
            <w:shd w:fill="E3F1EE" w:color="auto" w:val="clear"/>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6</w:t>
            </w:r>
          </w:p>
        </w:tc>
      </w:tr>
      <w:tr>
        <w:trPr>
          <w:cantSplit/>
        </w:trPr>
        <w:tc>
          <w:tcPr>
            <w:tcW w:type="dxa" w:w="620"/>
            <w:tcBorders>
              <w:top w:val="single" w:color="C9D2DE" w:sz="4"/>
              <w:left w:val="single" w:color="C9D2DE" w:sz="4"/>
              <w:bottom w:val="single" w:color="C9D2DE" w:sz="4"/>
              <w:right w:val="single" w:color="C9D2DE" w:sz="4"/>
            </w:tcBorders>
            <w:shd w:fill="E3F1EE" w:color="auto" w:val="clear"/>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2</w:t>
            </w:r>
          </w:p>
        </w:tc>
        <w:tc>
          <w:tcPr>
            <w:tcW w:type="dxa" w:w="2500"/>
            <w:tcBorders>
              <w:top w:val="single" w:color="C9D2DE" w:sz="4"/>
              <w:left w:val="single" w:color="C9D2DE" w:sz="4"/>
              <w:bottom w:val="single" w:color="C9D2DE" w:sz="4"/>
              <w:right w:val="single" w:color="C9D2DE" w:sz="4"/>
            </w:tcBorders>
            <w:shd w:fill="E3F1EE"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7"/>
                <w:szCs w:val="17"/>
              </w:rPr>
              <w:t xml:space="preserve">Horizon Air</w:t>
            </w:r>
          </w:p>
        </w:tc>
        <w:tc>
          <w:tcPr>
            <w:tcW w:type="dxa" w:w="1000"/>
            <w:tcBorders>
              <w:top w:val="single" w:color="C9D2DE" w:sz="4"/>
              <w:left w:val="single" w:color="C9D2DE" w:sz="4"/>
              <w:bottom w:val="single" w:color="C9D2DE" w:sz="4"/>
              <w:right w:val="single" w:color="C9D2DE" w:sz="4"/>
            </w:tcBorders>
            <w:shd w:fill="E3F1EE"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20,634</w:t>
            </w:r>
          </w:p>
        </w:tc>
        <w:tc>
          <w:tcPr>
            <w:tcW w:type="dxa" w:w="1000"/>
            <w:tcBorders>
              <w:top w:val="single" w:color="C9D2DE" w:sz="4"/>
              <w:left w:val="single" w:color="C9D2DE" w:sz="4"/>
              <w:bottom w:val="single" w:color="C9D2DE" w:sz="4"/>
              <w:right w:val="single" w:color="C9D2DE" w:sz="4"/>
            </w:tcBorders>
            <w:shd w:fill="E3F1EE"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2.38</w:t>
            </w:r>
          </w:p>
        </w:tc>
        <w:tc>
          <w:tcPr>
            <w:tcW w:type="dxa" w:w="900"/>
            <w:tcBorders>
              <w:top w:val="single" w:color="C9D2DE" w:sz="4"/>
              <w:left w:val="single" w:color="C9D2DE" w:sz="4"/>
              <w:bottom w:val="single" w:color="C9D2DE" w:sz="4"/>
              <w:right w:val="single" w:color="C9D2DE" w:sz="4"/>
            </w:tcBorders>
            <w:shd w:fill="E3F1EE"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3.62%</w:t>
            </w:r>
          </w:p>
        </w:tc>
        <w:tc>
          <w:tcPr>
            <w:tcW w:type="dxa" w:w="900"/>
            <w:tcBorders>
              <w:top w:val="single" w:color="C9D2DE" w:sz="4"/>
              <w:left w:val="single" w:color="C9D2DE" w:sz="4"/>
              <w:bottom w:val="single" w:color="C9D2DE" w:sz="4"/>
              <w:right w:val="single" w:color="C9D2DE" w:sz="4"/>
            </w:tcBorders>
            <w:shd w:fill="E3F1EE"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1.81%</w:t>
            </w:r>
          </w:p>
        </w:tc>
        <w:tc>
          <w:tcPr>
            <w:tcW w:type="dxa" w:w="950"/>
            <w:tcBorders>
              <w:top w:val="single" w:color="C9D2DE" w:sz="4"/>
              <w:left w:val="single" w:color="C9D2DE" w:sz="4"/>
              <w:bottom w:val="single" w:color="C9D2DE" w:sz="4"/>
              <w:right w:val="single" w:color="C9D2DE" w:sz="4"/>
            </w:tcBorders>
            <w:shd w:fill="E3F1EE"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0.112%</w:t>
            </w:r>
          </w:p>
        </w:tc>
        <w:tc>
          <w:tcPr>
            <w:tcW w:type="dxa" w:w="800"/>
            <w:tcBorders>
              <w:top w:val="single" w:color="C9D2DE" w:sz="4"/>
              <w:left w:val="single" w:color="C9D2DE" w:sz="4"/>
              <w:bottom w:val="single" w:color="C9D2DE" w:sz="4"/>
              <w:right w:val="single" w:color="C9D2DE" w:sz="4"/>
            </w:tcBorders>
            <w:shd w:fill="E3F1EE"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0.847</w:t>
            </w:r>
          </w:p>
        </w:tc>
        <w:tc>
          <w:tcPr>
            <w:tcW w:type="dxa" w:w="968"/>
            <w:tcBorders>
              <w:top w:val="single" w:color="C9D2DE" w:sz="4"/>
              <w:left w:val="single" w:color="C9D2DE" w:sz="4"/>
              <w:bottom w:val="single" w:color="C9D2DE" w:sz="4"/>
              <w:right w:val="single" w:color="C9D2DE" w:sz="4"/>
            </w:tcBorders>
            <w:shd w:fill="E3F1EE" w:color="auto" w:val="clear"/>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5</w:t>
            </w:r>
          </w:p>
        </w:tc>
      </w:tr>
      <w:tr>
        <w:trPr>
          <w:cantSplit/>
        </w:trPr>
        <w:tc>
          <w:tcPr>
            <w:tcW w:type="dxa" w:w="620"/>
            <w:tcBorders>
              <w:top w:val="single" w:color="C9D2DE" w:sz="4"/>
              <w:left w:val="single" w:color="C9D2DE" w:sz="4"/>
              <w:bottom w:val="single" w:color="C9D2DE" w:sz="4"/>
              <w:right w:val="single" w:color="C9D2DE" w:sz="4"/>
            </w:tcBorders>
            <w:shd w:fill="E3F1EE" w:color="auto" w:val="clear"/>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3</w:t>
            </w:r>
          </w:p>
        </w:tc>
        <w:tc>
          <w:tcPr>
            <w:tcW w:type="dxa" w:w="2500"/>
            <w:tcBorders>
              <w:top w:val="single" w:color="C9D2DE" w:sz="4"/>
              <w:left w:val="single" w:color="C9D2DE" w:sz="4"/>
              <w:bottom w:val="single" w:color="C9D2DE" w:sz="4"/>
              <w:right w:val="single" w:color="C9D2DE" w:sz="4"/>
            </w:tcBorders>
            <w:shd w:fill="E3F1EE"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7"/>
                <w:szCs w:val="17"/>
              </w:rPr>
              <w:t xml:space="preserve">Delta Air Lines</w:t>
            </w:r>
          </w:p>
        </w:tc>
        <w:tc>
          <w:tcPr>
            <w:tcW w:type="dxa" w:w="1000"/>
            <w:tcBorders>
              <w:top w:val="single" w:color="C9D2DE" w:sz="4"/>
              <w:left w:val="single" w:color="C9D2DE" w:sz="4"/>
              <w:bottom w:val="single" w:color="C9D2DE" w:sz="4"/>
              <w:right w:val="single" w:color="C9D2DE" w:sz="4"/>
            </w:tcBorders>
            <w:shd w:fill="E3F1EE"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395,239</w:t>
            </w:r>
          </w:p>
        </w:tc>
        <w:tc>
          <w:tcPr>
            <w:tcW w:type="dxa" w:w="1000"/>
            <w:tcBorders>
              <w:top w:val="single" w:color="C9D2DE" w:sz="4"/>
              <w:left w:val="single" w:color="C9D2DE" w:sz="4"/>
              <w:bottom w:val="single" w:color="C9D2DE" w:sz="4"/>
              <w:right w:val="single" w:color="C9D2DE" w:sz="4"/>
            </w:tcBorders>
            <w:shd w:fill="E3F1EE"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1.09</w:t>
            </w:r>
          </w:p>
        </w:tc>
        <w:tc>
          <w:tcPr>
            <w:tcW w:type="dxa" w:w="900"/>
            <w:tcBorders>
              <w:top w:val="single" w:color="C9D2DE" w:sz="4"/>
              <w:left w:val="single" w:color="C9D2DE" w:sz="4"/>
              <w:bottom w:val="single" w:color="C9D2DE" w:sz="4"/>
              <w:right w:val="single" w:color="C9D2DE" w:sz="4"/>
            </w:tcBorders>
            <w:shd w:fill="E3F1EE"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4.39%</w:t>
            </w:r>
          </w:p>
        </w:tc>
        <w:tc>
          <w:tcPr>
            <w:tcW w:type="dxa" w:w="900"/>
            <w:tcBorders>
              <w:top w:val="single" w:color="C9D2DE" w:sz="4"/>
              <w:left w:val="single" w:color="C9D2DE" w:sz="4"/>
              <w:bottom w:val="single" w:color="C9D2DE" w:sz="4"/>
              <w:right w:val="single" w:color="C9D2DE" w:sz="4"/>
            </w:tcBorders>
            <w:shd w:fill="E3F1EE"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1.51%</w:t>
            </w:r>
          </w:p>
        </w:tc>
        <w:tc>
          <w:tcPr>
            <w:tcW w:type="dxa" w:w="950"/>
            <w:tcBorders>
              <w:top w:val="single" w:color="C9D2DE" w:sz="4"/>
              <w:left w:val="single" w:color="C9D2DE" w:sz="4"/>
              <w:bottom w:val="single" w:color="C9D2DE" w:sz="4"/>
              <w:right w:val="single" w:color="C9D2DE" w:sz="4"/>
            </w:tcBorders>
            <w:shd w:fill="E3F1EE"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0.198%</w:t>
            </w:r>
          </w:p>
        </w:tc>
        <w:tc>
          <w:tcPr>
            <w:tcW w:type="dxa" w:w="800"/>
            <w:tcBorders>
              <w:top w:val="single" w:color="C9D2DE" w:sz="4"/>
              <w:left w:val="single" w:color="C9D2DE" w:sz="4"/>
              <w:bottom w:val="single" w:color="C9D2DE" w:sz="4"/>
              <w:right w:val="single" w:color="C9D2DE" w:sz="4"/>
            </w:tcBorders>
            <w:shd w:fill="E3F1EE"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0.784</w:t>
            </w:r>
          </w:p>
        </w:tc>
        <w:tc>
          <w:tcPr>
            <w:tcW w:type="dxa" w:w="968"/>
            <w:tcBorders>
              <w:top w:val="single" w:color="C9D2DE" w:sz="4"/>
              <w:left w:val="single" w:color="C9D2DE" w:sz="4"/>
              <w:bottom w:val="single" w:color="C9D2DE" w:sz="4"/>
              <w:right w:val="single" w:color="C9D2DE" w:sz="4"/>
            </w:tcBorders>
            <w:shd w:fill="E3F1EE" w:color="auto" w:val="clear"/>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2</w:t>
            </w:r>
          </w:p>
        </w:tc>
      </w:tr>
      <w:tr>
        <w:trPr>
          <w:cantSplit/>
        </w:trPr>
        <w:tc>
          <w:tcPr>
            <w:tcW w:type="dxa" w:w="62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4</w:t>
            </w:r>
          </w:p>
        </w:tc>
        <w:tc>
          <w:tcPr>
            <w:tcW w:type="dxa" w:w="25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7"/>
                <w:szCs w:val="17"/>
              </w:rPr>
              <w:t xml:space="preserve">Endeavor Air</w:t>
            </w:r>
          </w:p>
        </w:tc>
        <w:tc>
          <w:tcPr>
            <w:tcW w:type="dxa" w:w="10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112,463</w:t>
            </w:r>
          </w:p>
        </w:tc>
        <w:tc>
          <w:tcPr>
            <w:tcW w:type="dxa" w:w="10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-1.26</w:t>
            </w:r>
          </w:p>
        </w:tc>
        <w:tc>
          <w:tcPr>
            <w:tcW w:type="dxa" w:w="9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4.82%</w:t>
            </w:r>
          </w:p>
        </w:tc>
        <w:tc>
          <w:tcPr>
            <w:tcW w:type="dxa" w:w="9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2.13%</w:t>
            </w:r>
          </w:p>
        </w:tc>
        <w:tc>
          <w:tcPr>
            <w:tcW w:type="dxa" w:w="9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0.196%</w:t>
            </w:r>
          </w:p>
        </w:tc>
        <w:tc>
          <w:tcPr>
            <w:tcW w:type="dxa" w:w="8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0.777</w:t>
            </w:r>
          </w:p>
        </w:tc>
        <w:tc>
          <w:tcPr>
            <w:tcW w:type="dxa" w:w="96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1</w:t>
            </w:r>
          </w:p>
        </w:tc>
      </w:tr>
      <w:tr>
        <w:trPr>
          <w:cantSplit/>
        </w:trPr>
        <w:tc>
          <w:tcPr>
            <w:tcW w:type="dxa" w:w="62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5</w:t>
            </w:r>
          </w:p>
        </w:tc>
        <w:tc>
          <w:tcPr>
            <w:tcW w:type="dxa" w:w="25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7"/>
                <w:szCs w:val="17"/>
              </w:rPr>
              <w:t xml:space="preserve">Alaska Airlines</w:t>
            </w:r>
          </w:p>
        </w:tc>
        <w:tc>
          <w:tcPr>
            <w:tcW w:type="dxa" w:w="10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100,467</w:t>
            </w:r>
          </w:p>
        </w:tc>
        <w:tc>
          <w:tcPr>
            <w:tcW w:type="dxa" w:w="10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1.10</w:t>
            </w:r>
          </w:p>
        </w:tc>
        <w:tc>
          <w:tcPr>
            <w:tcW w:type="dxa" w:w="9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4.11%</w:t>
            </w:r>
          </w:p>
        </w:tc>
        <w:tc>
          <w:tcPr>
            <w:tcW w:type="dxa" w:w="9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1.92%</w:t>
            </w:r>
          </w:p>
        </w:tc>
        <w:tc>
          <w:tcPr>
            <w:tcW w:type="dxa" w:w="9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0.238%</w:t>
            </w:r>
          </w:p>
        </w:tc>
        <w:tc>
          <w:tcPr>
            <w:tcW w:type="dxa" w:w="8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0.732</w:t>
            </w:r>
          </w:p>
        </w:tc>
        <w:tc>
          <w:tcPr>
            <w:tcW w:type="dxa" w:w="96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3</w:t>
            </w:r>
          </w:p>
        </w:tc>
      </w:tr>
      <w:tr>
        <w:trPr>
          <w:cantSplit/>
        </w:trPr>
        <w:tc>
          <w:tcPr>
            <w:tcW w:type="dxa" w:w="62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6</w:t>
            </w:r>
          </w:p>
        </w:tc>
        <w:tc>
          <w:tcPr>
            <w:tcW w:type="dxa" w:w="25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7"/>
                <w:szCs w:val="17"/>
              </w:rPr>
              <w:t xml:space="preserve">Republic Airline</w:t>
            </w:r>
          </w:p>
        </w:tc>
        <w:tc>
          <w:tcPr>
            <w:tcW w:type="dxa" w:w="10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143,107</w:t>
            </w:r>
          </w:p>
        </w:tc>
        <w:tc>
          <w:tcPr>
            <w:tcW w:type="dxa" w:w="10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0.59</w:t>
            </w:r>
          </w:p>
        </w:tc>
        <w:tc>
          <w:tcPr>
            <w:tcW w:type="dxa" w:w="9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5.36%</w:t>
            </w:r>
          </w:p>
        </w:tc>
        <w:tc>
          <w:tcPr>
            <w:tcW w:type="dxa" w:w="9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3.25%</w:t>
            </w:r>
          </w:p>
        </w:tc>
        <w:tc>
          <w:tcPr>
            <w:tcW w:type="dxa" w:w="9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0.219%</w:t>
            </w:r>
          </w:p>
        </w:tc>
        <w:tc>
          <w:tcPr>
            <w:tcW w:type="dxa" w:w="8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0.645</w:t>
            </w:r>
          </w:p>
        </w:tc>
        <w:tc>
          <w:tcPr>
            <w:tcW w:type="dxa" w:w="96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4</w:t>
            </w:r>
          </w:p>
        </w:tc>
      </w:tr>
      <w:tr>
        <w:trPr>
          <w:cantSplit/>
        </w:trPr>
        <w:tc>
          <w:tcPr>
            <w:tcW w:type="dxa" w:w="62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7</w:t>
            </w:r>
          </w:p>
        </w:tc>
        <w:tc>
          <w:tcPr>
            <w:tcW w:type="dxa" w:w="25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7"/>
                <w:szCs w:val="17"/>
              </w:rPr>
              <w:t xml:space="preserve">Southwest Airlines</w:t>
            </w:r>
          </w:p>
        </w:tc>
        <w:tc>
          <w:tcPr>
            <w:tcW w:type="dxa" w:w="10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576,470</w:t>
            </w:r>
          </w:p>
        </w:tc>
        <w:tc>
          <w:tcPr>
            <w:tcW w:type="dxa" w:w="10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3.27</w:t>
            </w:r>
          </w:p>
        </w:tc>
        <w:tc>
          <w:tcPr>
            <w:tcW w:type="dxa" w:w="9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4.66%</w:t>
            </w:r>
          </w:p>
        </w:tc>
        <w:tc>
          <w:tcPr>
            <w:tcW w:type="dxa" w:w="9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3.38%</w:t>
            </w:r>
          </w:p>
        </w:tc>
        <w:tc>
          <w:tcPr>
            <w:tcW w:type="dxa" w:w="9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0.197%</w:t>
            </w:r>
          </w:p>
        </w:tc>
        <w:tc>
          <w:tcPr>
            <w:tcW w:type="dxa" w:w="8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0.632</w:t>
            </w:r>
          </w:p>
        </w:tc>
        <w:tc>
          <w:tcPr>
            <w:tcW w:type="dxa" w:w="96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7</w:t>
            </w:r>
          </w:p>
        </w:tc>
      </w:tr>
      <w:tr>
        <w:trPr>
          <w:cantSplit/>
        </w:trPr>
        <w:tc>
          <w:tcPr>
            <w:tcW w:type="dxa" w:w="62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8</w:t>
            </w:r>
          </w:p>
        </w:tc>
        <w:tc>
          <w:tcPr>
            <w:tcW w:type="dxa" w:w="25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7"/>
                <w:szCs w:val="17"/>
              </w:rPr>
              <w:t xml:space="preserve">Envoy Air</w:t>
            </w:r>
          </w:p>
        </w:tc>
        <w:tc>
          <w:tcPr>
            <w:tcW w:type="dxa" w:w="10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121,256</w:t>
            </w:r>
          </w:p>
        </w:tc>
        <w:tc>
          <w:tcPr>
            <w:tcW w:type="dxa" w:w="10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3.28</w:t>
            </w:r>
          </w:p>
        </w:tc>
        <w:tc>
          <w:tcPr>
            <w:tcW w:type="dxa" w:w="9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5.18%</w:t>
            </w:r>
          </w:p>
        </w:tc>
        <w:tc>
          <w:tcPr>
            <w:tcW w:type="dxa" w:w="9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3.00%</w:t>
            </w:r>
          </w:p>
        </w:tc>
        <w:tc>
          <w:tcPr>
            <w:tcW w:type="dxa" w:w="9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0.256%</w:t>
            </w:r>
          </w:p>
        </w:tc>
        <w:tc>
          <w:tcPr>
            <w:tcW w:type="dxa" w:w="8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0.584</w:t>
            </w:r>
          </w:p>
        </w:tc>
        <w:tc>
          <w:tcPr>
            <w:tcW w:type="dxa" w:w="96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8</w:t>
            </w:r>
          </w:p>
        </w:tc>
      </w:tr>
      <w:tr>
        <w:trPr>
          <w:cantSplit/>
        </w:trPr>
        <w:tc>
          <w:tcPr>
            <w:tcW w:type="dxa" w:w="62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9</w:t>
            </w:r>
          </w:p>
        </w:tc>
        <w:tc>
          <w:tcPr>
            <w:tcW w:type="dxa" w:w="25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7"/>
                <w:szCs w:val="17"/>
              </w:rPr>
              <w:t xml:space="preserve">SkyWest Airlines</w:t>
            </w:r>
          </w:p>
        </w:tc>
        <w:tc>
          <w:tcPr>
            <w:tcW w:type="dxa" w:w="10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343,737</w:t>
            </w:r>
          </w:p>
        </w:tc>
        <w:tc>
          <w:tcPr>
            <w:tcW w:type="dxa" w:w="10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4.02</w:t>
            </w:r>
          </w:p>
        </w:tc>
        <w:tc>
          <w:tcPr>
            <w:tcW w:type="dxa" w:w="9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5.87%</w:t>
            </w:r>
          </w:p>
        </w:tc>
        <w:tc>
          <w:tcPr>
            <w:tcW w:type="dxa" w:w="9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2.25%</w:t>
            </w:r>
          </w:p>
        </w:tc>
        <w:tc>
          <w:tcPr>
            <w:tcW w:type="dxa" w:w="9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0.293%</w:t>
            </w:r>
          </w:p>
        </w:tc>
        <w:tc>
          <w:tcPr>
            <w:tcW w:type="dxa" w:w="8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0.560</w:t>
            </w:r>
          </w:p>
        </w:tc>
        <w:tc>
          <w:tcPr>
            <w:tcW w:type="dxa" w:w="96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9</w:t>
            </w:r>
          </w:p>
        </w:tc>
      </w:tr>
      <w:tr>
        <w:trPr>
          <w:cantSplit/>
        </w:trPr>
        <w:tc>
          <w:tcPr>
            <w:tcW w:type="dxa" w:w="62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10</w:t>
            </w:r>
          </w:p>
        </w:tc>
        <w:tc>
          <w:tcPr>
            <w:tcW w:type="dxa" w:w="25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7"/>
                <w:szCs w:val="17"/>
              </w:rPr>
              <w:t xml:space="preserve">PSA Airlines</w:t>
            </w:r>
          </w:p>
        </w:tc>
        <w:tc>
          <w:tcPr>
            <w:tcW w:type="dxa" w:w="10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107,050</w:t>
            </w:r>
          </w:p>
        </w:tc>
        <w:tc>
          <w:tcPr>
            <w:tcW w:type="dxa" w:w="10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3.93</w:t>
            </w:r>
          </w:p>
        </w:tc>
        <w:tc>
          <w:tcPr>
            <w:tcW w:type="dxa" w:w="9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5.94%</w:t>
            </w:r>
          </w:p>
        </w:tc>
        <w:tc>
          <w:tcPr>
            <w:tcW w:type="dxa" w:w="9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3.08%</w:t>
            </w:r>
          </w:p>
        </w:tc>
        <w:tc>
          <w:tcPr>
            <w:tcW w:type="dxa" w:w="9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0.248%</w:t>
            </w:r>
          </w:p>
        </w:tc>
        <w:tc>
          <w:tcPr>
            <w:tcW w:type="dxa" w:w="8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0.552</w:t>
            </w:r>
          </w:p>
        </w:tc>
        <w:tc>
          <w:tcPr>
            <w:tcW w:type="dxa" w:w="96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10</w:t>
            </w:r>
          </w:p>
        </w:tc>
      </w:tr>
      <w:tr>
        <w:trPr>
          <w:cantSplit/>
        </w:trPr>
        <w:tc>
          <w:tcPr>
            <w:tcW w:type="dxa" w:w="62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11</w:t>
            </w:r>
          </w:p>
        </w:tc>
        <w:tc>
          <w:tcPr>
            <w:tcW w:type="dxa" w:w="25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7"/>
                <w:szCs w:val="17"/>
              </w:rPr>
              <w:t xml:space="preserve">United Air Lines</w:t>
            </w:r>
          </w:p>
        </w:tc>
        <w:tc>
          <w:tcPr>
            <w:tcW w:type="dxa" w:w="10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254,504</w:t>
            </w:r>
          </w:p>
        </w:tc>
        <w:tc>
          <w:tcPr>
            <w:tcW w:type="dxa" w:w="10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5.04</w:t>
            </w:r>
          </w:p>
        </w:tc>
        <w:tc>
          <w:tcPr>
            <w:tcW w:type="dxa" w:w="9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6.65%</w:t>
            </w:r>
          </w:p>
        </w:tc>
        <w:tc>
          <w:tcPr>
            <w:tcW w:type="dxa" w:w="9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2.18%</w:t>
            </w:r>
          </w:p>
        </w:tc>
        <w:tc>
          <w:tcPr>
            <w:tcW w:type="dxa" w:w="9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0.274%</w:t>
            </w:r>
          </w:p>
        </w:tc>
        <w:tc>
          <w:tcPr>
            <w:tcW w:type="dxa" w:w="8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0.541</w:t>
            </w:r>
          </w:p>
        </w:tc>
        <w:tc>
          <w:tcPr>
            <w:tcW w:type="dxa" w:w="96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11</w:t>
            </w:r>
          </w:p>
        </w:tc>
      </w:tr>
      <w:tr>
        <w:trPr>
          <w:cantSplit/>
        </w:trPr>
        <w:tc>
          <w:tcPr>
            <w:tcW w:type="dxa" w:w="62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12</w:t>
            </w:r>
          </w:p>
        </w:tc>
        <w:tc>
          <w:tcPr>
            <w:tcW w:type="dxa" w:w="25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7"/>
                <w:szCs w:val="17"/>
              </w:rPr>
              <w:t xml:space="preserve">Spirit Air Lines</w:t>
            </w:r>
          </w:p>
        </w:tc>
        <w:tc>
          <w:tcPr>
            <w:tcW w:type="dxa" w:w="10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95,711</w:t>
            </w:r>
          </w:p>
        </w:tc>
        <w:tc>
          <w:tcPr>
            <w:tcW w:type="dxa" w:w="10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8.03</w:t>
            </w:r>
          </w:p>
        </w:tc>
        <w:tc>
          <w:tcPr>
            <w:tcW w:type="dxa" w:w="9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7.67%</w:t>
            </w:r>
          </w:p>
        </w:tc>
        <w:tc>
          <w:tcPr>
            <w:tcW w:type="dxa" w:w="9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2.42%</w:t>
            </w:r>
          </w:p>
        </w:tc>
        <w:tc>
          <w:tcPr>
            <w:tcW w:type="dxa" w:w="9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0.208%</w:t>
            </w:r>
          </w:p>
        </w:tc>
        <w:tc>
          <w:tcPr>
            <w:tcW w:type="dxa" w:w="8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0.505</w:t>
            </w:r>
          </w:p>
        </w:tc>
        <w:tc>
          <w:tcPr>
            <w:tcW w:type="dxa" w:w="96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14</w:t>
            </w:r>
          </w:p>
        </w:tc>
      </w:tr>
      <w:tr>
        <w:trPr>
          <w:cantSplit/>
        </w:trPr>
        <w:tc>
          <w:tcPr>
            <w:tcW w:type="dxa" w:w="62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13</w:t>
            </w:r>
          </w:p>
        </w:tc>
        <w:tc>
          <w:tcPr>
            <w:tcW w:type="dxa" w:w="25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7"/>
                <w:szCs w:val="17"/>
              </w:rPr>
              <w:t xml:space="preserve">American Airlines</w:t>
            </w:r>
          </w:p>
        </w:tc>
        <w:tc>
          <w:tcPr>
            <w:tcW w:type="dxa" w:w="10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383,106</w:t>
            </w:r>
          </w:p>
        </w:tc>
        <w:tc>
          <w:tcPr>
            <w:tcW w:type="dxa" w:w="10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6.66</w:t>
            </w:r>
          </w:p>
        </w:tc>
        <w:tc>
          <w:tcPr>
            <w:tcW w:type="dxa" w:w="9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6.71%</w:t>
            </w:r>
          </w:p>
        </w:tc>
        <w:tc>
          <w:tcPr>
            <w:tcW w:type="dxa" w:w="9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2.85%</w:t>
            </w:r>
          </w:p>
        </w:tc>
        <w:tc>
          <w:tcPr>
            <w:tcW w:type="dxa" w:w="9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0.256%</w:t>
            </w:r>
          </w:p>
        </w:tc>
        <w:tc>
          <w:tcPr>
            <w:tcW w:type="dxa" w:w="8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0.489</w:t>
            </w:r>
          </w:p>
        </w:tc>
        <w:tc>
          <w:tcPr>
            <w:tcW w:type="dxa" w:w="96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12</w:t>
            </w:r>
          </w:p>
        </w:tc>
      </w:tr>
      <w:tr>
        <w:trPr>
          <w:cantSplit/>
        </w:trPr>
        <w:tc>
          <w:tcPr>
            <w:tcW w:type="dxa" w:w="62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14</w:t>
            </w:r>
          </w:p>
        </w:tc>
        <w:tc>
          <w:tcPr>
            <w:tcW w:type="dxa" w:w="25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7"/>
                <w:szCs w:val="17"/>
              </w:rPr>
              <w:t xml:space="preserve">Frontier Airlines</w:t>
            </w:r>
          </w:p>
        </w:tc>
        <w:tc>
          <w:tcPr>
            <w:tcW w:type="dxa" w:w="10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64,466</w:t>
            </w:r>
          </w:p>
        </w:tc>
        <w:tc>
          <w:tcPr>
            <w:tcW w:type="dxa" w:w="10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11.10</w:t>
            </w:r>
          </w:p>
        </w:tc>
        <w:tc>
          <w:tcPr>
            <w:tcW w:type="dxa" w:w="9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9.69%</w:t>
            </w:r>
          </w:p>
        </w:tc>
        <w:tc>
          <w:tcPr>
            <w:tcW w:type="dxa" w:w="9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2.58%</w:t>
            </w:r>
          </w:p>
        </w:tc>
        <w:tc>
          <w:tcPr>
            <w:tcW w:type="dxa" w:w="95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0.136%</w:t>
            </w:r>
          </w:p>
        </w:tc>
        <w:tc>
          <w:tcPr>
            <w:tcW w:type="dxa" w:w="800"/>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0.447</w:t>
            </w:r>
          </w:p>
        </w:tc>
        <w:tc>
          <w:tcPr>
            <w:tcW w:type="dxa" w:w="968"/>
            <w:tcBorders>
              <w:top w:val="single" w:color="C9D2DE" w:sz="4"/>
              <w:left w:val="single" w:color="C9D2DE" w:sz="4"/>
              <w:bottom w:val="single" w:color="C9D2DE" w:sz="4"/>
              <w:right w:val="single" w:color="C9D2DE" w:sz="4"/>
            </w:tcBorders>
            <w:shd w:fill="F3F6FA" w:color="auto" w:val="clear"/>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16</w:t>
            </w:r>
          </w:p>
        </w:tc>
      </w:tr>
      <w:tr>
        <w:trPr>
          <w:cantSplit/>
        </w:trPr>
        <w:tc>
          <w:tcPr>
            <w:tcW w:type="dxa" w:w="62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15</w:t>
            </w:r>
          </w:p>
        </w:tc>
        <w:tc>
          <w:tcPr>
            <w:tcW w:type="dxa" w:w="25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7"/>
                <w:szCs w:val="17"/>
              </w:rPr>
              <w:t xml:space="preserve">Mesa Airlines</w:t>
            </w:r>
          </w:p>
        </w:tc>
        <w:tc>
          <w:tcPr>
            <w:tcW w:type="dxa" w:w="10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65,012</w:t>
            </w:r>
          </w:p>
        </w:tc>
        <w:tc>
          <w:tcPr>
            <w:tcW w:type="dxa" w:w="10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7.31</w:t>
            </w:r>
          </w:p>
        </w:tc>
        <w:tc>
          <w:tcPr>
            <w:tcW w:type="dxa" w:w="9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7.42%</w:t>
            </w:r>
          </w:p>
        </w:tc>
        <w:tc>
          <w:tcPr>
            <w:tcW w:type="dxa" w:w="9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3.65%</w:t>
            </w:r>
          </w:p>
        </w:tc>
        <w:tc>
          <w:tcPr>
            <w:tcW w:type="dxa" w:w="95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0.249%</w:t>
            </w:r>
          </w:p>
        </w:tc>
        <w:tc>
          <w:tcPr>
            <w:tcW w:type="dxa" w:w="800"/>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0.417</w:t>
            </w:r>
          </w:p>
        </w:tc>
        <w:tc>
          <w:tcPr>
            <w:tcW w:type="dxa" w:w="968"/>
            <w:tcBorders>
              <w:top w:val="single" w:color="C9D2DE" w:sz="4"/>
              <w:left w:val="single" w:color="C9D2DE" w:sz="4"/>
              <w:bottom w:val="single" w:color="C9D2DE" w:sz="4"/>
              <w:right w:val="single" w:color="C9D2DE" w:sz="4"/>
            </w:tcBorders>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13</w:t>
            </w:r>
          </w:p>
        </w:tc>
      </w:tr>
      <w:tr>
        <w:trPr>
          <w:cantSplit/>
        </w:trPr>
        <w:tc>
          <w:tcPr>
            <w:tcW w:type="dxa" w:w="620"/>
            <w:tcBorders>
              <w:top w:val="single" w:color="C9D2DE" w:sz="4"/>
              <w:left w:val="single" w:color="C9D2DE" w:sz="4"/>
              <w:bottom w:val="single" w:color="C9D2DE" w:sz="4"/>
              <w:right w:val="single" w:color="C9D2DE" w:sz="4"/>
            </w:tcBorders>
            <w:shd w:fill="F8E3E3" w:color="auto" w:val="clear"/>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16</w:t>
            </w:r>
          </w:p>
        </w:tc>
        <w:tc>
          <w:tcPr>
            <w:tcW w:type="dxa" w:w="2500"/>
            <w:tcBorders>
              <w:top w:val="single" w:color="C9D2DE" w:sz="4"/>
              <w:left w:val="single" w:color="C9D2DE" w:sz="4"/>
              <w:bottom w:val="single" w:color="C9D2DE" w:sz="4"/>
              <w:right w:val="single" w:color="C9D2DE" w:sz="4"/>
            </w:tcBorders>
            <w:shd w:fill="F8E3E3"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7"/>
                <w:szCs w:val="17"/>
              </w:rPr>
              <w:t xml:space="preserve">JetBlue Airways</w:t>
            </w:r>
          </w:p>
        </w:tc>
        <w:tc>
          <w:tcPr>
            <w:tcW w:type="dxa" w:w="1000"/>
            <w:tcBorders>
              <w:top w:val="single" w:color="C9D2DE" w:sz="4"/>
              <w:left w:val="single" w:color="C9D2DE" w:sz="4"/>
              <w:bottom w:val="single" w:color="C9D2DE" w:sz="4"/>
              <w:right w:val="single" w:color="C9D2DE" w:sz="4"/>
            </w:tcBorders>
            <w:shd w:fill="F8E3E3"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112,844</w:t>
            </w:r>
          </w:p>
        </w:tc>
        <w:tc>
          <w:tcPr>
            <w:tcW w:type="dxa" w:w="1000"/>
            <w:tcBorders>
              <w:top w:val="single" w:color="C9D2DE" w:sz="4"/>
              <w:left w:val="single" w:color="C9D2DE" w:sz="4"/>
              <w:bottom w:val="single" w:color="C9D2DE" w:sz="4"/>
              <w:right w:val="single" w:color="C9D2DE" w:sz="4"/>
            </w:tcBorders>
            <w:shd w:fill="F8E3E3"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12.28</w:t>
            </w:r>
          </w:p>
        </w:tc>
        <w:tc>
          <w:tcPr>
            <w:tcW w:type="dxa" w:w="900"/>
            <w:tcBorders>
              <w:top w:val="single" w:color="C9D2DE" w:sz="4"/>
              <w:left w:val="single" w:color="C9D2DE" w:sz="4"/>
              <w:bottom w:val="single" w:color="C9D2DE" w:sz="4"/>
              <w:right w:val="single" w:color="C9D2DE" w:sz="4"/>
            </w:tcBorders>
            <w:shd w:fill="F8E3E3"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10.82%</w:t>
            </w:r>
          </w:p>
        </w:tc>
        <w:tc>
          <w:tcPr>
            <w:tcW w:type="dxa" w:w="900"/>
            <w:tcBorders>
              <w:top w:val="single" w:color="C9D2DE" w:sz="4"/>
              <w:left w:val="single" w:color="C9D2DE" w:sz="4"/>
              <w:bottom w:val="single" w:color="C9D2DE" w:sz="4"/>
              <w:right w:val="single" w:color="C9D2DE" w:sz="4"/>
            </w:tcBorders>
            <w:shd w:fill="F8E3E3"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2.69%</w:t>
            </w:r>
          </w:p>
        </w:tc>
        <w:tc>
          <w:tcPr>
            <w:tcW w:type="dxa" w:w="950"/>
            <w:tcBorders>
              <w:top w:val="single" w:color="C9D2DE" w:sz="4"/>
              <w:left w:val="single" w:color="C9D2DE" w:sz="4"/>
              <w:bottom w:val="single" w:color="C9D2DE" w:sz="4"/>
              <w:right w:val="single" w:color="C9D2DE" w:sz="4"/>
            </w:tcBorders>
            <w:shd w:fill="F8E3E3"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0.317%</w:t>
            </w:r>
          </w:p>
        </w:tc>
        <w:tc>
          <w:tcPr>
            <w:tcW w:type="dxa" w:w="800"/>
            <w:tcBorders>
              <w:top w:val="single" w:color="C9D2DE" w:sz="4"/>
              <w:left w:val="single" w:color="C9D2DE" w:sz="4"/>
              <w:bottom w:val="single" w:color="C9D2DE" w:sz="4"/>
              <w:right w:val="single" w:color="C9D2DE" w:sz="4"/>
            </w:tcBorders>
            <w:shd w:fill="F8E3E3"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0.222</w:t>
            </w:r>
          </w:p>
        </w:tc>
        <w:tc>
          <w:tcPr>
            <w:tcW w:type="dxa" w:w="968"/>
            <w:tcBorders>
              <w:top w:val="single" w:color="C9D2DE" w:sz="4"/>
              <w:left w:val="single" w:color="C9D2DE" w:sz="4"/>
              <w:bottom w:val="single" w:color="C9D2DE" w:sz="4"/>
              <w:right w:val="single" w:color="C9D2DE" w:sz="4"/>
            </w:tcBorders>
            <w:shd w:fill="F8E3E3" w:color="auto" w:val="clear"/>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17</w:t>
            </w:r>
          </w:p>
        </w:tc>
      </w:tr>
      <w:tr>
        <w:trPr>
          <w:cantSplit/>
        </w:trPr>
        <w:tc>
          <w:tcPr>
            <w:tcW w:type="dxa" w:w="620"/>
            <w:tcBorders>
              <w:top w:val="single" w:color="C9D2DE" w:sz="4"/>
              <w:left w:val="single" w:color="C9D2DE" w:sz="4"/>
              <w:bottom w:val="single" w:color="C9D2DE" w:sz="4"/>
              <w:right w:val="single" w:color="C9D2DE" w:sz="4"/>
            </w:tcBorders>
            <w:shd w:fill="F8E3E3" w:color="auto" w:val="clear"/>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17</w:t>
            </w:r>
          </w:p>
        </w:tc>
        <w:tc>
          <w:tcPr>
            <w:tcW w:type="dxa" w:w="2500"/>
            <w:tcBorders>
              <w:top w:val="single" w:color="C9D2DE" w:sz="4"/>
              <w:left w:val="single" w:color="C9D2DE" w:sz="4"/>
              <w:bottom w:val="single" w:color="C9D2DE" w:sz="4"/>
              <w:right w:val="single" w:color="C9D2DE" w:sz="4"/>
            </w:tcBorders>
            <w:shd w:fill="F8E3E3"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7"/>
                <w:szCs w:val="17"/>
              </w:rPr>
              <w:t xml:space="preserve">Allegiant Air</w:t>
            </w:r>
          </w:p>
        </w:tc>
        <w:tc>
          <w:tcPr>
            <w:tcW w:type="dxa" w:w="1000"/>
            <w:tcBorders>
              <w:top w:val="single" w:color="C9D2DE" w:sz="4"/>
              <w:left w:val="single" w:color="C9D2DE" w:sz="4"/>
              <w:bottom w:val="single" w:color="C9D2DE" w:sz="4"/>
              <w:right w:val="single" w:color="C9D2DE" w:sz="4"/>
            </w:tcBorders>
            <w:shd w:fill="F8E3E3"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52,738</w:t>
            </w:r>
          </w:p>
        </w:tc>
        <w:tc>
          <w:tcPr>
            <w:tcW w:type="dxa" w:w="1000"/>
            <w:tcBorders>
              <w:top w:val="single" w:color="C9D2DE" w:sz="4"/>
              <w:left w:val="single" w:color="C9D2DE" w:sz="4"/>
              <w:bottom w:val="single" w:color="C9D2DE" w:sz="4"/>
              <w:right w:val="single" w:color="C9D2DE" w:sz="4"/>
            </w:tcBorders>
            <w:shd w:fill="F8E3E3"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13.28</w:t>
            </w:r>
          </w:p>
        </w:tc>
        <w:tc>
          <w:tcPr>
            <w:tcW w:type="dxa" w:w="900"/>
            <w:tcBorders>
              <w:top w:val="single" w:color="C9D2DE" w:sz="4"/>
              <w:left w:val="single" w:color="C9D2DE" w:sz="4"/>
              <w:bottom w:val="single" w:color="C9D2DE" w:sz="4"/>
              <w:right w:val="single" w:color="C9D2DE" w:sz="4"/>
            </w:tcBorders>
            <w:shd w:fill="F8E3E3"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8.50%</w:t>
            </w:r>
          </w:p>
        </w:tc>
        <w:tc>
          <w:tcPr>
            <w:tcW w:type="dxa" w:w="900"/>
            <w:tcBorders>
              <w:top w:val="single" w:color="C9D2DE" w:sz="4"/>
              <w:left w:val="single" w:color="C9D2DE" w:sz="4"/>
              <w:bottom w:val="single" w:color="C9D2DE" w:sz="4"/>
              <w:right w:val="single" w:color="C9D2DE" w:sz="4"/>
            </w:tcBorders>
            <w:shd w:fill="F8E3E3"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4.52%</w:t>
            </w:r>
          </w:p>
        </w:tc>
        <w:tc>
          <w:tcPr>
            <w:tcW w:type="dxa" w:w="950"/>
            <w:tcBorders>
              <w:top w:val="single" w:color="C9D2DE" w:sz="4"/>
              <w:left w:val="single" w:color="C9D2DE" w:sz="4"/>
              <w:bottom w:val="single" w:color="C9D2DE" w:sz="4"/>
              <w:right w:val="single" w:color="C9D2DE" w:sz="4"/>
            </w:tcBorders>
            <w:shd w:fill="F8E3E3"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0.334%</w:t>
            </w:r>
          </w:p>
        </w:tc>
        <w:tc>
          <w:tcPr>
            <w:tcW w:type="dxa" w:w="800"/>
            <w:tcBorders>
              <w:top w:val="single" w:color="C9D2DE" w:sz="4"/>
              <w:left w:val="single" w:color="C9D2DE" w:sz="4"/>
              <w:bottom w:val="single" w:color="C9D2DE" w:sz="4"/>
              <w:right w:val="single" w:color="C9D2DE" w:sz="4"/>
            </w:tcBorders>
            <w:shd w:fill="F8E3E3"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0.155</w:t>
            </w:r>
          </w:p>
        </w:tc>
        <w:tc>
          <w:tcPr>
            <w:tcW w:type="dxa" w:w="968"/>
            <w:tcBorders>
              <w:top w:val="single" w:color="C9D2DE" w:sz="4"/>
              <w:left w:val="single" w:color="C9D2DE" w:sz="4"/>
              <w:bottom w:val="single" w:color="C9D2DE" w:sz="4"/>
              <w:right w:val="single" w:color="C9D2DE" w:sz="4"/>
            </w:tcBorders>
            <w:shd w:fill="F8E3E3" w:color="auto" w:val="clear"/>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18</w:t>
            </w:r>
          </w:p>
        </w:tc>
      </w:tr>
      <w:tr>
        <w:trPr>
          <w:cantSplit/>
        </w:trPr>
        <w:tc>
          <w:tcPr>
            <w:tcW w:type="dxa" w:w="620"/>
            <w:tcBorders>
              <w:top w:val="single" w:color="C9D2DE" w:sz="4"/>
              <w:left w:val="single" w:color="C9D2DE" w:sz="4"/>
              <w:bottom w:val="single" w:color="C9D2DE" w:sz="4"/>
              <w:right w:val="single" w:color="C9D2DE" w:sz="4"/>
            </w:tcBorders>
            <w:shd w:fill="F8E3E3" w:color="auto" w:val="clear"/>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18</w:t>
            </w:r>
          </w:p>
        </w:tc>
        <w:tc>
          <w:tcPr>
            <w:tcW w:type="dxa" w:w="2500"/>
            <w:tcBorders>
              <w:top w:val="single" w:color="C9D2DE" w:sz="4"/>
              <w:left w:val="single" w:color="C9D2DE" w:sz="4"/>
              <w:bottom w:val="single" w:color="C9D2DE" w:sz="4"/>
              <w:right w:val="single" w:color="C9D2DE" w:sz="4"/>
            </w:tcBorders>
            <w:shd w:fill="F8E3E3"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7"/>
                <w:szCs w:val="17"/>
              </w:rPr>
              <w:t xml:space="preserve">ExpressJet Airlines</w:t>
            </w:r>
          </w:p>
        </w:tc>
        <w:tc>
          <w:tcPr>
            <w:tcW w:type="dxa" w:w="1000"/>
            <w:tcBorders>
              <w:top w:val="single" w:color="C9D2DE" w:sz="4"/>
              <w:left w:val="single" w:color="C9D2DE" w:sz="4"/>
              <w:bottom w:val="single" w:color="C9D2DE" w:sz="4"/>
              <w:right w:val="single" w:color="C9D2DE" w:sz="4"/>
            </w:tcBorders>
            <w:shd w:fill="F8E3E3"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19,082</w:t>
            </w:r>
          </w:p>
        </w:tc>
        <w:tc>
          <w:tcPr>
            <w:tcW w:type="dxa" w:w="1000"/>
            <w:tcBorders>
              <w:top w:val="single" w:color="C9D2DE" w:sz="4"/>
              <w:left w:val="single" w:color="C9D2DE" w:sz="4"/>
              <w:bottom w:val="single" w:color="C9D2DE" w:sz="4"/>
              <w:right w:val="single" w:color="C9D2DE" w:sz="4"/>
            </w:tcBorders>
            <w:shd w:fill="F8E3E3"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10.03</w:t>
            </w:r>
          </w:p>
        </w:tc>
        <w:tc>
          <w:tcPr>
            <w:tcW w:type="dxa" w:w="900"/>
            <w:tcBorders>
              <w:top w:val="single" w:color="C9D2DE" w:sz="4"/>
              <w:left w:val="single" w:color="C9D2DE" w:sz="4"/>
              <w:bottom w:val="single" w:color="C9D2DE" w:sz="4"/>
              <w:right w:val="single" w:color="C9D2DE" w:sz="4"/>
            </w:tcBorders>
            <w:shd w:fill="F8E3E3"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8.26%</w:t>
            </w:r>
          </w:p>
        </w:tc>
        <w:tc>
          <w:tcPr>
            <w:tcW w:type="dxa" w:w="900"/>
            <w:tcBorders>
              <w:top w:val="single" w:color="C9D2DE" w:sz="4"/>
              <w:left w:val="single" w:color="C9D2DE" w:sz="4"/>
              <w:bottom w:val="single" w:color="C9D2DE" w:sz="4"/>
              <w:right w:val="single" w:color="C9D2DE" w:sz="4"/>
            </w:tcBorders>
            <w:shd w:fill="F8E3E3"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5.57%</w:t>
            </w:r>
          </w:p>
        </w:tc>
        <w:tc>
          <w:tcPr>
            <w:tcW w:type="dxa" w:w="950"/>
            <w:tcBorders>
              <w:top w:val="single" w:color="C9D2DE" w:sz="4"/>
              <w:left w:val="single" w:color="C9D2DE" w:sz="4"/>
              <w:bottom w:val="single" w:color="C9D2DE" w:sz="4"/>
              <w:right w:val="single" w:color="C9D2DE" w:sz="4"/>
            </w:tcBorders>
            <w:shd w:fill="F8E3E3"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0.362%</w:t>
            </w:r>
          </w:p>
        </w:tc>
        <w:tc>
          <w:tcPr>
            <w:tcW w:type="dxa" w:w="800"/>
            <w:tcBorders>
              <w:top w:val="single" w:color="C9D2DE" w:sz="4"/>
              <w:left w:val="single" w:color="C9D2DE" w:sz="4"/>
              <w:bottom w:val="single" w:color="C9D2DE" w:sz="4"/>
              <w:right w:val="single" w:color="C9D2DE" w:sz="4"/>
            </w:tcBorders>
            <w:shd w:fill="F8E3E3"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7"/>
                <w:szCs w:val="17"/>
              </w:rPr>
              <w:t xml:space="preserve">0.132</w:t>
            </w:r>
          </w:p>
        </w:tc>
        <w:tc>
          <w:tcPr>
            <w:tcW w:type="dxa" w:w="968"/>
            <w:tcBorders>
              <w:top w:val="single" w:color="C9D2DE" w:sz="4"/>
              <w:left w:val="single" w:color="C9D2DE" w:sz="4"/>
              <w:bottom w:val="single" w:color="C9D2DE" w:sz="4"/>
              <w:right w:val="single" w:color="C9D2DE" w:sz="4"/>
            </w:tcBorders>
            <w:shd w:fill="F8E3E3" w:color="auto" w:val="clear"/>
            <w:tcMar>
              <w:top w:type="dxa" w:w="60"/>
              <w:left w:type="dxa" w:w="100"/>
              <w:bottom w:type="dxa" w:w="60"/>
              <w:right w:type="dxa" w:w="100"/>
            </w:tcMar>
            <w:vAlign w:val="center"/>
          </w:tcPr>
          <w:p>
            <w:pPr>
              <w:keepNext w:val="false"/>
              <w:spacing w:after="0" w:line="252"/>
              <w:jc w:val="center"/>
            </w:pPr>
            <w:r>
              <w:rPr>
                <w:rFonts w:ascii="Calibri" w:cs="Calibri" w:eastAsia="Calibri" w:hAnsi="Calibri"/>
                <w:sz w:val="17"/>
                <w:szCs w:val="17"/>
              </w:rPr>
              <w:t xml:space="preserve">15</w:t>
            </w:r>
          </w:p>
        </w:tc>
      </w:tr>
    </w:tbl>
    <w:p>
      <w:pPr>
        <w:spacing w:after="100"/>
      </w:pPr>
    </w:p>
    <w:p>
      <w:pPr>
        <w:spacing w:after="120" w:before="0" w:line="276"/>
      </w:pPr>
      <w:r>
        <w:rPr>
          <w:rFonts w:ascii="Calibri" w:cs="Calibri" w:eastAsia="Calibri" w:hAnsi="Calibri"/>
          <w:i/>
          <w:iCs/>
          <w:color w:val="5B6577"/>
          <w:sz w:val="18"/>
          <w:szCs w:val="18"/>
        </w:rPr>
        <w:t xml:space="preserve">Green rows are the three highest scores and red rows the three lowest.</w:t>
      </w:r>
    </w:p>
    <w:sectPr>
      <w:footerReference w:type="default" r:id="rId7"/>
      <w:footerReference w:type="firs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E" w:sz="4" w:space="6"/>
      </w:pBdr>
      <w:jc w:val="center"/>
    </w:pPr>
    <w:r>
      <w:rPr>
        <w:rFonts w:ascii="Calibri" w:cs="Calibri" w:eastAsia="Calibri" w:hAnsi="Calibri"/>
        <w:color w:val="5B6577"/>
        <w:sz w:val="17"/>
        <w:szCs w:val="17"/>
      </w:rPr>
      <w:t xml:space="preserve">Airline Flight Delay Intelligence – Final Business Report   |   Page </w:t>
    </w:r>
    <w:r>
      <w:rPr>
        <w:rFonts w:ascii="Calibri" w:cs="Calibri" w:eastAsia="Calibri" w:hAnsi="Calibri"/>
        <w:color w:val="5B6577"/>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7F8C" w:sz="8" w:space="4"/>
      </w:pBdr>
      <w:spacing w:after="180" w:before="24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1B7F8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dec766230d50c8e973a4336adecbe9a517d3625.png"/><Relationship Id="rId10" Type="http://schemas.openxmlformats.org/officeDocument/2006/relationships/image" Target="media/5423ac41fe757694795c3e1fcddca314aec74a32.png"/><Relationship Id="rId11" Type="http://schemas.openxmlformats.org/officeDocument/2006/relationships/image" Target="media/868d755916ecf0f68a266b0e94e3bcd0aef961ad.png"/><Relationship Id="rId12" Type="http://schemas.openxmlformats.org/officeDocument/2006/relationships/image" Target="media/6d7f1d297472f1c6e5fc278252dfb5e19d8ee0f4.png"/><Relationship Id="rId13" Type="http://schemas.openxmlformats.org/officeDocument/2006/relationships/image" Target="media/86ace547b91ae48419e8e9cba7a260cf08a6acb2.png"/><Relationship Id="rId14" Type="http://schemas.openxmlformats.org/officeDocument/2006/relationships/image" Target="media/b8abc1fe455acf6642449b47ef07768b63f529af.png"/><Relationship Id="rId15" Type="http://schemas.openxmlformats.org/officeDocument/2006/relationships/image" Target="media/6868c891572a0fe014335db59bdb03aa708be30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Airline Flight Delay Intelligence – Final Business Report</dc:title>
  <dc:creator>Data Analyst</dc:creator>
  <cp:lastModifiedBy>Un-named</cp:lastModifiedBy>
  <cp:revision>1</cp:revision>
  <dcterms:created xsi:type="dcterms:W3CDTF">2026-10-06T06:59:12.222Z</dcterms:created>
  <dcterms:modified xsi:type="dcterms:W3CDTF">2026-10-06T06:59:12.222Z</dcterms:modified>
</cp:coreProperties>
</file>

<file path=docProps/custom.xml><?xml version="1.0" encoding="utf-8"?>
<Properties xmlns="http://schemas.openxmlformats.org/officeDocument/2006/custom-properties" xmlns:vt="http://schemas.openxmlformats.org/officeDocument/2006/docPropsVTypes"/>
</file>