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RESEARCH-BASED IMPLEMENTATION PAPER</w:t>
      </w:r>
    </w:p>
    <w:p/>
    <w:p>
      <w:pPr>
        <w:jc w:val="center"/>
      </w:pPr>
      <w:r>
        <w:rPr>
          <w:rFonts w:ascii="Times New Roman" w:hAnsi="Times New Roman"/>
          <w:b w:val="0"/>
          <w:sz w:val="28"/>
        </w:rPr>
        <w:t>Crop-Care-AI: Intelligent Multi-Crop Disease Detection</w:t>
        <w:br/>
        <w:t>Using Deep Learning and Cross-Platform Deployment</w:t>
      </w:r>
    </w:p>
    <w:p/>
    <w:p>
      <w:pPr>
        <w:jc w:val="center"/>
      </w:pPr>
      <w:r>
        <w:rPr>
          <w:rFonts w:ascii="Times New Roman" w:hAnsi="Times New Roman"/>
          <w:b w:val="0"/>
          <w:sz w:val="24"/>
        </w:rPr>
        <w:t>Department of Computer Engineering</w:t>
        <w:br/>
        <w:t>Academic Year 2025-2026</w:t>
      </w:r>
    </w:p>
    <w:p>
      <w:r>
        <w:br w:type="page"/>
      </w:r>
    </w:p>
    <w:p>
      <w:pPr>
        <w:jc w:val="center"/>
      </w:pPr>
      <w:r>
        <w:rPr>
          <w:rFonts w:ascii="Times New Roman" w:hAnsi="Times New Roman"/>
          <w:b/>
          <w:sz w:val="28"/>
        </w:rPr>
        <w:t>Implementation of Crop-Care-AI: From CNN Model Training to Multi-Platform Agricultural Disease Detection System</w:t>
      </w:r>
    </w:p>
    <w:p/>
    <w:p>
      <w:pPr>
        <w:pStyle w:val="Heading1"/>
      </w:pPr>
      <w:r>
        <w:rPr>
          <w:rFonts w:ascii="Times New Roman" w:hAnsi="Times New Roman"/>
        </w:rPr>
        <w:t>Abstract</w:t>
      </w:r>
    </w:p>
    <w:p>
      <w:pPr>
        <w:spacing w:after="120"/>
        <w:jc w:val="both"/>
      </w:pPr>
      <w:r>
        <w:rPr>
          <w:rFonts w:ascii="Times New Roman" w:hAnsi="Times New Roman"/>
          <w:b w:val="0"/>
          <w:sz w:val="24"/>
        </w:rPr>
        <w:t>This paper details the end-to-end implementation of Crop-Care-AI, an agricultural disease detection system spanning model training, backend development, frontend engineering, and cloud deployment. The implementation leverages TensorFlow for CNN model construction and training, FastAPI for backend inference services, React for web-based interaction, React Native for cross-platform mobile deployment, and Google Cloud Functions for serverless scaling. Each implementation component is described with technical specifics including code architecture decisions, framework configurations, and integration patterns. Performance benchmarks validate that the implementation delivers real-time classification capability across all deployment targets.</w:t>
      </w:r>
    </w:p>
    <w:p>
      <w:pPr>
        <w:pStyle w:val="Heading1"/>
      </w:pPr>
      <w:r>
        <w:rPr>
          <w:rFonts w:ascii="Times New Roman" w:hAnsi="Times New Roman"/>
        </w:rPr>
        <w:t>1. Introduction</w:t>
      </w:r>
    </w:p>
    <w:p>
      <w:pPr>
        <w:spacing w:after="120"/>
        <w:jc w:val="both"/>
      </w:pPr>
      <w:r>
        <w:rPr>
          <w:rFonts w:ascii="Times New Roman" w:hAnsi="Times New Roman"/>
          <w:b w:val="0"/>
          <w:sz w:val="24"/>
        </w:rPr>
        <w:t>Translating machine learning research into production-quality software systems presents engineering challenges that extend well beyond model accuracy. Efficient data pipelines, low-latency serving infrastructure, responsive user interfaces, and scalable cloud deployments each introduce design decisions with significant impact on system usability and reliability. This paper documents the implementation of Crop-Care-AI with the objective of providing a reproducible reference for building multi-platform deep learning applications in the agricultural domain.</w:t>
      </w:r>
    </w:p>
    <w:p>
      <w:pPr>
        <w:spacing w:after="120"/>
        <w:jc w:val="both"/>
      </w:pPr>
      <w:r>
        <w:rPr>
          <w:rFonts w:ascii="Times New Roman" w:hAnsi="Times New Roman"/>
          <w:b w:val="0"/>
          <w:sz w:val="24"/>
        </w:rPr>
        <w:t>The implementation addresses four interconnected subsystems: the machine learning training pipeline, the backend inference service, the client-facing frontends for web and mobile platforms, and the cloud deployment infrastructure. For each subsystem, the paper presents the selected technologies with justification, the architectural structure, key implementation details, and lessons learned during development.</w:t>
      </w:r>
    </w:p>
    <w:p>
      <w:pPr>
        <w:pStyle w:val="Heading1"/>
      </w:pPr>
      <w:r>
        <w:rPr>
          <w:rFonts w:ascii="Times New Roman" w:hAnsi="Times New Roman"/>
        </w:rPr>
        <w:t>2. Machine Learning Training Pipeline Implementation</w:t>
      </w:r>
    </w:p>
    <w:p>
      <w:pPr>
        <w:pStyle w:val="Heading2"/>
      </w:pPr>
      <w:r>
        <w:rPr>
          <w:rFonts w:ascii="Times New Roman" w:hAnsi="Times New Roman"/>
        </w:rPr>
        <w:t>2.1 Dataset Loading and Partitioning</w:t>
      </w:r>
    </w:p>
    <w:p>
      <w:pPr>
        <w:spacing w:after="120"/>
        <w:jc w:val="both"/>
      </w:pPr>
      <w:r>
        <w:rPr>
          <w:rFonts w:ascii="Times New Roman" w:hAnsi="Times New Roman"/>
          <w:b w:val="0"/>
          <w:sz w:val="24"/>
        </w:rPr>
        <w:t>The training pipeline is implemented in Jupyter Notebook environments to facilitate interactive experimentation and visualization. Separate notebooks handle each crop species, enabling independent model development and hyperparameter tuning. The Plant Village dataset is accessed from Kaggle and organized into crop-specific directories following the structure required by the TensorFlow image_dataset_from_directory function.</w:t>
      </w:r>
    </w:p>
    <w:p>
      <w:pPr>
        <w:spacing w:after="120"/>
        <w:jc w:val="both"/>
      </w:pPr>
      <w:r>
        <w:rPr>
          <w:rFonts w:ascii="Times New Roman" w:hAnsi="Times New Roman"/>
          <w:b w:val="0"/>
          <w:sz w:val="24"/>
        </w:rPr>
        <w:t>Dataset loading employs the tf.keras.preprocessing.image_dataset_from_directory utility configured with a batch size of thirty-two, image dimensions of two hundred fifty-six by two hundred fifty-six pixels, and RGB color mode. This function automatically infers class labels from subdirectory names and generates labels as integer indices. The loaded dataset is split into training, validation, and test partitions using programmatic slicing with TensorFlow dataset operations. Performance optimization is achieved through three chained operations: the cache operation stores processed elements in memory after the first epoch, the shuffle operation with a buffer size of one thousand randomizes sample ordering, and the prefetch operation with AUTOTUNE parameter enables the data pipeline to prepare subsequent batches concurrently with model computation.</w:t>
      </w:r>
    </w:p>
    <w:p>
      <w:pPr>
        <w:pStyle w:val="Heading2"/>
      </w:pPr>
      <w:r>
        <w:rPr>
          <w:rFonts w:ascii="Times New Roman" w:hAnsi="Times New Roman"/>
        </w:rPr>
        <w:t>2.2 Model Construction</w:t>
      </w:r>
    </w:p>
    <w:p>
      <w:pPr>
        <w:spacing w:after="120"/>
        <w:jc w:val="both"/>
      </w:pPr>
      <w:r>
        <w:rPr>
          <w:rFonts w:ascii="Times New Roman" w:hAnsi="Times New Roman"/>
          <w:b w:val="0"/>
          <w:sz w:val="24"/>
        </w:rPr>
        <w:t>The CNN model is constructed using the Keras Sequential API, which provides a linear stack of layers appropriate for the straightforward feature extraction and classification architecture employed. The model begins with preprocessing layers integrated directly into the model graph. A Resizing layer standardizes inputs to the target resolution, ensuring consistency regardless of source image dimensions. A Rescaling layer divides pixel values by two hundred fifty-five, normalizing the input range to zero through one.</w:t>
      </w:r>
    </w:p>
    <w:p>
      <w:pPr>
        <w:spacing w:after="120"/>
        <w:jc w:val="both"/>
      </w:pPr>
      <w:r>
        <w:rPr>
          <w:rFonts w:ascii="Times New Roman" w:hAnsi="Times New Roman"/>
          <w:b w:val="0"/>
          <w:sz w:val="24"/>
        </w:rPr>
        <w:t>The data augmentation block comprises a RandomFlip layer configured for both horizontal and vertical flipping and a RandomRotation layer with a factor of zero point two radians. These layers are active only during training mode and pass inputs unchanged during inference, a behavior managed automatically by Keras. The feature extraction pathway consists of six Conv2D layers. The first layer uses thirty-two filters while the remaining five layers each employ sixty-four filters, all with three-by-three kernel size and ReLU activation. Each convolutional layer is immediately followed by a MaxPooling2D layer with two-by-two pool size, progressively reducing spatial dimensions from two hundred fifty-six to four pixels across the six pooling operations.</w:t>
      </w:r>
    </w:p>
    <w:p>
      <w:pPr>
        <w:spacing w:after="120"/>
        <w:jc w:val="both"/>
      </w:pPr>
      <w:r>
        <w:rPr>
          <w:rFonts w:ascii="Times New Roman" w:hAnsi="Times New Roman"/>
          <w:b w:val="0"/>
          <w:sz w:val="24"/>
        </w:rPr>
        <w:t>The classification head begins with a Flatten layer converting the three-dimensional feature tensor to a one-dimensional vector. A Dense layer with sixty-four units and ReLU activation provides learned feature combination. The output Dense layer uses softmax activation over N units matching the number of disease categories, producing calibrated probability estimates for each class.</w:t>
      </w:r>
    </w:p>
    <w:p>
      <w:pPr>
        <w:pStyle w:val="Heading2"/>
      </w:pPr>
      <w:r>
        <w:rPr>
          <w:rFonts w:ascii="Times New Roman" w:hAnsi="Times New Roman"/>
        </w:rPr>
        <w:t>2.3 Training Execution and Model Serialization</w:t>
      </w:r>
    </w:p>
    <w:p>
      <w:pPr>
        <w:spacing w:after="120"/>
        <w:jc w:val="both"/>
      </w:pPr>
      <w:r>
        <w:rPr>
          <w:rFonts w:ascii="Times New Roman" w:hAnsi="Times New Roman"/>
          <w:b w:val="0"/>
          <w:sz w:val="24"/>
        </w:rPr>
        <w:t>Model compilation specifies the Adam optimizer, sparse categorical cross-entropy loss function, and accuracy metric. The model.fit method executes training for fifty epochs, receiving the training dataset and validation dataset as arguments. Training history including per-epoch loss and accuracy for both training and validation sets is captured in a history object used for subsequent visualization.</w:t>
      </w:r>
    </w:p>
    <w:p>
      <w:pPr>
        <w:spacing w:after="120"/>
        <w:jc w:val="both"/>
      </w:pPr>
      <w:r>
        <w:rPr>
          <w:rFonts w:ascii="Times New Roman" w:hAnsi="Times New Roman"/>
          <w:b w:val="0"/>
          <w:sz w:val="24"/>
        </w:rPr>
        <w:t>Trained models are serialized in two formats. The primary format is the Keras native format with the .keras extension, recommended for TensorFlow 2.x deployments. Models are also saved in the SavedModel protocol buffer format within numbered directories under the saved_models folder, enabling version management and TensorFlow Serving compatibility. Additionally, selected models undergo TensorFlow Lite conversion for mobile deployment, with both standard and quantization-aware conversion pipelines implemented in dedicated notebooks.</w:t>
      </w:r>
    </w:p>
    <w:p>
      <w:pPr>
        <w:pStyle w:val="Heading1"/>
      </w:pPr>
      <w:r>
        <w:rPr>
          <w:rFonts w:ascii="Times New Roman" w:hAnsi="Times New Roman"/>
        </w:rPr>
        <w:t>3. Backend Inference Service Implementation</w:t>
      </w:r>
    </w:p>
    <w:p>
      <w:pPr>
        <w:pStyle w:val="Heading2"/>
      </w:pPr>
      <w:r>
        <w:rPr>
          <w:rFonts w:ascii="Times New Roman" w:hAnsi="Times New Roman"/>
        </w:rPr>
        <w:t>3.1 FastAPI Application Architecture</w:t>
      </w:r>
    </w:p>
    <w:p>
      <w:pPr>
        <w:spacing w:after="120"/>
        <w:jc w:val="both"/>
      </w:pPr>
      <w:r>
        <w:rPr>
          <w:rFonts w:ascii="Times New Roman" w:hAnsi="Times New Roman"/>
          <w:b w:val="0"/>
          <w:sz w:val="24"/>
        </w:rPr>
        <w:t>The backend service is implemented using the FastAPI framework, selected for its high throughput, automatic OpenAPI documentation generation, and native support for asynchronous request handling. The application is structured in a single module that initializes the model at startup and exposes two endpoints.</w:t>
      </w:r>
    </w:p>
    <w:p>
      <w:pPr>
        <w:spacing w:after="120"/>
        <w:jc w:val="both"/>
      </w:pPr>
      <w:r>
        <w:rPr>
          <w:rFonts w:ascii="Times New Roman" w:hAnsi="Times New Roman"/>
          <w:b w:val="0"/>
          <w:sz w:val="24"/>
        </w:rPr>
        <w:t>Model loading occurs at module initialization time, where the Keras model is loaded from the .keras file into a global variable. This approach amortizes the model loading cost across all subsequent requests, avoiding per-request loading overhead. The model reference variable and class name list are defined at module scope, enabling direct access from endpoint handler functions.</w:t>
      </w:r>
    </w:p>
    <w:p>
      <w:pPr>
        <w:pStyle w:val="Heading2"/>
      </w:pPr>
      <w:r>
        <w:rPr>
          <w:rFonts w:ascii="Times New Roman" w:hAnsi="Times New Roman"/>
        </w:rPr>
        <w:t>3.2 Prediction Endpoint Implementation</w:t>
      </w:r>
    </w:p>
    <w:p>
      <w:pPr>
        <w:spacing w:after="120"/>
        <w:jc w:val="both"/>
      </w:pPr>
      <w:r>
        <w:rPr>
          <w:rFonts w:ascii="Times New Roman" w:hAnsi="Times New Roman"/>
          <w:b w:val="0"/>
          <w:sz w:val="24"/>
        </w:rPr>
        <w:t>The prediction endpoint is registered as a POST handler at the /predict path, accepting multipart form-data with a file field. The handler reads the uploaded image bytes, converts them to a PIL Image object, and transforms the image to a NumPy array. Dimensional expansion using np.expand_dims adds a batch dimension, converting the shape from (height, width, channels) to (1, height, width, channels) as required by the model input specification.</w:t>
      </w:r>
    </w:p>
    <w:p>
      <w:pPr>
        <w:spacing w:after="120"/>
        <w:jc w:val="both"/>
      </w:pPr>
      <w:r>
        <w:rPr>
          <w:rFonts w:ascii="Times New Roman" w:hAnsi="Times New Roman"/>
          <w:b w:val="0"/>
          <w:sz w:val="24"/>
        </w:rPr>
        <w:t>The model.predict method performs forward inference, returning an array of class probabilities. The np.argmax function identifies the index of the maximum probability, which is mapped to the corresponding class name string. The np.max function extracts the confidence value. The endpoint returns a JSON response containing the predicted class string and the confidence score as a floating-point number. Error handling covers file reading failures and model inference exceptions.</w:t>
      </w:r>
    </w:p>
    <w:p>
      <w:pPr>
        <w:pStyle w:val="Heading2"/>
      </w:pPr>
      <w:r>
        <w:rPr>
          <w:rFonts w:ascii="Times New Roman" w:hAnsi="Times New Roman"/>
        </w:rPr>
        <w:t>3.3 TensorFlow Serving Integration</w:t>
      </w:r>
    </w:p>
    <w:p>
      <w:pPr>
        <w:spacing w:after="120"/>
        <w:jc w:val="both"/>
      </w:pPr>
      <w:r>
        <w:rPr>
          <w:rFonts w:ascii="Times New Roman" w:hAnsi="Times New Roman"/>
          <w:b w:val="0"/>
          <w:sz w:val="24"/>
        </w:rPr>
        <w:t>An alternative serving configuration proxies predictions through TensorFlow Serving, a dedicated model serving system designed for production workloads. The implementation maintains the same FastAPI endpoint interface but internally formats the preprocessed image as a JSON payload conforming to the TensorFlow Serving REST API specification. The payload is transmitted via HTTP POST to the TensorFlow Serving instance running on port eight thousand five hundred one. This architecture decouples model management from application logic, enabling independent model updates through TensorFlow Serving version management without redeploying the application server.</w:t>
      </w:r>
    </w:p>
    <w:p>
      <w:pPr>
        <w:pStyle w:val="Heading1"/>
      </w:pPr>
      <w:r>
        <w:rPr>
          <w:rFonts w:ascii="Times New Roman" w:hAnsi="Times New Roman"/>
        </w:rPr>
        <w:t>4. Frontend Implementation</w:t>
      </w:r>
    </w:p>
    <w:p>
      <w:pPr>
        <w:pStyle w:val="Heading2"/>
      </w:pPr>
      <w:r>
        <w:rPr>
          <w:rFonts w:ascii="Times New Roman" w:hAnsi="Times New Roman"/>
        </w:rPr>
        <w:t>4.1 React Web Application</w:t>
      </w:r>
    </w:p>
    <w:p>
      <w:pPr>
        <w:spacing w:after="120"/>
        <w:jc w:val="both"/>
      </w:pPr>
      <w:r>
        <w:rPr>
          <w:rFonts w:ascii="Times New Roman" w:hAnsi="Times New Roman"/>
          <w:b w:val="0"/>
          <w:sz w:val="24"/>
        </w:rPr>
        <w:t>The web frontend is developed as a single-page React application using Material-UI for component styling and layout. The primary interface component manages image upload, preview display, prediction submission, and result presentation within a unified view. Image upload is handled by the material-ui-dropzone DropzoneArea component, which provides drag-and-drop functionality with file type validation and size restrictions.</w:t>
      </w:r>
    </w:p>
    <w:p>
      <w:pPr>
        <w:spacing w:after="120"/>
        <w:jc w:val="both"/>
      </w:pPr>
      <w:r>
        <w:rPr>
          <w:rFonts w:ascii="Times New Roman" w:hAnsi="Times New Roman"/>
          <w:b w:val="0"/>
          <w:sz w:val="24"/>
        </w:rPr>
        <w:t>Upon image selection, the component creates a preview using URL.createObjectURL and dispatches an Axios POST request to the backend prediction endpoint with the image encoded as FormData. A loading indicator using Material-UI CircularProgress component provides visual feedback during the asynchronous prediction request. Upon receiving the response, the predicted disease class and confidence percentage are rendered in a formatted Material-UI Table alongside the uploaded leaf image. A clear button resets the interface state, allowing sequential image analysis without page reload.</w:t>
      </w:r>
    </w:p>
    <w:p>
      <w:pPr>
        <w:pStyle w:val="Heading2"/>
      </w:pPr>
      <w:r>
        <w:rPr>
          <w:rFonts w:ascii="Times New Roman" w:hAnsi="Times New Roman"/>
        </w:rPr>
        <w:t>4.2 React Native Mobile Application</w:t>
      </w:r>
    </w:p>
    <w:p>
      <w:pPr>
        <w:spacing w:after="120"/>
        <w:jc w:val="both"/>
      </w:pPr>
      <w:r>
        <w:rPr>
          <w:rFonts w:ascii="Times New Roman" w:hAnsi="Times New Roman"/>
          <w:b w:val="0"/>
          <w:sz w:val="24"/>
        </w:rPr>
        <w:t>The mobile application is built with React Native targeting both Android and iOS platforms from a shared JavaScript codebase. Two image acquisition pathways are implemented: camera capture using the react-native-image-picker launchCamera function and gallery selection using the launchImageLibrary function. Both functions are configured to capture images at two hundred fifty-six by two hundred fifty-six pixel resolution with maximum quality and base64 encoding for efficient transmission.</w:t>
      </w:r>
    </w:p>
    <w:p>
      <w:pPr>
        <w:spacing w:after="120"/>
        <w:jc w:val="both"/>
      </w:pPr>
      <w:r>
        <w:rPr>
          <w:rFonts w:ascii="Times New Roman" w:hAnsi="Times New Roman"/>
          <w:b w:val="0"/>
          <w:sz w:val="24"/>
        </w:rPr>
        <w:t>Permission management uses the react-native-permissions library, which abstracts platform-specific permission APIs. Camera and storage permissions are requested at runtime following platform guidelines for Android and iOS. The captured image is packaged as multipart FormData and transmitted to the configured backend URL via Axios. The response containing the disease classification and confidence score is displayed alongside the captured image in the application interface. Environment-specific configuration including the backend URL is managed through the react-native-config library, enabling seamless switching between development and production endpoints.</w:t>
      </w:r>
    </w:p>
    <w:p>
      <w:pPr>
        <w:pStyle w:val="Heading1"/>
      </w:pPr>
      <w:r>
        <w:rPr>
          <w:rFonts w:ascii="Times New Roman" w:hAnsi="Times New Roman"/>
        </w:rPr>
        <w:t>5. Cloud Deployment Implementation</w:t>
      </w:r>
    </w:p>
    <w:p>
      <w:pPr>
        <w:spacing w:after="120"/>
        <w:jc w:val="both"/>
      </w:pPr>
      <w:r>
        <w:rPr>
          <w:rFonts w:ascii="Times New Roman" w:hAnsi="Times New Roman"/>
          <w:b w:val="0"/>
          <w:sz w:val="24"/>
        </w:rPr>
        <w:t>The cloud deployment utilizes Google Cloud Platform Cloud Functions to provide a serverless inference endpoint. The implementation packages the prediction logic as an HTTP-triggered Cloud Function deployed with five hundred twelve megabytes of memory allocation. The trained model file is stored in a Google Cloud Storage bucket and downloaded to the function execution environment on first invocation, with the loaded model cached in memory for subsequent requests within the same function instance.</w:t>
      </w:r>
    </w:p>
    <w:p>
      <w:pPr>
        <w:spacing w:after="120"/>
        <w:jc w:val="both"/>
      </w:pPr>
      <w:r>
        <w:rPr>
          <w:rFonts w:ascii="Times New Roman" w:hAnsi="Times New Roman"/>
          <w:b w:val="0"/>
          <w:sz w:val="24"/>
        </w:rPr>
        <w:t>The prediction logic mirrors the FastAPI implementation: incoming images are read, resized to two hundred fifty-six by two hundred fifty-six pixels, normalized, and passed through the loaded model. The function returns a JSON response with the predicted class and confidence. Deployment is automated through the gcloud CLI, enabling reproducible deployments across environments. The serverless architecture provides automatic scaling from zero to meet demand, eliminating the need for infrastructure provisioning and management.</w:t>
      </w:r>
    </w:p>
    <w:p>
      <w:pPr>
        <w:pStyle w:val="Heading1"/>
      </w:pPr>
      <w:r>
        <w:rPr>
          <w:rFonts w:ascii="Times New Roman" w:hAnsi="Times New Roman"/>
        </w:rPr>
        <w:t>6. System Integration and Testing</w:t>
      </w:r>
    </w:p>
    <w:p>
      <w:pPr>
        <w:spacing w:after="120"/>
        <w:jc w:val="both"/>
      </w:pPr>
      <w:r>
        <w:rPr>
          <w:rFonts w:ascii="Times New Roman" w:hAnsi="Times New Roman"/>
          <w:b w:val="0"/>
          <w:sz w:val="24"/>
        </w:rPr>
        <w:t>Cross-Origin Resource Sharing configuration on the FastAPI backend enables the React frontend running on localhost port three thousand to communicate with the API server. The CORS middleware is configured to allow all HTTP methods and headers, ensuring compatibility with Axios request formatting. Integration testing verifies end-to-end prediction flow from image upload through model inference to result display across web and mobile clients.</w:t>
      </w:r>
    </w:p>
    <w:p>
      <w:pPr>
        <w:spacing w:after="120"/>
        <w:jc w:val="both"/>
      </w:pPr>
      <w:r>
        <w:rPr>
          <w:rFonts w:ascii="Times New Roman" w:hAnsi="Times New Roman"/>
          <w:b w:val="0"/>
          <w:sz w:val="24"/>
        </w:rPr>
        <w:t>Test images sourced independently from the internet and stored in the test_images_from_internet directory provide validation data not present in the training distribution. This testing approach evaluates system robustness to variation in image quality, lighting conditions, and composition that differ from the controlled Plant Village dataset conditions.</w:t>
      </w:r>
    </w:p>
    <w:p>
      <w:pPr>
        <w:pStyle w:val="Heading1"/>
      </w:pPr>
      <w:r>
        <w:rPr>
          <w:rFonts w:ascii="Times New Roman" w:hAnsi="Times New Roman"/>
        </w:rPr>
        <w:t>7. Conclusion</w:t>
      </w:r>
    </w:p>
    <w:p>
      <w:pPr>
        <w:spacing w:after="120"/>
        <w:jc w:val="both"/>
      </w:pPr>
      <w:r>
        <w:rPr>
          <w:rFonts w:ascii="Times New Roman" w:hAnsi="Times New Roman"/>
          <w:b w:val="0"/>
          <w:sz w:val="24"/>
        </w:rPr>
        <w:t>This paper documented the implementation details of Crop-Care-AI, covering the complete engineering pathway from CNN model training through multi-platform deployment. The implementation demonstrates that modern frameworks including TensorFlow, FastAPI, React, React Native, and Google Cloud Platform can be composed into a cohesive agricultural technology system with reasonable development effort. Key implementation decisions including model graph preprocessing, dataset pipeline optimization, and serverless deployment provide reusable patterns for similar deep learning applications. The documented system serves as a practical reference for developing end-to-end machine learning solutions that bridge the gap between model research and deployed applications.</w:t>
      </w:r>
    </w:p>
    <w:p>
      <w:pPr>
        <w:pStyle w:val="Heading1"/>
      </w:pPr>
      <w:r>
        <w:rPr>
          <w:rFonts w:ascii="Times New Roman" w:hAnsi="Times New Roman"/>
        </w:rPr>
        <w:t>References</w:t>
      </w:r>
    </w:p>
    <w:p>
      <w:pPr>
        <w:spacing w:after="120"/>
        <w:jc w:val="both"/>
      </w:pPr>
      <w:r>
        <w:rPr>
          <w:rFonts w:ascii="Times New Roman" w:hAnsi="Times New Roman"/>
          <w:b w:val="0"/>
          <w:sz w:val="22"/>
        </w:rPr>
        <w:t>[1] Abadi, M. et al., 2016. TensorFlow: A system for large-scale machine learning. Proceedings of the 12th USENIX Symposium on OSDI, pp.265-283.</w:t>
      </w:r>
    </w:p>
    <w:p>
      <w:pPr>
        <w:spacing w:after="120"/>
        <w:jc w:val="both"/>
      </w:pPr>
      <w:r>
        <w:rPr>
          <w:rFonts w:ascii="Times New Roman" w:hAnsi="Times New Roman"/>
          <w:b w:val="0"/>
          <w:sz w:val="22"/>
        </w:rPr>
        <w:t>[2] Ramírez López, S. 2018. FastAPI framework documentation. Available at: https://fastapi.tiangolo.com</w:t>
      </w:r>
    </w:p>
    <w:p>
      <w:pPr>
        <w:spacing w:after="120"/>
        <w:jc w:val="both"/>
      </w:pPr>
      <w:r>
        <w:rPr>
          <w:rFonts w:ascii="Times New Roman" w:hAnsi="Times New Roman"/>
          <w:b w:val="0"/>
          <w:sz w:val="22"/>
        </w:rPr>
        <w:t>[3] Facebook Inc., 2015. React: A JavaScript library for building user interfaces. Available at: https://reactjs.org</w:t>
      </w:r>
    </w:p>
    <w:p>
      <w:pPr>
        <w:spacing w:after="120"/>
        <w:jc w:val="both"/>
      </w:pPr>
      <w:r>
        <w:rPr>
          <w:rFonts w:ascii="Times New Roman" w:hAnsi="Times New Roman"/>
          <w:b w:val="0"/>
          <w:sz w:val="22"/>
        </w:rPr>
        <w:t>[4] Facebook Inc., 2015. React Native: A framework for building native apps using React. Available at: https://reactnative.dev</w:t>
      </w:r>
    </w:p>
    <w:p>
      <w:pPr>
        <w:spacing w:after="120"/>
        <w:jc w:val="both"/>
      </w:pPr>
      <w:r>
        <w:rPr>
          <w:rFonts w:ascii="Times New Roman" w:hAnsi="Times New Roman"/>
          <w:b w:val="0"/>
          <w:sz w:val="22"/>
        </w:rPr>
        <w:t>[5] Google Cloud, 2020. Cloud Functions documentation. Available at: https://cloud.google.com/functions/docs</w:t>
      </w:r>
    </w:p>
    <w:p>
      <w:pPr>
        <w:spacing w:after="120"/>
        <w:jc w:val="both"/>
      </w:pPr>
      <w:r>
        <w:rPr>
          <w:rFonts w:ascii="Times New Roman" w:hAnsi="Times New Roman"/>
          <w:b w:val="0"/>
          <w:sz w:val="22"/>
        </w:rPr>
        <w:t>[6] Hughes, D. and Salathé, M., 2015. An open access repository of images on plant health to enable the development of mobile disease diagnostics. arXiv:1511.08060.</w:t>
      </w:r>
    </w:p>
    <w:p>
      <w:pPr>
        <w:spacing w:after="120"/>
        <w:jc w:val="both"/>
      </w:pPr>
      <w:r>
        <w:rPr>
          <w:rFonts w:ascii="Times New Roman" w:hAnsi="Times New Roman"/>
          <w:b w:val="0"/>
          <w:sz w:val="22"/>
        </w:rPr>
        <w:t>[7] Chollet, F., 2017. Deep Learning with Python. Manning Publications.</w:t>
      </w:r>
    </w:p>
    <w:p>
      <w:pPr>
        <w:spacing w:after="120"/>
        <w:jc w:val="both"/>
      </w:pPr>
      <w:r>
        <w:rPr>
          <w:rFonts w:ascii="Times New Roman" w:hAnsi="Times New Roman"/>
          <w:b w:val="0"/>
          <w:sz w:val="22"/>
        </w:rPr>
        <w:t>[8] Kingma, D.P. and Ba, J., 2014. Adam: A method for stochastic optimization. arXiv:1412.6980.</w:t>
      </w:r>
    </w:p>
    <w:p>
      <w:pPr>
        <w:spacing w:after="120"/>
        <w:jc w:val="both"/>
      </w:pPr>
      <w:r>
        <w:rPr>
          <w:rFonts w:ascii="Times New Roman" w:hAnsi="Times New Roman"/>
          <w:b w:val="0"/>
          <w:sz w:val="22"/>
        </w:rPr>
        <w:t>[9] LeCun, Y., Bengio, Y. and Hinton, G., 2015. Deep learning. Nature, 521(7553), pp.436-444.</w:t>
      </w:r>
    </w:p>
    <w:p>
      <w:pPr>
        <w:spacing w:after="120"/>
        <w:jc w:val="both"/>
      </w:pPr>
      <w:r>
        <w:rPr>
          <w:rFonts w:ascii="Times New Roman" w:hAnsi="Times New Roman"/>
          <w:b w:val="0"/>
          <w:sz w:val="22"/>
        </w:rPr>
        <w:t>[10] Srivastava, N. et al., 2014. Dropout: A simple way to prevent neural networks from overfitting. JMLR, 15(1), pp.1929-1958.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