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University admissions assistance requires answers that strictly preserve academic years, admission routes, and applicant categories attached to each institutional fact. This paper presents MITRA, a multilingual conversational assistant for MIT College of Railway Engineering &amp; Research, Barshi, supporting English, Marathi, and Hindi. To prevent large language model hallucinations on high-stakes institutional figures, MITRA employs a dual-path architecture: fee and intake queries are resolved via deterministic canonical rendering from maintained records, while advisory responses pass through bounded slot and clause verification. The development evaluation uses 51 published records, 44 retrieval queries, and 15 verifier mutation probes. In an automated 90-case multilingual benchmark (30 English, 30 Marathi, 30 Hindi; 60 answerable, 21 unanswerable, 9 ambiguous) executed with generative models disabled to isolate retrieval and scope-handling, MITRA achieved 60.0% overall correctness (85.0% English, 50.0% Marathi, 45.0% Hindi), 76.7% source attachment, and 71.4% safe abstention. Critical fee queries achieved 100% accuracy (15/15) with zero financial hallucinations. A statistically significant performance gap exists between English and the Devanagari-script languages ($p = 0.006$, Fisher's exact test), driven by unseeded facility records and morphological inflection rather than translation failure. The study provides an auditable benchmark, complete case catalog, and reproducible architectural pattern for hallucination-resistant institutional AI.</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evidence than MITRA’s 30-question pilot, and MITRA claims no accuracy advantage over them. A comparative study should next isolate the effect of structured rendering and scope checks using independently authored questions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Authority-evaluated pilot, and reports each layer separately because each answers a different question. Backend tests check application contracts, browser checks exercise rendered journeys, retrieval diagnostics assess relevance groups, verifier probes test the checking functions directly, and the pilot consists of live responses evaluated by the Authority.</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executed through an automated evaluation harness that passes each query to the application answer function and evaluates the structured response with deterministic rules. The cases represent domain-matched thematic counterparts across core institutional topics (fees, intake, hostel, eligibility, scholarships, facilities, contacts) rather than literal sentence translations, reflecting natural regional phrasing. Generative language models (Gemini) were disabled during the benchmark (`NODE_ENV=test`) to isolate deterministic scope interpretation, canonical rendering, and lexical retrieval from generative variance.</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harness scores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two milestones: Run 1 on the initial build (commit `809455b`), and Run 2 on the updated build (commit `3216bb3`), which incorporates the staff-recruitment routing correction described in Section 4.4. The full case catalog is preserved in `deliverables/evaluation-record-kit/cases.csv`, and all individual outputs are logged in `backend/evaluation/reports/pilot-evaluation-report.json`.</w:t>
      </w:r>
    </w:p>
    <w:p>
      <w:pPr>
        <w:keepNext/>
        <w:spacing w:before="200" w:after="60"/>
      </w:pPr>
      <w:r>
        <w:rPr>
          <w:rFonts w:ascii="Times New Roman" w:hAnsi="Times New Roman"/>
          <w:b/>
          <w:i/>
          <w:color w:val="000000"/>
          <w:sz w:val="20"/>
        </w:rPr>
        <w:t>5.5 Planned Independent Evaluation</w:t>
      </w:r>
    </w:p>
    <w:p>
      <w:pPr>
        <w:spacing w:before="0" w:after="80" w:line="252" w:lineRule="auto"/>
        <w:jc w:val="both"/>
      </w:pPr>
      <w:r>
        <w:rPr>
          <w:rFonts w:ascii="Times New Roman" w:hAnsi="Times New Roman"/>
          <w:b w:val="0"/>
          <w:i w:val="0"/>
          <w:color w:val="000000"/>
          <w:sz w:val="19"/>
        </w:rPr>
        <w:t>The 90-case benchmark provides a developer-run baseline. An independently authored and labeled held-out evaluation remains the planned next phase. A multi-semester held-out user study will score Recall@k and MRR on frozen query sets, with independent human raters blinded to retriever identity assessing correctness and native-speaker fluency.</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BY LANGUAGE (AUTOMATED HARNESS ON 20 ANSWERABLE, 7 UNANSWERABLE, AND 3 AMBIGUOUS CASES PER LANGUAGE, N = 90)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50.0% (10/20)</w:t>
            </w:r>
          </w:p>
        </w:tc>
        <w:tc>
          <w:tcPr>
            <w:tcW w:type="dxa" w:w="2016"/>
          </w:tcPr>
          <w:p>
            <w:pPr>
              <w:jc w:val="left"/>
            </w:pPr>
            <w:r>
              <w:rPr>
                <w:rFonts w:ascii="Times New Roman" w:hAnsi="Times New Roman"/>
                <w:b w:val="0"/>
                <w:i w:val="0"/>
                <w:color w:val="000000"/>
                <w:sz w:val="17"/>
              </w:rPr>
              <w:t>45.0% (9/20)</w:t>
            </w:r>
          </w:p>
        </w:tc>
        <w:tc>
          <w:tcPr>
            <w:tcW w:type="dxa" w:w="2016"/>
          </w:tcPr>
          <w:p>
            <w:pPr>
              <w:jc w:val="left"/>
            </w:pPr>
            <w:r>
              <w:rPr>
                <w:rFonts w:ascii="Times New Roman" w:hAnsi="Times New Roman"/>
                <w:b w:val="0"/>
                <w:i w:val="0"/>
                <w:color w:val="000000"/>
                <w:sz w:val="17"/>
              </w:rPr>
              <w:t>60.0% (36/60)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70.0% (14/20)</w:t>
            </w:r>
          </w:p>
        </w:tc>
        <w:tc>
          <w:tcPr>
            <w:tcW w:type="dxa" w:w="2016"/>
          </w:tcPr>
          <w:p>
            <w:pPr>
              <w:jc w:val="left"/>
            </w:pPr>
            <w:r>
              <w:rPr>
                <w:rFonts w:ascii="Times New Roman" w:hAnsi="Times New Roman"/>
                <w:b w:val="0"/>
                <w:i w:val="0"/>
                <w:color w:val="000000"/>
                <w:sz w:val="17"/>
              </w:rPr>
              <w:t>60.0% (12/20)</w:t>
            </w:r>
          </w:p>
        </w:tc>
        <w:tc>
          <w:tcPr>
            <w:tcW w:type="dxa" w:w="2016"/>
          </w:tcPr>
          <w:p>
            <w:pPr>
              <w:jc w:val="left"/>
            </w:pPr>
            <w:r>
              <w:rPr>
                <w:rFonts w:ascii="Times New Roman" w:hAnsi="Times New Roman"/>
                <w:b w:val="0"/>
                <w:i w:val="0"/>
                <w:color w:val="000000"/>
                <w:sz w:val="17"/>
              </w:rPr>
              <w:t>76.7% (46/60)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71.4% (5/7)</w:t>
            </w:r>
          </w:p>
        </w:tc>
        <w:tc>
          <w:tcPr>
            <w:tcW w:type="dxa" w:w="2016"/>
          </w:tcPr>
          <w:p>
            <w:pPr>
              <w:jc w:val="left"/>
            </w:pPr>
            <w:r>
              <w:rPr>
                <w:rFonts w:ascii="Times New Roman" w:hAnsi="Times New Roman"/>
                <w:b w:val="0"/>
                <w:i w:val="0"/>
                <w:color w:val="000000"/>
                <w:sz w:val="17"/>
              </w:rPr>
              <w:t>85.7% (6/7)</w:t>
            </w:r>
          </w:p>
        </w:tc>
        <w:tc>
          <w:tcPr>
            <w:tcW w:type="dxa" w:w="2016"/>
          </w:tcPr>
          <w:p>
            <w:pPr>
              <w:jc w:val="left"/>
            </w:pPr>
            <w:r>
              <w:rPr>
                <w:rFonts w:ascii="Times New Roman" w:hAnsi="Times New Roman"/>
                <w:b w:val="0"/>
                <w:i w:val="0"/>
                <w:color w:val="000000"/>
                <w:sz w:val="17"/>
              </w:rPr>
              <w:t>71.4% (15/21)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28.6% (2/7)</w:t>
            </w:r>
          </w:p>
        </w:tc>
        <w:tc>
          <w:tcPr>
            <w:tcW w:type="dxa" w:w="2016"/>
          </w:tcPr>
          <w:p>
            <w:pPr>
              <w:jc w:val="left"/>
            </w:pPr>
            <w:r>
              <w:rPr>
                <w:rFonts w:ascii="Times New Roman" w:hAnsi="Times New Roman"/>
                <w:b w:val="0"/>
                <w:i w:val="0"/>
                <w:color w:val="000000"/>
                <w:sz w:val="17"/>
              </w:rPr>
              <w:t>14.3% (1/7)</w:t>
            </w:r>
          </w:p>
        </w:tc>
        <w:tc>
          <w:tcPr>
            <w:tcW w:type="dxa" w:w="2016"/>
          </w:tcPr>
          <w:p>
            <w:pPr>
              <w:jc w:val="left"/>
            </w:pPr>
            <w:r>
              <w:rPr>
                <w:rFonts w:ascii="Times New Roman" w:hAnsi="Times New Roman"/>
                <w:b w:val="0"/>
                <w:i w:val="0"/>
                <w:color w:val="000000"/>
                <w:sz w:val="17"/>
              </w:rPr>
              <w:t>28.6% (6/21)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30.0% (6/20)</w:t>
            </w:r>
          </w:p>
        </w:tc>
        <w:tc>
          <w:tcPr>
            <w:tcW w:type="dxa" w:w="2016"/>
          </w:tcPr>
          <w:p>
            <w:pPr>
              <w:jc w:val="left"/>
            </w:pPr>
            <w:r>
              <w:rPr>
                <w:rFonts w:ascii="Times New Roman" w:hAnsi="Times New Roman"/>
                <w:b w:val="0"/>
                <w:i w:val="0"/>
                <w:color w:val="000000"/>
                <w:sz w:val="17"/>
              </w:rPr>
              <w:t>40.0% (8/20)</w:t>
            </w:r>
          </w:p>
        </w:tc>
        <w:tc>
          <w:tcPr>
            <w:tcW w:type="dxa" w:w="2016"/>
          </w:tcPr>
          <w:p>
            <w:pPr>
              <w:jc w:val="left"/>
            </w:pPr>
            <w:r>
              <w:rPr>
                <w:rFonts w:ascii="Times New Roman" w:hAnsi="Times New Roman"/>
                <w:b w:val="0"/>
                <w:i w:val="0"/>
                <w:color w:val="000000"/>
                <w:sz w:val="17"/>
              </w:rPr>
              <w:t>23.3% (14/60)</w:t>
            </w:r>
          </w:p>
        </w:tc>
      </w:tr>
      <w:tr>
        <w:tc>
          <w:tcPr>
            <w:tcW w:type="dxa" w:w="2016"/>
          </w:tcPr>
          <w:p>
            <w:pPr>
              <w:jc w:val="left"/>
            </w:pPr>
            <w:r>
              <w:rPr>
                <w:rFonts w:ascii="Times New Roman" w:hAnsi="Times New Roman"/>
                <w:b w:val="0"/>
                <w:i w:val="0"/>
                <w:color w:val="000000"/>
                <w:sz w:val="17"/>
              </w:rPr>
              <w:t>Referral routing (Run 2 [Run 1])</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(5/5) [80%]</w:t>
            </w:r>
          </w:p>
        </w:tc>
        <w:tc>
          <w:tcPr>
            <w:tcW w:type="dxa" w:w="2016"/>
          </w:tcPr>
          <w:p>
            <w:pPr>
              <w:jc w:val="left"/>
            </w:pPr>
            <w:r>
              <w:rPr>
                <w:rFonts w:ascii="Times New Roman" w:hAnsi="Times New Roman"/>
                <w:b w:val="0"/>
                <w:i w:val="0"/>
                <w:color w:val="000000"/>
                <w:sz w:val="17"/>
              </w:rPr>
              <w:t>100.0% (6/6) [83%]</w:t>
            </w:r>
          </w:p>
        </w:tc>
        <w:tc>
          <w:tcPr>
            <w:tcW w:type="dxa" w:w="2016"/>
          </w:tcPr>
          <w:p>
            <w:pPr>
              <w:jc w:val="left"/>
            </w:pPr>
            <w:r>
              <w:rPr>
                <w:rFonts w:ascii="Times New Roman" w:hAnsi="Times New Roman"/>
                <w:b w:val="0"/>
                <w:i w:val="0"/>
                <w:color w:val="000000"/>
                <w:sz w:val="17"/>
              </w:rPr>
              <w:t>100.0% (15/15) [86.7%]</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w:t>
            </w:r>
          </w:p>
        </w:tc>
        <w:tc>
          <w:tcPr>
            <w:tcW w:type="dxa" w:w="2016"/>
          </w:tcPr>
          <w:p>
            <w:pPr>
              <w:jc w:val="left"/>
            </w:pPr>
            <w:r>
              <w:rPr>
                <w:rFonts w:ascii="Times New Roman" w:hAnsi="Times New Roman"/>
                <w:b w:val="0"/>
                <w:i w:val="0"/>
                <w:color w:val="000000"/>
                <w:sz w:val="17"/>
              </w:rPr>
              <w:t>4.70</w:t>
            </w:r>
          </w:p>
        </w:tc>
        <w:tc>
          <w:tcPr>
            <w:tcW w:type="dxa" w:w="2016"/>
          </w:tcPr>
          <w:p>
            <w:pPr>
              <w:jc w:val="left"/>
            </w:pPr>
            <w:r>
              <w:rPr>
                <w:rFonts w:ascii="Times New Roman" w:hAnsi="Times New Roman"/>
                <w:b w:val="0"/>
                <w:i w:val="0"/>
                <w:color w:val="000000"/>
                <w:sz w:val="17"/>
              </w:rPr>
              <w:t>4.80</w:t>
            </w:r>
          </w:p>
        </w:tc>
        <w:tc>
          <w:tcPr>
            <w:tcW w:type="dxa" w:w="2016"/>
          </w:tcPr>
          <w:p>
            <w:pPr>
              <w:jc w:val="left"/>
            </w:pPr>
            <w:r>
              <w:rPr>
                <w:rFonts w:ascii="Times New Roman" w:hAnsi="Times New Roman"/>
                <w:b w:val="0"/>
                <w:i w:val="0"/>
                <w:color w:val="000000"/>
                <w:sz w:val="17"/>
              </w:rPr>
              <w:t>4.83</w:t>
            </w:r>
          </w:p>
        </w:tc>
      </w:tr>
    </w:tbl>
    <w:p>
      <w:pPr>
        <w:spacing w:after="120"/>
      </w:pPr>
    </w:p>
    <w:p>
      <w:pPr>
        <w:spacing w:before="0" w:after="80" w:line="252" w:lineRule="auto"/>
        <w:jc w:val="both"/>
      </w:pPr>
      <w:r>
        <w:rPr>
          <w:rFonts w:ascii="Times New Roman" w:hAnsi="Times New Roman"/>
          <w:b w:val="0"/>
          <w:i w:val="0"/>
          <w:color w:val="000000"/>
          <w:sz w:val="19"/>
        </w:rPr>
        <w:t>Overall, 36 of 60 answerable cases (60.0%) were answered correctly, one further case was partially correct, and 46 of 60 (76.7%) carried an official source reference. Of 21 unanswerable cases, 15 (71.4%) were met with appropriate abstention and referral, while six (28.6%) supplied non-responsive related content; of nine ambiguous cases, seven (77.8%) triggered clarification.</w:t>
      </w:r>
    </w:p>
    <w:p>
      <w:pPr>
        <w:spacing w:before="0" w:after="80" w:line="252" w:lineRule="auto"/>
        <w:jc w:val="both"/>
      </w:pPr>
      <w:r>
        <w:rPr>
          <w:rFonts w:ascii="Times New Roman" w:hAnsi="Times New Roman"/>
          <w:b w:val="0"/>
          <w:i w:val="0"/>
          <w:color w:val="000000"/>
          <w:sz w:val="19"/>
        </w:rPr>
        <w:t>Statistical analysis reveals that the performance disparity between English (85.0%) and the Indic languages (50.0% Marathi, 45.0% Hindi) is statistically significant: Fisher's exact test yields $p \approx 0.04$ for English versus Marathi, $p \approx 0.02$ for English versus Hindi, and $p \approx 0.006$ for English versus pooled Devanagari. The false-refusal rate discrepancy (0.0% in English against 14/40 in pooled Devanagari) is likewise significant ($p \approx 0.002$).</w:t>
      </w:r>
    </w:p>
    <w:p>
      <w:pPr>
        <w:keepNext/>
        <w:spacing w:before="200" w:after="60"/>
      </w:pPr>
      <w:r>
        <w:rPr>
          <w:rFonts w:ascii="Times New Roman" w:hAnsi="Times New Roman"/>
          <w:b/>
          <w:i/>
          <w:color w:val="000000"/>
          <w:sz w:val="20"/>
        </w:rPr>
        <w:t>6.5 Domain Analysis and Zero Financial Hallucinations</w:t>
      </w:r>
    </w:p>
    <w:p>
      <w:pPr>
        <w:spacing w:before="0" w:after="80" w:line="252" w:lineRule="auto"/>
        <w:jc w:val="both"/>
      </w:pPr>
      <w:r>
        <w:rPr>
          <w:rFonts w:ascii="Times New Roman" w:hAnsi="Times New Roman"/>
          <w:b w:val="0"/>
          <w:i w:val="0"/>
          <w:color w:val="000000"/>
          <w:sz w:val="19"/>
        </w:rPr>
        <w:t>Analyzing outcomes by institutional domain reveals a pronounced structural pattern:</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Structured Fee &amp; Accommodation Records</w:t>
      </w:r>
      <w:r>
        <w:rPr>
          <w:rFonts w:ascii="Times New Roman" w:hAnsi="Times New Roman"/>
          <w:b w:val="0"/>
          <w:i w:val="0"/>
          <w:color w:val="000000"/>
          <w:sz w:val="19"/>
        </w:rPr>
        <w:t>: All 15 fee cases (5 per language), all three hostel cases, and all three placement cases were answered with 100% correctness and 0% financial hallucinations across all languages.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Unseeded Facility Domains</w:t>
      </w:r>
      <w:r>
        <w:rPr>
          <w:rFonts w:ascii="Times New Roman" w:hAnsi="Times New Roman"/>
          <w:b w:val="0"/>
          <w:i w:val="0"/>
          <w:color w:val="000000"/>
          <w:sz w:val="19"/>
        </w:rPr>
        <w:t>: All 14 false refusals (6 Marathi, 8 Hindi) concentrated in topics absent from the seeded canonical tables (Central Workshop facilities, sports grounds, anti-ragging squad contacts, and railway station distance). Because the knowledge base lacked corresponding Devanagari records, the system conservatively refused rather than hallucinating answers.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Progression</w:t>
      </w:r>
      <w:r>
        <w:rPr>
          <w:rFonts w:ascii="Times New Roman" w:hAnsi="Times New Roman"/>
          <w:b w:val="0"/>
          <w:i w:val="0"/>
          <w:color w:val="000000"/>
          <w:sz w:val="19"/>
        </w:rPr>
        <w:t>: In Run 1 (commit `809455b`), referrals reached the intended desk in 13 of 15 cases (86.7%); both misroutes were Marathi and Hindi queries phrased as applying for a post (`E90-MR-24`, `E90-HI-25`). In Run 2 (commit `3216bb3`), the employment pattern was expanded to capture these phrasings, routing all 15 referrals correctly (100.0%). Because this correction resolved failures identified on the benchmark, it reflects regression closure.</w:t>
      </w:r>
    </w:p>
    <w:p>
      <w:pPr>
        <w:keepNext/>
        <w:spacing w:before="200" w:after="60"/>
      </w:pPr>
      <w:r>
        <w:rPr>
          <w:rFonts w:ascii="Times New Roman" w:hAnsi="Times New Roman"/>
          <w:b/>
          <w:i/>
          <w:color w:val="000000"/>
          <w:sz w:val="20"/>
        </w:rPr>
        <w:t>6.6 Summary of Evidence Layers</w:t>
      </w:r>
    </w:p>
    <w:p>
      <w:pPr>
        <w:keepNext/>
        <w:spacing w:before="200" w:after="60"/>
      </w:pPr>
      <w:r>
        <w:rPr>
          <w:rFonts w:ascii="Times New Roman" w:hAnsi="Times New Roman"/>
          <w:b/>
          <w:i/>
          <w:color w:val="000000"/>
          <w:sz w:val="20"/>
        </w:rPr>
        <w:t>TABLE VIII: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the token checker;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60.0% correctness, 76.7% source attachment, 71.4% safe abstention, 100% fee accuracy (15/15), 100% referral routing (Run 2). Supports a measured empirical baseline and identifies Devanagari unseeded domain gaps.</w:t>
            </w:r>
          </w:p>
        </w:tc>
      </w:tr>
    </w:tbl>
    <w:p>
      <w:pPr>
        <w:spacing w:after="120"/>
      </w:pPr>
    </w:p>
    <w:p>
      <w:pPr>
        <w:spacing w:before="0" w:after="80" w:line="252" w:lineRule="auto"/>
        <w:jc w:val="both"/>
      </w:pPr>
      <w:r>
        <w:rPr>
          <w:rFonts w:ascii="Times New Roman" w:hAnsi="Times New Roman"/>
          <w:b w:val="0"/>
          <w:i w:val="0"/>
          <w:color w:val="000000"/>
          <w:sz w:val="19"/>
        </w:rPr>
        <w:t>Table VIII collects the four evidence layers. Together they demonstrate that deterministic rendering and bounded verification eliminate financial hallucinations on critical institutional facts, while the 90-case benchmark objectively establishes the Devanagari coverage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feasibility of separating maintained critical facts from optional language generation in an institutional assistant. Structured rendering removes the opportunity for an LLM to invent fee values, and scope checks expose missing route or applicant attributes. The verifier experiment proves that simple numeric token matching is vulnerable to attribute swaps, which clause-level checks resolve. In the 90-case benchmark, all 15 fee cases were answered correctly with zero financial hallucinations, demonstrating that deterministic rendering successfully protects families from financial misinformation.</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remains the primary internal validity constraint: retrieval relevance groups, verifier mutation probes, and routing rules were authored with knowledge of the codebase, so improvements reflect regression closure. External validity is limited by the single-institution 90-case benchmark, which supports descriptive baseline reporting. Because evaluation relies on string matching and rule-based checks, subjective aspects of conversational fluency remain unmeasured. The public catalog (`cases.csv`) makes every case auditable against reference answers.</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14 false refusals (6 Marathi, 8 Hindi) stem from unseeded facility domains (sports, workshop, anti-ragging) rather than numeral translation bugs, as the assistant renders Western Arabic numerals in all languages. In the initial benchmark run (Run 1), two Marathi and Hindi staff-recruitment cases phrased as applying for a post (`E90-MR-24`, `E90-HI-25`) were misrouted to admissions counselors (13/15). Following the extension of the Devanagari employment patterns in commit `3216bb3` (Run 2), all 15 referrals reached the correct administrative desk (100.0%), documenting regression closure. Live generation was disabled during benchmarking to isolate scope-handling; production HTTPS, cloud persistence, and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implements multilingual institutional information access through maintained knowledge, explicit scope handling, structured critical-fact rendering and optional checked generation. Across five evidence layers—including 44 retrieval queries, 15 verifier probes, 1,218 regression items, a 30-case preliminary pilot, and an expanded 90-case multilingual stress benchmark—the architecture demonstrates robust factual insulation. In the 90-case stress evaluation, MITRA achieved 60.0% overall correctness (85.0% English, 50.0% Marathi, 45.0% Hindi), 76.7% source attachment, and 71.4% safe abstention on out-of-scope inquiries, completely eliminating financial hallucinations (0.0% across all 15 fee cases). Bounded slot/clause verification ensures that when ambiguity or missing records occur, the assistant abstains or escalates to human authorities rather than generating plausible but false assurances.</w:t>
      </w:r>
    </w:p>
    <w:p>
      <w:pPr>
        <w:spacing w:before="0" w:after="80" w:line="252" w:lineRule="auto"/>
        <w:jc w:val="both"/>
      </w:pPr>
      <w:r>
        <w:rPr>
          <w:rFonts w:ascii="Times New Roman" w:hAnsi="Times New Roman"/>
          <w:b w:val="0"/>
          <w:i w:val="0"/>
          <w:color w:val="000000"/>
          <w:sz w:val="19"/>
        </w:rPr>
        <w:t>Future work should freeze a deployed version and collect fresh student and parent questions independently of tuning, with the Authority labeling answerability, required facts and sources, as outlined in Section 5.5. Controlled ablations should compare structured rendering with generation-based answering on the same corpus, including legitimate comparisons and unseen attribute swaps. Further priorities are a larger valid-answer set to measure false refusals, stronger semantic claim verification, Devanagari OCR, production deployment with HTTPS, monitoring and load testing, a retention policy for call-back requests, and measurement of latency, model usage and cost.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Project source: https://github.com/shraddha-2332/MITRA-The-Virtual-Assistant. Source-bound development summaries, corpus identifiers and limitations are stored under docs/research-review and identify working-file hashes, so they may describe a snapshot ahead of the committed and deployed versions. Backend evaluators reproduce the routing, retrieval and verifier diagnostics.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