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i w:val="0"/>
          <w:color w:val="000000"/>
          <w:sz w:val="36"/>
        </w:rPr>
        <w:t>MITRA: Evidence-Aware Multilingual Conversational AI for Institutional Information Assistance</w:t>
      </w:r>
    </w:p>
    <w:p>
      <w:pPr>
        <w:spacing w:after="80"/>
        <w:jc w:val="center"/>
      </w:pPr>
      <w:r>
        <w:rPr>
          <w:rFonts w:ascii="Times New Roman" w:hAnsi="Times New Roman"/>
          <w:b/>
          <w:i w:val="0"/>
          <w:color w:val="000000"/>
          <w:sz w:val="21"/>
        </w:rPr>
        <w:t>Shraddha Sunil Ukirade¹, Anzalna Ayaz Tamboli², Sayali Santosh Kakade³, Dnyaneshwari Satyavan Vyavahare⁴, Prof. Shobhana Raichurkar⁵</w:t>
        <w:br/>
      </w:r>
      <w:r>
        <w:rPr>
          <w:rFonts w:ascii="Times New Roman" w:hAnsi="Times New Roman"/>
          <w:b w:val="0"/>
          <w:i/>
          <w:color w:val="000000"/>
          <w:sz w:val="18"/>
        </w:rPr>
        <w:t>¹, ², ³, ⁴Department of Computer Science &amp; Engineering, MIT College of Railway Engineering &amp; Research, Barshi, Maharashtra, India</w:t>
        <w:br/>
        <w:t>⁵Assistant Professor, Department of Computer Science &amp; Engineering, MIT College of Railway Engineering &amp; Research, Barshi, Maharashtra, India</w:t>
        <w:br/>
        <w:t>Affiliated to Punyashlok Ahilyadevi Holkar Solapur University (PAHSU), Solapur, Maharashtra, India</w:t>
      </w:r>
    </w:p>
    <w:p>
      <w:pPr>
        <w:spacing w:after="120"/>
      </w:pPr>
    </w:p>
    <w:p>
      <w:pPr>
        <w:keepNext/>
        <w:spacing w:before="200" w:after="60"/>
      </w:pPr>
      <w:r>
        <w:rPr>
          <w:rFonts w:ascii="Times New Roman" w:hAnsi="Times New Roman"/>
          <w:b/>
          <w:i/>
          <w:color w:val="000000"/>
          <w:sz w:val="20"/>
        </w:rPr>
        <w:t>Abstract</w:t>
      </w:r>
    </w:p>
    <w:p>
      <w:pPr>
        <w:spacing w:before="0" w:after="80" w:line="252" w:lineRule="auto"/>
        <w:jc w:val="both"/>
      </w:pPr>
      <w:r>
        <w:rPr>
          <w:rFonts w:ascii="Times New Roman" w:hAnsi="Times New Roman"/>
          <w:b w:val="0"/>
          <w:i w:val="0"/>
          <w:color w:val="000000"/>
          <w:sz w:val="19"/>
        </w:rPr>
        <w:t>University admissions assistance requires answers that preserve the academic year, admission route and applicant attributes attached to each fact. This paper presents MITRA, an assistant for MIT College of Railway Engineering &amp; Research, Barshi, that supports English, Marathi and Hindi through maintained knowledge, structured factual rendering and optional evidence-conditioned generation. A modular architecture separates query interpretation, retrieval, publication control, conversation context and bounded response verification. Critical fee and intake questions are answered from canonical records, and unresolved scope leads to clarification or referral to human assistance. The development evaluation uses 51 published seed records, 44 retrieval questions, 15 verifier probes and API and browser regression checks. The application retriever reaches a group Recall@3 of 1.000 on developer-authored relevance groups. A bounded slot/clause verifier rejects all 11 invalid development probes and accepts all four valid controls, whereas a numeric token checker rejects two of the 11; because the probes guided the fixes, this result documents regression closure rather than held-out accuracy. In a preliminary Authority-evaluated pilot of 30 questions (10 English, 10 Marathi, 10 Hindi), 26 answers (86.67%) were judged correct and four questions were referred to human assistance. To evaluate robustness under complex phrasing, Devanagari morphology, and out-of-scope boundaries, an expanded multilingual benchmark of 90 pre-registered test cases (30 English, 30 Marathi, 30 Hindi; 60 answerable, 21 unanswerable, 9 ambiguous) was executed against the frozen system under a 6-dimension governance rubric. Overall answer correctness reached 60.0% (75.0% English, 55.0% Marathi, 50.0% Hindi), source grounding reached 76.7%, and appropriate abstention on out-of-scope queries reached 71.4%, with zero financial hallucinations across all 90 cases. MITRA contributes an implemented factual-scope workflow with reproducible development evidence. Independent labeling, native-speaker review and broader semantic verification are the planned next evaluation steps.</w:t>
      </w:r>
    </w:p>
    <w:p>
      <w:pPr>
        <w:spacing w:before="0" w:after="80" w:line="252" w:lineRule="auto"/>
        <w:jc w:val="both"/>
      </w:pPr>
      <w:r>
        <w:rPr>
          <w:rFonts w:ascii="Times New Roman" w:hAnsi="Times New Roman"/>
          <w:b w:val="0"/>
          <w:i w:val="0"/>
          <w:color w:val="000000"/>
          <w:sz w:val="19"/>
        </w:rPr>
      </w:r>
      <w:r>
        <w:rPr>
          <w:rFonts w:ascii="Times New Roman" w:hAnsi="Times New Roman"/>
          <w:b/>
          <w:i w:val="0"/>
          <w:color w:val="000000"/>
          <w:sz w:val="19"/>
        </w:rPr>
        <w:t>Index Terms</w:t>
      </w:r>
      <w:r>
        <w:rPr>
          <w:rFonts w:ascii="Times New Roman" w:hAnsi="Times New Roman"/>
          <w:b w:val="0"/>
          <w:i w:val="0"/>
          <w:color w:val="000000"/>
          <w:sz w:val="19"/>
        </w:rPr>
        <w:t>— University admissions, institutional question answering, multilingual assistance, structured knowledge, factual verification, retrieval evaluation.</w:t>
      </w:r>
    </w:p>
    <w:p>
      <w:pPr>
        <w:keepNext/>
        <w:spacing w:before="280" w:after="80"/>
      </w:pPr>
      <w:r>
        <w:rPr>
          <w:rFonts w:ascii="Times New Roman" w:hAnsi="Times New Roman"/>
          <w:b/>
          <w:i w:val="0"/>
          <w:color w:val="000000"/>
          <w:sz w:val="22"/>
        </w:rPr>
        <w:t>I. INTRODUCTION</w:t>
      </w:r>
    </w:p>
    <w:p>
      <w:pPr>
        <w:spacing w:before="0" w:after="80" w:line="252" w:lineRule="auto"/>
        <w:jc w:val="both"/>
      </w:pPr>
      <w:r>
        <w:rPr>
          <w:rFonts w:ascii="Times New Roman" w:hAnsi="Times New Roman"/>
          <w:b w:val="0"/>
          <w:i w:val="0"/>
          <w:color w:val="000000"/>
          <w:sz w:val="19"/>
        </w:rPr>
        <w:t>Applicants and parents must locate information scattered across fee circulars, programme lists, institutional pages and administrative notices. A short question may omit details that change the correct answer: the same category label can carry different charges for first-year and direct second-year entry, and hostel, deposit and mess figures can mislead when attached to the wrong labels. Source relevance and numerical overlap are therefore necessary but not sufficient for a correctly scoped response. General-purpose language models add a further risk, since they can produce fluent statements that no source supports, and a transposed fee or wrong year can affect a family’s financial decisions.</w:t>
      </w:r>
    </w:p>
    <w:p>
      <w:pPr>
        <w:spacing w:before="0" w:after="80" w:line="252" w:lineRule="auto"/>
        <w:jc w:val="both"/>
      </w:pPr>
      <w:r>
        <w:rPr>
          <w:rFonts w:ascii="Times New Roman" w:hAnsi="Times New Roman"/>
          <w:b w:val="0"/>
          <w:i w:val="0"/>
          <w:color w:val="000000"/>
          <w:sz w:val="19"/>
        </w:rPr>
        <w:t>MITRA serves MIT College of Railway Engineering &amp; Research, Barshi. It offers public conversational access and a separate authenticated workflow for knowledge updates, with the aim of making institutional information easier to access. The study examines how maintained records and constrained answer paths preserve selected factual distinctions while ensuring that an LLM is not the source of record for admissions, fee waivers or scholarships. Staff workload and applicant decision quality are not measured in this study.</w:t>
      </w:r>
    </w:p>
    <w:p>
      <w:pPr>
        <w:spacing w:before="0" w:after="80" w:line="252" w:lineRule="auto"/>
        <w:jc w:val="both"/>
      </w:pPr>
      <w:r>
        <w:rPr>
          <w:rFonts w:ascii="Times New Roman" w:hAnsi="Times New Roman"/>
          <w:b w:val="0"/>
          <w:i w:val="0"/>
          <w:color w:val="000000"/>
          <w:sz w:val="19"/>
        </w:rPr>
        <w:t>The contribution is an engineering case study with three components: a maintained knowledge lifecycle, a multilingual scope-sensitive answer workflow, and source-bound development diagnostics for retrieval and selected attribution failures, complemented by a small Authority-evaluated live pilot. The work targets defined institutional cases rather than general hallucination prevention. Its central question is to what extent explicit applicant-scope handling and deterministic rendering of critical institutional facts preserve factual consistency and appropriate abstention in a multilingual assistant. The present evidence addresses feasibility and observed behavior rather than a controlled causal effect. Section II positions the work, Section III describes the knowledge base and architecture, Section IV the answer workflow, Section V the evaluation design, Section VI the results, and Sections VII and VIII the discussion, conclusion and future work.</w:t>
      </w:r>
    </w:p>
    <w:p>
      <w:pPr>
        <w:keepNext/>
        <w:spacing w:before="280" w:after="80"/>
      </w:pPr>
      <w:r>
        <w:rPr>
          <w:rFonts w:ascii="Times New Roman" w:hAnsi="Times New Roman"/>
          <w:b/>
          <w:i w:val="0"/>
          <w:color w:val="000000"/>
          <w:sz w:val="22"/>
        </w:rPr>
        <w:t>II. RELATED WORK AND RESEARCH POSITION</w:t>
      </w:r>
    </w:p>
    <w:p>
      <w:pPr>
        <w:spacing w:before="0" w:after="80" w:line="252" w:lineRule="auto"/>
        <w:jc w:val="both"/>
      </w:pPr>
      <w:r>
        <w:rPr>
          <w:rFonts w:ascii="Times New Roman" w:hAnsi="Times New Roman"/>
          <w:b w:val="0"/>
          <w:i w:val="0"/>
          <w:color w:val="000000"/>
          <w:sz w:val="19"/>
        </w:rPr>
        <w:t>Retrieval-augmented generation (RAG) combines retrieved knowledge with language generation [1]. MITRA applies evidence-conditioned generation as an optional path rather than the jointly trained architecture of that work. BM25 provides an established lexical ranking framework [2]; the comparison here therefore includes raw and normalized BM25 as a lexical experiment, separate from a full RAG benchmark.</w:t>
      </w:r>
    </w:p>
    <w:p>
      <w:pPr>
        <w:spacing w:before="0" w:after="80" w:line="252" w:lineRule="auto"/>
        <w:jc w:val="both"/>
      </w:pPr>
      <w:r>
        <w:rPr>
          <w:rFonts w:ascii="Times New Roman" w:hAnsi="Times New Roman"/>
          <w:b w:val="0"/>
          <w:i w:val="0"/>
          <w:color w:val="000000"/>
          <w:sz w:val="19"/>
        </w:rPr>
        <w:t>Closely related admissions systems exist. URAG places FAQ answering before document-based generation [3], and an IEEE study combines intent filtering with admissions RAG [4]. Because fact retrieval, topic routing and document maintenance are established practices, MITRA’s contribution lies in documenting how selected fee attributes, record availability, follow-up scope and unsupported questions are handled in one maintained implementation.</w:t>
      </w:r>
    </w:p>
    <w:p>
      <w:pPr>
        <w:spacing w:before="0" w:after="80" w:line="252" w:lineRule="auto"/>
        <w:jc w:val="both"/>
      </w:pPr>
      <w:r>
        <w:rPr>
          <w:rFonts w:ascii="Times New Roman" w:hAnsi="Times New Roman"/>
          <w:b w:val="0"/>
          <w:i w:val="0"/>
          <w:color w:val="000000"/>
          <w:sz w:val="19"/>
        </w:rPr>
        <w:t>MARAUS reports a multi-agent admissions application [5], whereas MITRA uses a single backend; this difference is architectural and implies no difference in accuracy. Academic RAG with conversation history is also established [6]. IndicNLPSuite provides Indian-language resources and benchmarks [7]; MITRA uses its own rules and source-bound translations, so those benchmark scores do not transfer, and quality across its three interface languages requires separate evaluation.</w:t>
      </w:r>
    </w:p>
    <w:p>
      <w:pPr>
        <w:spacing w:before="0" w:after="80" w:line="252" w:lineRule="auto"/>
        <w:jc w:val="both"/>
      </w:pPr>
      <w:r>
        <w:rPr>
          <w:rFonts w:ascii="Times New Roman" w:hAnsi="Times New Roman"/>
          <w:b w:val="0"/>
          <w:i w:val="0"/>
          <w:color w:val="000000"/>
          <w:sz w:val="19"/>
        </w:rPr>
        <w:t>RAGAs evaluates generated assertions against context [8], which differs from a numeric token-presence check. MATSA addresses fine-grained table structure attribution [9], and TabFaith studies structural faithfulness in table summarization [10]. MITRA’s mutation probes serve as a small application-specific diagnostic in this area.</w:t>
      </w:r>
    </w:p>
    <w:p>
      <w:pPr>
        <w:spacing w:before="0" w:after="80" w:line="252" w:lineRule="auto"/>
        <w:jc w:val="both"/>
      </w:pPr>
      <w:r>
        <w:rPr>
          <w:rFonts w:ascii="Times New Roman" w:hAnsi="Times New Roman"/>
          <w:b w:val="0"/>
          <w:i w:val="0"/>
          <w:color w:val="000000"/>
          <w:sz w:val="19"/>
        </w:rPr>
        <w:t>Broader background frames the design. Unsupported generation is documented across natural language generation tasks [11], which is why critical values are kept on a deterministic path. BEIR reports BM25 as a robust zero-shot baseline [12], which motivates the lexical comparison in Section V. TyDi QA and XOR QA show the difficulty of cross-lingual and low-resource question answering [13], [14]. Provenance research distinguishes why- and where-provenance [15], supporting the retention of source and academic-year metadata with each record. These sources provide context rather than measured baselines.</w:t>
      </w:r>
    </w:p>
    <w:p>
      <w:pPr>
        <w:spacing w:before="0" w:after="80" w:line="252" w:lineRule="auto"/>
        <w:jc w:val="both"/>
      </w:pPr>
      <w:r>
        <w:rPr>
          <w:rFonts w:ascii="Times New Roman" w:hAnsi="Times New Roman"/>
          <w:b w:val="0"/>
          <w:i w:val="0"/>
          <w:color w:val="000000"/>
          <w:sz w:val="19"/>
        </w:rPr>
        <w:t>Table I relates prior work to the present implementation. No external system was rerun on MITRA’s corpus, so the table implies no performance ranking.</w:t>
      </w:r>
    </w:p>
    <w:p>
      <w:pPr>
        <w:keepNext/>
        <w:spacing w:before="200" w:after="60"/>
      </w:pPr>
      <w:r>
        <w:rPr>
          <w:rFonts w:ascii="Times New Roman" w:hAnsi="Times New Roman"/>
          <w:b/>
          <w:i/>
          <w:color w:val="000000"/>
          <w:sz w:val="20"/>
        </w:rPr>
        <w:t>TABLE I: LITERATURE REVIEW AND THE BOUNDED POSITION OF THIS STUDY</w:t>
      </w:r>
    </w:p>
    <w:tbl>
      <w:tblPr>
        <w:tblW w:type="auto" w:w="0"/>
        <w:jc w:val="center"/>
        <w:tblLook w:firstColumn="1" w:firstRow="1" w:lastColumn="0" w:lastRow="0" w:noHBand="0" w:noVBand="1" w:val="04A0"/>
      </w:tblPr>
      <w:tblGrid>
        <w:gridCol w:w="2520"/>
        <w:gridCol w:w="2520"/>
        <w:gridCol w:w="2520"/>
        <w:gridCol w:w="2520"/>
      </w:tblGrid>
      <w:tr>
        <w:tc>
          <w:tcPr>
            <w:tcW w:type="dxa" w:w="2520"/>
          </w:tcPr>
          <w:p>
            <w:pPr>
              <w:jc w:val="left"/>
            </w:pPr>
            <w:r>
              <w:rPr>
                <w:rFonts w:ascii="Times New Roman" w:hAnsi="Times New Roman"/>
                <w:b/>
                <w:i w:val="0"/>
                <w:color w:val="000000"/>
                <w:sz w:val="17"/>
              </w:rPr>
              <w:t>Ref. / Year</w:t>
            </w:r>
          </w:p>
        </w:tc>
        <w:tc>
          <w:tcPr>
            <w:tcW w:type="dxa" w:w="2520"/>
          </w:tcPr>
          <w:p>
            <w:pPr>
              <w:jc w:val="left"/>
            </w:pPr>
            <w:r>
              <w:rPr>
                <w:rFonts w:ascii="Times New Roman" w:hAnsi="Times New Roman"/>
                <w:b/>
                <w:i w:val="0"/>
                <w:color w:val="000000"/>
                <w:sz w:val="17"/>
              </w:rPr>
              <w:t>Methodology</w:t>
            </w:r>
          </w:p>
        </w:tc>
        <w:tc>
          <w:tcPr>
            <w:tcW w:type="dxa" w:w="2520"/>
          </w:tcPr>
          <w:p>
            <w:pPr>
              <w:jc w:val="left"/>
            </w:pPr>
            <w:r>
              <w:rPr>
                <w:rFonts w:ascii="Times New Roman" w:hAnsi="Times New Roman"/>
                <w:b/>
                <w:i w:val="0"/>
                <w:color w:val="000000"/>
                <w:sz w:val="17"/>
              </w:rPr>
              <w:t>Key finding</w:t>
            </w:r>
          </w:p>
        </w:tc>
        <w:tc>
          <w:tcPr>
            <w:tcW w:type="dxa" w:w="2520"/>
          </w:tcPr>
          <w:p>
            <w:pPr>
              <w:jc w:val="left"/>
            </w:pPr>
            <w:r>
              <w:rPr>
                <w:rFonts w:ascii="Times New Roman" w:hAnsi="Times New Roman"/>
                <w:b/>
                <w:i w:val="0"/>
                <w:color w:val="000000"/>
                <w:sz w:val="17"/>
              </w:rPr>
              <w:t>Limitation relative to this study</w:t>
            </w:r>
          </w:p>
        </w:tc>
      </w:tr>
      <w:tr>
        <w:tc>
          <w:tcPr>
            <w:tcW w:type="dxa" w:w="2520"/>
          </w:tcPr>
          <w:p>
            <w:pPr>
              <w:jc w:val="left"/>
            </w:pPr>
            <w:r>
              <w:rPr>
                <w:rFonts w:ascii="Times New Roman" w:hAnsi="Times New Roman"/>
                <w:b w:val="0"/>
                <w:i w:val="0"/>
                <w:color w:val="000000"/>
                <w:sz w:val="17"/>
              </w:rPr>
              <w:t>[1] 2020</w:t>
            </w:r>
          </w:p>
        </w:tc>
        <w:tc>
          <w:tcPr>
            <w:tcW w:type="dxa" w:w="2520"/>
          </w:tcPr>
          <w:p>
            <w:pPr>
              <w:jc w:val="left"/>
            </w:pPr>
            <w:r>
              <w:rPr>
                <w:rFonts w:ascii="Times New Roman" w:hAnsi="Times New Roman"/>
                <w:b w:val="0"/>
                <w:i w:val="0"/>
                <w:color w:val="000000"/>
                <w:sz w:val="17"/>
              </w:rPr>
              <w:t>Retrieval-augmented generation</w:t>
            </w:r>
          </w:p>
        </w:tc>
        <w:tc>
          <w:tcPr>
            <w:tcW w:type="dxa" w:w="2520"/>
          </w:tcPr>
          <w:p>
            <w:pPr>
              <w:jc w:val="left"/>
            </w:pPr>
            <w:r>
              <w:rPr>
                <w:rFonts w:ascii="Times New Roman" w:hAnsi="Times New Roman"/>
                <w:b w:val="0"/>
                <w:i w:val="0"/>
                <w:color w:val="000000"/>
                <w:sz w:val="17"/>
              </w:rPr>
              <w:t>Retrieved knowledge conditions language generation</w:t>
            </w:r>
          </w:p>
        </w:tc>
        <w:tc>
          <w:tcPr>
            <w:tcW w:type="dxa" w:w="2520"/>
          </w:tcPr>
          <w:p>
            <w:pPr>
              <w:jc w:val="left"/>
            </w:pPr>
            <w:r>
              <w:rPr>
                <w:rFonts w:ascii="Times New Roman" w:hAnsi="Times New Roman"/>
                <w:b w:val="0"/>
                <w:i w:val="0"/>
                <w:color w:val="000000"/>
                <w:sz w:val="17"/>
              </w:rPr>
              <w:t>Jointly trained architecture; MITRA uses optional evidence-conditioned generation</w:t>
            </w:r>
          </w:p>
        </w:tc>
      </w:tr>
      <w:tr>
        <w:tc>
          <w:tcPr>
            <w:tcW w:type="dxa" w:w="2520"/>
          </w:tcPr>
          <w:p>
            <w:pPr>
              <w:jc w:val="left"/>
            </w:pPr>
            <w:r>
              <w:rPr>
                <w:rFonts w:ascii="Times New Roman" w:hAnsi="Times New Roman"/>
                <w:b w:val="0"/>
                <w:i w:val="0"/>
                <w:color w:val="000000"/>
                <w:sz w:val="17"/>
              </w:rPr>
              <w:t>[2] 2009</w:t>
            </w:r>
          </w:p>
        </w:tc>
        <w:tc>
          <w:tcPr>
            <w:tcW w:type="dxa" w:w="2520"/>
          </w:tcPr>
          <w:p>
            <w:pPr>
              <w:jc w:val="left"/>
            </w:pPr>
            <w:r>
              <w:rPr>
                <w:rFonts w:ascii="Times New Roman" w:hAnsi="Times New Roman"/>
                <w:b w:val="0"/>
                <w:i w:val="0"/>
                <w:color w:val="000000"/>
                <w:sz w:val="17"/>
              </w:rPr>
              <w:t>BM25 probabilistic relevance framework</w:t>
            </w:r>
          </w:p>
        </w:tc>
        <w:tc>
          <w:tcPr>
            <w:tcW w:type="dxa" w:w="2520"/>
          </w:tcPr>
          <w:p>
            <w:pPr>
              <w:jc w:val="left"/>
            </w:pPr>
            <w:r>
              <w:rPr>
                <w:rFonts w:ascii="Times New Roman" w:hAnsi="Times New Roman"/>
                <w:b w:val="0"/>
                <w:i w:val="0"/>
                <w:color w:val="000000"/>
                <w:sz w:val="17"/>
              </w:rPr>
              <w:t>Established lexical ranking baseline</w:t>
            </w:r>
          </w:p>
        </w:tc>
        <w:tc>
          <w:tcPr>
            <w:tcW w:type="dxa" w:w="2520"/>
          </w:tcPr>
          <w:p>
            <w:pPr>
              <w:jc w:val="left"/>
            </w:pPr>
            <w:r>
              <w:rPr>
                <w:rFonts w:ascii="Times New Roman" w:hAnsi="Times New Roman"/>
                <w:b w:val="0"/>
                <w:i w:val="0"/>
                <w:color w:val="000000"/>
                <w:sz w:val="17"/>
              </w:rPr>
              <w:t>Lexical ranking only; MITRA adds applicant-scope handling</w:t>
            </w:r>
          </w:p>
        </w:tc>
      </w:tr>
      <w:tr>
        <w:tc>
          <w:tcPr>
            <w:tcW w:type="dxa" w:w="2520"/>
          </w:tcPr>
          <w:p>
            <w:pPr>
              <w:jc w:val="left"/>
            </w:pPr>
            <w:r>
              <w:rPr>
                <w:rFonts w:ascii="Times New Roman" w:hAnsi="Times New Roman"/>
                <w:b w:val="0"/>
                <w:i w:val="0"/>
                <w:color w:val="000000"/>
                <w:sz w:val="17"/>
              </w:rPr>
              <w:t>[3] 2025</w:t>
            </w:r>
          </w:p>
        </w:tc>
        <w:tc>
          <w:tcPr>
            <w:tcW w:type="dxa" w:w="2520"/>
          </w:tcPr>
          <w:p>
            <w:pPr>
              <w:jc w:val="left"/>
            </w:pPr>
            <w:r>
              <w:rPr>
                <w:rFonts w:ascii="Times New Roman" w:hAnsi="Times New Roman"/>
                <w:b w:val="0"/>
                <w:i w:val="0"/>
                <w:color w:val="000000"/>
                <w:sz w:val="17"/>
              </w:rPr>
              <w:t>Hybrid RAG for university admissions</w:t>
            </w:r>
          </w:p>
        </w:tc>
        <w:tc>
          <w:tcPr>
            <w:tcW w:type="dxa" w:w="2520"/>
          </w:tcPr>
          <w:p>
            <w:pPr>
              <w:jc w:val="left"/>
            </w:pPr>
            <w:r>
              <w:rPr>
                <w:rFonts w:ascii="Times New Roman" w:hAnsi="Times New Roman"/>
                <w:b w:val="0"/>
                <w:i w:val="0"/>
                <w:color w:val="000000"/>
                <w:sz w:val="17"/>
              </w:rPr>
              <w:t>FAQ answering placed before document-based generation</w:t>
            </w:r>
          </w:p>
        </w:tc>
        <w:tc>
          <w:tcPr>
            <w:tcW w:type="dxa" w:w="2520"/>
          </w:tcPr>
          <w:p>
            <w:pPr>
              <w:jc w:val="left"/>
            </w:pPr>
            <w:r>
              <w:rPr>
                <w:rFonts w:ascii="Times New Roman" w:hAnsi="Times New Roman"/>
                <w:b w:val="0"/>
                <w:i w:val="0"/>
                <w:color w:val="000000"/>
                <w:sz w:val="17"/>
              </w:rPr>
              <w:t>Different institution and dataset; not rerun on MITRA’s corpus</w:t>
            </w:r>
          </w:p>
        </w:tc>
      </w:tr>
      <w:tr>
        <w:tc>
          <w:tcPr>
            <w:tcW w:type="dxa" w:w="2520"/>
          </w:tcPr>
          <w:p>
            <w:pPr>
              <w:jc w:val="left"/>
            </w:pPr>
            <w:r>
              <w:rPr>
                <w:rFonts w:ascii="Times New Roman" w:hAnsi="Times New Roman"/>
                <w:b w:val="0"/>
                <w:i w:val="0"/>
                <w:color w:val="000000"/>
                <w:sz w:val="17"/>
              </w:rPr>
              <w:t>[4] 2024</w:t>
            </w:r>
          </w:p>
        </w:tc>
        <w:tc>
          <w:tcPr>
            <w:tcW w:type="dxa" w:w="2520"/>
          </w:tcPr>
          <w:p>
            <w:pPr>
              <w:jc w:val="left"/>
            </w:pPr>
            <w:r>
              <w:rPr>
                <w:rFonts w:ascii="Times New Roman" w:hAnsi="Times New Roman"/>
                <w:b w:val="0"/>
                <w:i w:val="0"/>
                <w:color w:val="000000"/>
                <w:sz w:val="17"/>
              </w:rPr>
              <w:t>Intent-filtered admissions RAG</w:t>
            </w:r>
          </w:p>
        </w:tc>
        <w:tc>
          <w:tcPr>
            <w:tcW w:type="dxa" w:w="2520"/>
          </w:tcPr>
          <w:p>
            <w:pPr>
              <w:jc w:val="left"/>
            </w:pPr>
            <w:r>
              <w:rPr>
                <w:rFonts w:ascii="Times New Roman" w:hAnsi="Times New Roman"/>
                <w:b w:val="0"/>
                <w:i w:val="0"/>
                <w:color w:val="000000"/>
                <w:sz w:val="17"/>
              </w:rPr>
              <w:t>Intent filtering combined with admissions RAG</w:t>
            </w:r>
          </w:p>
        </w:tc>
        <w:tc>
          <w:tcPr>
            <w:tcW w:type="dxa" w:w="2520"/>
          </w:tcPr>
          <w:p>
            <w:pPr>
              <w:jc w:val="left"/>
            </w:pPr>
            <w:r>
              <w:rPr>
                <w:rFonts w:ascii="Times New Roman" w:hAnsi="Times New Roman"/>
                <w:b w:val="0"/>
                <w:i w:val="0"/>
                <w:color w:val="000000"/>
                <w:sz w:val="17"/>
              </w:rPr>
              <w:t>Different institution and protocol; not rerun here</w:t>
            </w:r>
          </w:p>
        </w:tc>
      </w:tr>
      <w:tr>
        <w:tc>
          <w:tcPr>
            <w:tcW w:type="dxa" w:w="2520"/>
          </w:tcPr>
          <w:p>
            <w:pPr>
              <w:jc w:val="left"/>
            </w:pPr>
            <w:r>
              <w:rPr>
                <w:rFonts w:ascii="Times New Roman" w:hAnsi="Times New Roman"/>
                <w:b w:val="0"/>
                <w:i w:val="0"/>
                <w:color w:val="000000"/>
                <w:sz w:val="17"/>
              </w:rPr>
              <w:t>[5] 2025</w:t>
            </w:r>
          </w:p>
        </w:tc>
        <w:tc>
          <w:tcPr>
            <w:tcW w:type="dxa" w:w="2520"/>
          </w:tcPr>
          <w:p>
            <w:pPr>
              <w:jc w:val="left"/>
            </w:pPr>
            <w:r>
              <w:rPr>
                <w:rFonts w:ascii="Times New Roman" w:hAnsi="Times New Roman"/>
                <w:b w:val="0"/>
                <w:i w:val="0"/>
                <w:color w:val="000000"/>
                <w:sz w:val="17"/>
              </w:rPr>
              <w:t>Multi-agent admissions application</w:t>
            </w:r>
          </w:p>
        </w:tc>
        <w:tc>
          <w:tcPr>
            <w:tcW w:type="dxa" w:w="2520"/>
          </w:tcPr>
          <w:p>
            <w:pPr>
              <w:jc w:val="left"/>
            </w:pPr>
            <w:r>
              <w:rPr>
                <w:rFonts w:ascii="Times New Roman" w:hAnsi="Times New Roman"/>
                <w:b w:val="0"/>
                <w:i w:val="0"/>
                <w:color w:val="000000"/>
                <w:sz w:val="17"/>
              </w:rPr>
              <w:t>Multi-agent RAG applied to admissions counseling</w:t>
            </w:r>
          </w:p>
        </w:tc>
        <w:tc>
          <w:tcPr>
            <w:tcW w:type="dxa" w:w="2520"/>
          </w:tcPr>
          <w:p>
            <w:pPr>
              <w:jc w:val="left"/>
            </w:pPr>
            <w:r>
              <w:rPr>
                <w:rFonts w:ascii="Times New Roman" w:hAnsi="Times New Roman"/>
                <w:b w:val="0"/>
                <w:i w:val="0"/>
                <w:color w:val="000000"/>
                <w:sz w:val="17"/>
              </w:rPr>
              <w:t>Single-backend MITRA not compared; no ranking inferred</w:t>
            </w:r>
          </w:p>
        </w:tc>
      </w:tr>
      <w:tr>
        <w:tc>
          <w:tcPr>
            <w:tcW w:type="dxa" w:w="2520"/>
          </w:tcPr>
          <w:p>
            <w:pPr>
              <w:jc w:val="left"/>
            </w:pPr>
            <w:r>
              <w:rPr>
                <w:rFonts w:ascii="Times New Roman" w:hAnsi="Times New Roman"/>
                <w:b w:val="0"/>
                <w:i w:val="0"/>
                <w:color w:val="000000"/>
                <w:sz w:val="17"/>
              </w:rPr>
              <w:t>[6] 2024</w:t>
            </w:r>
          </w:p>
        </w:tc>
        <w:tc>
          <w:tcPr>
            <w:tcW w:type="dxa" w:w="2520"/>
          </w:tcPr>
          <w:p>
            <w:pPr>
              <w:jc w:val="left"/>
            </w:pPr>
            <w:r>
              <w:rPr>
                <w:rFonts w:ascii="Times New Roman" w:hAnsi="Times New Roman"/>
                <w:b w:val="0"/>
                <w:i w:val="0"/>
                <w:color w:val="000000"/>
                <w:sz w:val="17"/>
              </w:rPr>
              <w:t>RAG with conversation history</w:t>
            </w:r>
          </w:p>
        </w:tc>
        <w:tc>
          <w:tcPr>
            <w:tcW w:type="dxa" w:w="2520"/>
          </w:tcPr>
          <w:p>
            <w:pPr>
              <w:jc w:val="left"/>
            </w:pPr>
            <w:r>
              <w:rPr>
                <w:rFonts w:ascii="Times New Roman" w:hAnsi="Times New Roman"/>
                <w:b w:val="0"/>
                <w:i w:val="0"/>
                <w:color w:val="000000"/>
                <w:sz w:val="17"/>
              </w:rPr>
              <w:t>Academic RAG that carries conversation history</w:t>
            </w:r>
          </w:p>
        </w:tc>
        <w:tc>
          <w:tcPr>
            <w:tcW w:type="dxa" w:w="2520"/>
          </w:tcPr>
          <w:p>
            <w:pPr>
              <w:jc w:val="left"/>
            </w:pPr>
            <w:r>
              <w:rPr>
                <w:rFonts w:ascii="Times New Roman" w:hAnsi="Times New Roman"/>
                <w:b w:val="0"/>
                <w:i w:val="0"/>
                <w:color w:val="000000"/>
                <w:sz w:val="17"/>
              </w:rPr>
              <w:t>Architectural comparison only; accuracy not compared</w:t>
            </w:r>
          </w:p>
        </w:tc>
      </w:tr>
      <w:tr>
        <w:tc>
          <w:tcPr>
            <w:tcW w:type="dxa" w:w="2520"/>
          </w:tcPr>
          <w:p>
            <w:pPr>
              <w:jc w:val="left"/>
            </w:pPr>
            <w:r>
              <w:rPr>
                <w:rFonts w:ascii="Times New Roman" w:hAnsi="Times New Roman"/>
                <w:b w:val="0"/>
                <w:i w:val="0"/>
                <w:color w:val="000000"/>
                <w:sz w:val="17"/>
              </w:rPr>
              <w:t>[7] 2020</w:t>
            </w:r>
          </w:p>
        </w:tc>
        <w:tc>
          <w:tcPr>
            <w:tcW w:type="dxa" w:w="2520"/>
          </w:tcPr>
          <w:p>
            <w:pPr>
              <w:jc w:val="left"/>
            </w:pPr>
            <w:r>
              <w:rPr>
                <w:rFonts w:ascii="Times New Roman" w:hAnsi="Times New Roman"/>
                <w:b w:val="0"/>
                <w:i w:val="0"/>
                <w:color w:val="000000"/>
                <w:sz w:val="17"/>
              </w:rPr>
              <w:t>Indian-language resources and benchmarks</w:t>
            </w:r>
          </w:p>
        </w:tc>
        <w:tc>
          <w:tcPr>
            <w:tcW w:type="dxa" w:w="2520"/>
          </w:tcPr>
          <w:p>
            <w:pPr>
              <w:jc w:val="left"/>
            </w:pPr>
            <w:r>
              <w:rPr>
                <w:rFonts w:ascii="Times New Roman" w:hAnsi="Times New Roman"/>
                <w:b w:val="0"/>
                <w:i w:val="0"/>
                <w:color w:val="000000"/>
                <w:sz w:val="17"/>
              </w:rPr>
              <w:t>Corpora and benchmarks for Indian languages</w:t>
            </w:r>
          </w:p>
        </w:tc>
        <w:tc>
          <w:tcPr>
            <w:tcW w:type="dxa" w:w="2520"/>
          </w:tcPr>
          <w:p>
            <w:pPr>
              <w:jc w:val="left"/>
            </w:pPr>
            <w:r>
              <w:rPr>
                <w:rFonts w:ascii="Times New Roman" w:hAnsi="Times New Roman"/>
                <w:b w:val="0"/>
                <w:i w:val="0"/>
                <w:color w:val="000000"/>
                <w:sz w:val="17"/>
              </w:rPr>
              <w:t>MITRA uses its own rules and source-bound translations</w:t>
            </w:r>
          </w:p>
        </w:tc>
      </w:tr>
      <w:tr>
        <w:tc>
          <w:tcPr>
            <w:tcW w:type="dxa" w:w="2520"/>
          </w:tcPr>
          <w:p>
            <w:pPr>
              <w:jc w:val="left"/>
            </w:pPr>
            <w:r>
              <w:rPr>
                <w:rFonts w:ascii="Times New Roman" w:hAnsi="Times New Roman"/>
                <w:b w:val="0"/>
                <w:i w:val="0"/>
                <w:color w:val="000000"/>
                <w:sz w:val="17"/>
              </w:rPr>
              <w:t>[8] 2024</w:t>
            </w:r>
          </w:p>
        </w:tc>
        <w:tc>
          <w:tcPr>
            <w:tcW w:type="dxa" w:w="2520"/>
          </w:tcPr>
          <w:p>
            <w:pPr>
              <w:jc w:val="left"/>
            </w:pPr>
            <w:r>
              <w:rPr>
                <w:rFonts w:ascii="Times New Roman" w:hAnsi="Times New Roman"/>
                <w:b w:val="0"/>
                <w:i w:val="0"/>
                <w:color w:val="000000"/>
                <w:sz w:val="17"/>
              </w:rPr>
              <w:t>Assertion-level RAG evaluation</w:t>
            </w:r>
          </w:p>
        </w:tc>
        <w:tc>
          <w:tcPr>
            <w:tcW w:type="dxa" w:w="2520"/>
          </w:tcPr>
          <w:p>
            <w:pPr>
              <w:jc w:val="left"/>
            </w:pPr>
            <w:r>
              <w:rPr>
                <w:rFonts w:ascii="Times New Roman" w:hAnsi="Times New Roman"/>
                <w:b w:val="0"/>
                <w:i w:val="0"/>
                <w:color w:val="000000"/>
                <w:sz w:val="17"/>
              </w:rPr>
              <w:t>Generated assertions checked against context</w:t>
            </w:r>
          </w:p>
        </w:tc>
        <w:tc>
          <w:tcPr>
            <w:tcW w:type="dxa" w:w="2520"/>
          </w:tcPr>
          <w:p>
            <w:pPr>
              <w:jc w:val="left"/>
            </w:pPr>
            <w:r>
              <w:rPr>
                <w:rFonts w:ascii="Times New Roman" w:hAnsi="Times New Roman"/>
                <w:b w:val="0"/>
                <w:i w:val="0"/>
                <w:color w:val="000000"/>
                <w:sz w:val="17"/>
              </w:rPr>
              <w:t>Assertion-level evaluation; differs from MITRA’s numeric and slot checks</w:t>
            </w:r>
          </w:p>
        </w:tc>
      </w:tr>
      <w:tr>
        <w:tc>
          <w:tcPr>
            <w:tcW w:type="dxa" w:w="2520"/>
          </w:tcPr>
          <w:p>
            <w:pPr>
              <w:jc w:val="left"/>
            </w:pPr>
            <w:r>
              <w:rPr>
                <w:rFonts w:ascii="Times New Roman" w:hAnsi="Times New Roman"/>
                <w:b w:val="0"/>
                <w:i w:val="0"/>
                <w:color w:val="000000"/>
                <w:sz w:val="17"/>
              </w:rPr>
              <w:t>[9] 2024</w:t>
            </w:r>
          </w:p>
        </w:tc>
        <w:tc>
          <w:tcPr>
            <w:tcW w:type="dxa" w:w="2520"/>
          </w:tcPr>
          <w:p>
            <w:pPr>
              <w:jc w:val="left"/>
            </w:pPr>
            <w:r>
              <w:rPr>
                <w:rFonts w:ascii="Times New Roman" w:hAnsi="Times New Roman"/>
                <w:b w:val="0"/>
                <w:i w:val="0"/>
                <w:color w:val="000000"/>
                <w:sz w:val="17"/>
              </w:rPr>
              <w:t>Table structure attribution</w:t>
            </w:r>
          </w:p>
        </w:tc>
        <w:tc>
          <w:tcPr>
            <w:tcW w:type="dxa" w:w="2520"/>
          </w:tcPr>
          <w:p>
            <w:pPr>
              <w:jc w:val="left"/>
            </w:pPr>
            <w:r>
              <w:rPr>
                <w:rFonts w:ascii="Times New Roman" w:hAnsi="Times New Roman"/>
                <w:b w:val="0"/>
                <w:i w:val="0"/>
                <w:color w:val="000000"/>
                <w:sz w:val="17"/>
              </w:rPr>
              <w:t>Fine-grained attribution of table structure</w:t>
            </w:r>
          </w:p>
        </w:tc>
        <w:tc>
          <w:tcPr>
            <w:tcW w:type="dxa" w:w="2520"/>
          </w:tcPr>
          <w:p>
            <w:pPr>
              <w:jc w:val="left"/>
            </w:pPr>
            <w:r>
              <w:rPr>
                <w:rFonts w:ascii="Times New Roman" w:hAnsi="Times New Roman"/>
                <w:b w:val="0"/>
                <w:i w:val="0"/>
                <w:color w:val="000000"/>
                <w:sz w:val="17"/>
              </w:rPr>
              <w:t>Table-attribution task, separate from MITRA’s probes</w:t>
            </w:r>
          </w:p>
        </w:tc>
      </w:tr>
      <w:tr>
        <w:tc>
          <w:tcPr>
            <w:tcW w:type="dxa" w:w="2520"/>
          </w:tcPr>
          <w:p>
            <w:pPr>
              <w:jc w:val="left"/>
            </w:pPr>
            <w:r>
              <w:rPr>
                <w:rFonts w:ascii="Times New Roman" w:hAnsi="Times New Roman"/>
                <w:b w:val="0"/>
                <w:i w:val="0"/>
                <w:color w:val="000000"/>
                <w:sz w:val="17"/>
              </w:rPr>
              <w:t>[10] 2026</w:t>
            </w:r>
          </w:p>
        </w:tc>
        <w:tc>
          <w:tcPr>
            <w:tcW w:type="dxa" w:w="2520"/>
          </w:tcPr>
          <w:p>
            <w:pPr>
              <w:jc w:val="left"/>
            </w:pPr>
            <w:r>
              <w:rPr>
                <w:rFonts w:ascii="Times New Roman" w:hAnsi="Times New Roman"/>
                <w:b w:val="0"/>
                <w:i w:val="0"/>
                <w:color w:val="000000"/>
                <w:sz w:val="17"/>
              </w:rPr>
              <w:t>Table-summarization faithfulness</w:t>
            </w:r>
          </w:p>
        </w:tc>
        <w:tc>
          <w:tcPr>
            <w:tcW w:type="dxa" w:w="2520"/>
          </w:tcPr>
          <w:p>
            <w:pPr>
              <w:jc w:val="left"/>
            </w:pPr>
            <w:r>
              <w:rPr>
                <w:rFonts w:ascii="Times New Roman" w:hAnsi="Times New Roman"/>
                <w:b w:val="0"/>
                <w:i w:val="0"/>
                <w:color w:val="000000"/>
                <w:sz w:val="17"/>
              </w:rPr>
              <w:t>Structural faithfulness in table summaries</w:t>
            </w:r>
          </w:p>
        </w:tc>
        <w:tc>
          <w:tcPr>
            <w:tcW w:type="dxa" w:w="2520"/>
          </w:tcPr>
          <w:p>
            <w:pPr>
              <w:jc w:val="left"/>
            </w:pPr>
            <w:r>
              <w:rPr>
                <w:rFonts w:ascii="Times New Roman" w:hAnsi="Times New Roman"/>
                <w:b w:val="0"/>
                <w:i w:val="0"/>
                <w:color w:val="000000"/>
                <w:sz w:val="17"/>
              </w:rPr>
              <w:t>Table-summarization task, separate from MITRA’s probes</w:t>
            </w:r>
          </w:p>
        </w:tc>
      </w:tr>
      <w:tr>
        <w:tc>
          <w:tcPr>
            <w:tcW w:type="dxa" w:w="2520"/>
          </w:tcPr>
          <w:p>
            <w:pPr>
              <w:jc w:val="left"/>
            </w:pPr>
            <w:r>
              <w:rPr>
                <w:rFonts w:ascii="Times New Roman" w:hAnsi="Times New Roman"/>
                <w:b w:val="0"/>
                <w:i w:val="0"/>
                <w:color w:val="000000"/>
                <w:sz w:val="17"/>
              </w:rPr>
              <w:t>[11] 2023</w:t>
            </w:r>
          </w:p>
        </w:tc>
        <w:tc>
          <w:tcPr>
            <w:tcW w:type="dxa" w:w="2520"/>
          </w:tcPr>
          <w:p>
            <w:pPr>
              <w:jc w:val="left"/>
            </w:pPr>
            <w:r>
              <w:rPr>
                <w:rFonts w:ascii="Times New Roman" w:hAnsi="Times New Roman"/>
                <w:b w:val="0"/>
                <w:i w:val="0"/>
                <w:color w:val="000000"/>
                <w:sz w:val="17"/>
              </w:rPr>
              <w:t>Survey of hallucination in NLG</w:t>
            </w:r>
          </w:p>
        </w:tc>
        <w:tc>
          <w:tcPr>
            <w:tcW w:type="dxa" w:w="2520"/>
          </w:tcPr>
          <w:p>
            <w:pPr>
              <w:jc w:val="left"/>
            </w:pPr>
            <w:r>
              <w:rPr>
                <w:rFonts w:ascii="Times New Roman" w:hAnsi="Times New Roman"/>
                <w:b w:val="0"/>
                <w:i w:val="0"/>
                <w:color w:val="000000"/>
                <w:sz w:val="17"/>
              </w:rPr>
              <w:t>Taxonomy of intrinsic and extrinsic unsupported content</w:t>
            </w:r>
          </w:p>
        </w:tc>
        <w:tc>
          <w:tcPr>
            <w:tcW w:type="dxa" w:w="2520"/>
          </w:tcPr>
          <w:p>
            <w:pPr>
              <w:jc w:val="left"/>
            </w:pPr>
            <w:r>
              <w:rPr>
                <w:rFonts w:ascii="Times New Roman" w:hAnsi="Times New Roman"/>
                <w:b w:val="0"/>
                <w:i w:val="0"/>
                <w:color w:val="000000"/>
                <w:sz w:val="17"/>
              </w:rPr>
              <w:t>Survey; no institutional mitigation</w:t>
            </w:r>
          </w:p>
        </w:tc>
      </w:tr>
      <w:tr>
        <w:tc>
          <w:tcPr>
            <w:tcW w:type="dxa" w:w="2520"/>
          </w:tcPr>
          <w:p>
            <w:pPr>
              <w:jc w:val="left"/>
            </w:pPr>
            <w:r>
              <w:rPr>
                <w:rFonts w:ascii="Times New Roman" w:hAnsi="Times New Roman"/>
                <w:b w:val="0"/>
                <w:i w:val="0"/>
                <w:color w:val="000000"/>
                <w:sz w:val="17"/>
              </w:rPr>
              <w:t>[12] 2021</w:t>
            </w:r>
          </w:p>
        </w:tc>
        <w:tc>
          <w:tcPr>
            <w:tcW w:type="dxa" w:w="2520"/>
          </w:tcPr>
          <w:p>
            <w:pPr>
              <w:jc w:val="left"/>
            </w:pPr>
            <w:r>
              <w:rPr>
                <w:rFonts w:ascii="Times New Roman" w:hAnsi="Times New Roman"/>
                <w:b w:val="0"/>
                <w:i w:val="0"/>
                <w:color w:val="000000"/>
                <w:sz w:val="17"/>
              </w:rPr>
              <w:t>BEIR zero-shot retrieval benchmark</w:t>
            </w:r>
          </w:p>
        </w:tc>
        <w:tc>
          <w:tcPr>
            <w:tcW w:type="dxa" w:w="2520"/>
          </w:tcPr>
          <w:p>
            <w:pPr>
              <w:jc w:val="left"/>
            </w:pPr>
            <w:r>
              <w:rPr>
                <w:rFonts w:ascii="Times New Roman" w:hAnsi="Times New Roman"/>
                <w:b w:val="0"/>
                <w:i w:val="0"/>
                <w:color w:val="000000"/>
                <w:sz w:val="17"/>
              </w:rPr>
              <w:t>BM25 is robust across heterogeneous domains</w:t>
            </w:r>
          </w:p>
        </w:tc>
        <w:tc>
          <w:tcPr>
            <w:tcW w:type="dxa" w:w="2520"/>
          </w:tcPr>
          <w:p>
            <w:pPr>
              <w:jc w:val="left"/>
            </w:pPr>
            <w:r>
              <w:rPr>
                <w:rFonts w:ascii="Times New Roman" w:hAnsi="Times New Roman"/>
                <w:b w:val="0"/>
                <w:i w:val="0"/>
                <w:color w:val="000000"/>
                <w:sz w:val="17"/>
              </w:rPr>
              <w:t>Corpora differ from a small institutional corpus</w:t>
            </w:r>
          </w:p>
        </w:tc>
      </w:tr>
      <w:tr>
        <w:tc>
          <w:tcPr>
            <w:tcW w:type="dxa" w:w="2520"/>
          </w:tcPr>
          <w:p>
            <w:pPr>
              <w:jc w:val="left"/>
            </w:pPr>
            <w:r>
              <w:rPr>
                <w:rFonts w:ascii="Times New Roman" w:hAnsi="Times New Roman"/>
                <w:b w:val="0"/>
                <w:i w:val="0"/>
                <w:color w:val="000000"/>
                <w:sz w:val="17"/>
              </w:rPr>
              <w:t>[13], [14] 2020–21</w:t>
            </w:r>
          </w:p>
        </w:tc>
        <w:tc>
          <w:tcPr>
            <w:tcW w:type="dxa" w:w="2520"/>
          </w:tcPr>
          <w:p>
            <w:pPr>
              <w:jc w:val="left"/>
            </w:pPr>
            <w:r>
              <w:rPr>
                <w:rFonts w:ascii="Times New Roman" w:hAnsi="Times New Roman"/>
                <w:b w:val="0"/>
                <w:i w:val="0"/>
                <w:color w:val="000000"/>
                <w:sz w:val="17"/>
              </w:rPr>
              <w:t>TyDi QA; XOR QA</w:t>
            </w:r>
          </w:p>
        </w:tc>
        <w:tc>
          <w:tcPr>
            <w:tcW w:type="dxa" w:w="2520"/>
          </w:tcPr>
          <w:p>
            <w:pPr>
              <w:jc w:val="left"/>
            </w:pPr>
            <w:r>
              <w:rPr>
                <w:rFonts w:ascii="Times New Roman" w:hAnsi="Times New Roman"/>
                <w:b w:val="0"/>
                <w:i w:val="0"/>
                <w:color w:val="000000"/>
                <w:sz w:val="17"/>
              </w:rPr>
              <w:t>Cross-lingual and low-resource QA is difficult</w:t>
            </w:r>
          </w:p>
        </w:tc>
        <w:tc>
          <w:tcPr>
            <w:tcW w:type="dxa" w:w="2520"/>
          </w:tcPr>
          <w:p>
            <w:pPr>
              <w:jc w:val="left"/>
            </w:pPr>
            <w:r>
              <w:rPr>
                <w:rFonts w:ascii="Times New Roman" w:hAnsi="Times New Roman"/>
                <w:b w:val="0"/>
                <w:i w:val="0"/>
                <w:color w:val="000000"/>
                <w:sz w:val="17"/>
              </w:rPr>
              <w:t>General benchmarks; no admissions data</w:t>
            </w:r>
          </w:p>
        </w:tc>
      </w:tr>
      <w:tr>
        <w:tc>
          <w:tcPr>
            <w:tcW w:type="dxa" w:w="2520"/>
          </w:tcPr>
          <w:p>
            <w:pPr>
              <w:jc w:val="left"/>
            </w:pPr>
            <w:r>
              <w:rPr>
                <w:rFonts w:ascii="Times New Roman" w:hAnsi="Times New Roman"/>
                <w:b w:val="0"/>
                <w:i w:val="0"/>
                <w:color w:val="000000"/>
                <w:sz w:val="17"/>
              </w:rPr>
              <w:t>[15] 2001</w:t>
            </w:r>
          </w:p>
        </w:tc>
        <w:tc>
          <w:tcPr>
            <w:tcW w:type="dxa" w:w="2520"/>
          </w:tcPr>
          <w:p>
            <w:pPr>
              <w:jc w:val="left"/>
            </w:pPr>
            <w:r>
              <w:rPr>
                <w:rFonts w:ascii="Times New Roman" w:hAnsi="Times New Roman"/>
                <w:b w:val="0"/>
                <w:i w:val="0"/>
                <w:color w:val="000000"/>
                <w:sz w:val="17"/>
              </w:rPr>
              <w:t>Why- and where-provenance</w:t>
            </w:r>
          </w:p>
        </w:tc>
        <w:tc>
          <w:tcPr>
            <w:tcW w:type="dxa" w:w="2520"/>
          </w:tcPr>
          <w:p>
            <w:pPr>
              <w:jc w:val="left"/>
            </w:pPr>
            <w:r>
              <w:rPr>
                <w:rFonts w:ascii="Times New Roman" w:hAnsi="Times New Roman"/>
                <w:b w:val="0"/>
                <w:i w:val="0"/>
                <w:color w:val="000000"/>
                <w:sz w:val="17"/>
              </w:rPr>
              <w:t>Formal characterization of data provenance</w:t>
            </w:r>
          </w:p>
        </w:tc>
        <w:tc>
          <w:tcPr>
            <w:tcW w:type="dxa" w:w="2520"/>
          </w:tcPr>
          <w:p>
            <w:pPr>
              <w:jc w:val="left"/>
            </w:pPr>
            <w:r>
              <w:rPr>
                <w:rFonts w:ascii="Times New Roman" w:hAnsi="Times New Roman"/>
                <w:b w:val="0"/>
                <w:i w:val="0"/>
                <w:color w:val="000000"/>
                <w:sz w:val="17"/>
              </w:rPr>
              <w:t>Database theory; not a chatbot design</w:t>
            </w:r>
          </w:p>
        </w:tc>
      </w:tr>
      <w:tr>
        <w:tc>
          <w:tcPr>
            <w:tcW w:type="dxa" w:w="2520"/>
          </w:tcPr>
          <w:p>
            <w:pPr>
              <w:jc w:val="left"/>
            </w:pPr>
            <w:r>
              <w:rPr>
                <w:rFonts w:ascii="Times New Roman" w:hAnsi="Times New Roman"/>
                <w:b w:val="0"/>
                <w:i w:val="0"/>
                <w:color w:val="000000"/>
                <w:sz w:val="17"/>
              </w:rPr>
              <w:t>[16] 2024</w:t>
            </w:r>
          </w:p>
        </w:tc>
        <w:tc>
          <w:tcPr>
            <w:tcW w:type="dxa" w:w="2520"/>
          </w:tcPr>
          <w:p>
            <w:pPr>
              <w:jc w:val="left"/>
            </w:pPr>
            <w:r>
              <w:rPr>
                <w:rFonts w:ascii="Times New Roman" w:hAnsi="Times New Roman"/>
                <w:b w:val="0"/>
                <w:i w:val="0"/>
                <w:color w:val="000000"/>
                <w:sz w:val="17"/>
              </w:rPr>
              <w:t>RAG admissions chatbot (GPT-3.5 with LlamaIndex)</w:t>
            </w:r>
          </w:p>
        </w:tc>
        <w:tc>
          <w:tcPr>
            <w:tcW w:type="dxa" w:w="2520"/>
          </w:tcPr>
          <w:p>
            <w:pPr>
              <w:jc w:val="left"/>
            </w:pPr>
            <w:r>
              <w:rPr>
                <w:rFonts w:ascii="Times New Roman" w:hAnsi="Times New Roman"/>
                <w:b w:val="0"/>
                <w:i w:val="0"/>
                <w:color w:val="000000"/>
                <w:sz w:val="17"/>
              </w:rPr>
              <w:t>Applied to admission data from three universities; feedback from 53 high-school students</w:t>
            </w:r>
          </w:p>
        </w:tc>
        <w:tc>
          <w:tcPr>
            <w:tcW w:type="dxa" w:w="2520"/>
          </w:tcPr>
          <w:p>
            <w:pPr>
              <w:jc w:val="left"/>
            </w:pPr>
            <w:r>
              <w:rPr>
                <w:rFonts w:ascii="Times New Roman" w:hAnsi="Times New Roman"/>
                <w:b w:val="0"/>
                <w:i w:val="0"/>
                <w:color w:val="000000"/>
                <w:sz w:val="17"/>
              </w:rPr>
              <w:t>Different institutions and protocol; not rerun on MITRA’s corpus</w:t>
            </w:r>
          </w:p>
        </w:tc>
      </w:tr>
    </w:tbl>
    <w:p>
      <w:pPr>
        <w:spacing w:after="120"/>
      </w:pPr>
    </w:p>
    <w:p>
      <w:pPr>
        <w:spacing w:before="0" w:after="80" w:line="252" w:lineRule="auto"/>
        <w:jc w:val="both"/>
      </w:pPr>
      <w:r>
        <w:rPr>
          <w:rFonts w:ascii="Times New Roman" w:hAnsi="Times New Roman"/>
          <w:b w:val="0"/>
          <w:i w:val="0"/>
          <w:color w:val="000000"/>
          <w:sz w:val="19"/>
        </w:rPr>
        <w:t>MITRA’s research position is deliberately focused: it shows how these concerns interact in a working institutional prototype and makes selected failures reproducible. Admissions studies that evaluate with real users, such as MARAUS [5], which processed over 6,000 user interactions, and Chen et al. [16], who collected feedback from 53 high-school students, rest on broader user evidence than MITRA’s 30-question pilot, and MITRA claims no accuracy advantage over them. A comparative study should next isolate the effect of structured rendering and scope checks using independently authored questions on the same frozen corpus.</w:t>
      </w:r>
    </w:p>
    <w:p>
      <w:pPr>
        <w:keepNext/>
        <w:spacing w:before="280" w:after="80"/>
      </w:pPr>
      <w:r>
        <w:rPr>
          <w:rFonts w:ascii="Times New Roman" w:hAnsi="Times New Roman"/>
          <w:b/>
          <w:i w:val="0"/>
          <w:color w:val="000000"/>
          <w:sz w:val="22"/>
        </w:rPr>
        <w:t>III. INSTITUTIONAL KNOWLEDGE AND SYSTEM ARCHITECTURE</w:t>
      </w:r>
    </w:p>
    <w:p>
      <w:pPr>
        <w:keepNext/>
        <w:spacing w:before="200" w:after="60"/>
      </w:pPr>
      <w:r>
        <w:rPr>
          <w:rFonts w:ascii="Times New Roman" w:hAnsi="Times New Roman"/>
          <w:b/>
          <w:i/>
          <w:color w:val="000000"/>
          <w:sz w:val="20"/>
        </w:rPr>
        <w:t>3.1 Knowledge Representation and Maintenance</w:t>
      </w:r>
    </w:p>
    <w:p>
      <w:pPr>
        <w:spacing w:before="0" w:after="80" w:line="252" w:lineRule="auto"/>
        <w:jc w:val="both"/>
      </w:pPr>
      <w:r>
        <w:rPr>
          <w:rFonts w:ascii="Times New Roman" w:hAnsi="Times New Roman"/>
          <w:b w:val="0"/>
          <w:i w:val="0"/>
          <w:color w:val="000000"/>
          <w:sz w:val="19"/>
        </w:rPr>
        <w:t>The development corpus contains 51 published seed records covering institutional topics. Records may include structured facts, source links, publication status, revision information and validity metadata. The seeded corpus is separate from the maintained live database, and each experiment identifies the snapshot it uses. Structured academic-fee records distinguish entry route and applicant attributes, and accommodation records distinguish hostel, refundable deposit and annual mess amounts. Programme records supply maintained intake values in place of a model-generated programme list.</w:t>
      </w:r>
    </w:p>
    <w:p>
      <w:pPr>
        <w:spacing w:before="0" w:after="80" w:line="252" w:lineRule="auto"/>
        <w:jc w:val="both"/>
      </w:pPr>
      <w:r>
        <w:rPr>
          <w:rFonts w:ascii="Times New Roman" w:hAnsi="Times New Roman"/>
          <w:b w:val="0"/>
          <w:i w:val="0"/>
          <w:color w:val="000000"/>
          <w:sz w:val="19"/>
        </w:rPr>
        <w:t>Source material (PDF, scanned documents, TXT and CSV) is processed with Poppler text extraction and English Tesseract OCR, structured into records with source metadata, academic year and content hashes, reviewed by a maintainer and then published. Because the OCR configuration is English-only, scanned Marathi or Hindi (Devanagari) documents enter the knowledge base through an alternative route.</w:t>
      </w:r>
    </w:p>
    <w:p>
      <w:pPr>
        <w:spacing w:before="0" w:after="80" w:line="252" w:lineRule="auto"/>
        <w:jc w:val="both"/>
      </w:pPr>
      <w:r>
        <w:rPr>
          <w:rFonts w:ascii="Times New Roman" w:hAnsi="Times New Roman"/>
          <w:b w:val="0"/>
          <w:i w:val="0"/>
          <w:color w:val="000000"/>
          <w:sz w:val="19"/>
        </w:rPr>
        <w:t>Knowledge changes pass through authenticated maintenance endpoints. Validation checks record structure and selected numeric and year fields, and revision checks reject stale edits so that two maintainers cannot silently overwrite each other. A record moves from draft to review to published and may later be archived or retired; only published records are eligible for public retrieval (Fig. 1). Retired or conflicting canonical records do not revive an older hardcoded figure. Website monitoring stages detected numerical, academic-year and content changes for maintainer review before any publication. Missing source metadata is recorded as unknown rather than as verified provenance. Content hashes verify file integrity, source metadata identifies origin, and institutional review records approval; none of these alone establishes that the underlying information is correct or current.</w:t>
      </w:r>
    </w:p>
    <w:p>
      <w:pPr>
        <w:spacing w:before="0" w:after="80" w:line="252" w:lineRule="auto"/>
        <w:jc w:val="both"/>
      </w:pPr>
      <w:r>
        <w:rPr>
          <w:rFonts w:ascii="Times New Roman" w:hAnsi="Times New Roman"/>
          <w:b w:val="0"/>
          <w:i w:val="0"/>
          <w:color w:val="000000"/>
          <w:sz w:val="19"/>
        </w:rPr>
        <w:t>Institutional facts were transcribed from approved or signed circulars and internally reviewed by the Authority, as reported by the project team. Three archived fee-table crops were inspected against the maintained amounts; because the crops omit signature blocks, institutional approval is attributed to the team. Source-image hashes preserve the inspected files.</w:t>
      </w:r>
    </w:p>
    <w:p>
      <w:pPr>
        <w:keepNext/>
        <w:spacing w:before="200" w:after="60"/>
      </w:pPr>
      <w:r>
        <w:rPr>
          <w:rFonts w:ascii="Times New Roman" w:hAnsi="Times New Roman"/>
          <w:b/>
          <w:i/>
          <w:color w:val="000000"/>
          <w:sz w:val="20"/>
        </w:rPr>
        <w:t>3.2 Application Boundaries</w:t>
      </w:r>
    </w:p>
    <w:p>
      <w:pPr>
        <w:spacing w:before="0" w:after="80" w:line="252" w:lineRule="auto"/>
        <w:jc w:val="both"/>
      </w:pPr>
      <w:r>
        <w:rPr>
          <w:rFonts w:ascii="Times New Roman" w:hAnsi="Times New Roman"/>
          <w:b w:val="0"/>
          <w:i w:val="0"/>
          <w:color w:val="000000"/>
          <w:sz w:val="19"/>
        </w:rPr>
        <w:t>React provides the browser interface, Node.js implements the HTTP API, and SQLite stores application collections and cached vectors (Table II). A modular monolith keeps public answering, authentication, knowledge maintenance, retrieval and evidence checks in separate modules, and the public and administration APIs are separate entry points that share one SQLite store. This design suits a small single-instance prototype. Optional embedding and generation requests, served by the Google Gemini API [17], are external integrations; deterministic rendering of maintained critical facts does not depend on them.</w:t>
      </w:r>
    </w:p>
    <w:p>
      <w:pPr>
        <w:keepNext/>
        <w:spacing w:before="200" w:after="60"/>
      </w:pPr>
      <w:r>
        <w:rPr>
          <w:rFonts w:ascii="Times New Roman" w:hAnsi="Times New Roman"/>
          <w:b/>
          <w:i/>
          <w:color w:val="000000"/>
          <w:sz w:val="20"/>
        </w:rPr>
        <w:t>TABLE II: IMPLEMENTED TECHNOLOGY STACK</w:t>
      </w:r>
    </w:p>
    <w:tbl>
      <w:tblPr>
        <w:tblW w:type="auto" w:w="0"/>
        <w:jc w:val="center"/>
        <w:tblLook w:firstColumn="1" w:firstRow="1" w:lastColumn="0" w:lastRow="0" w:noHBand="0" w:noVBand="1" w:val="04A0"/>
      </w:tblPr>
      <w:tblGrid>
        <w:gridCol w:w="5040"/>
        <w:gridCol w:w="5040"/>
      </w:tblGrid>
      <w:tr>
        <w:tc>
          <w:tcPr>
            <w:tcW w:type="dxa" w:w="5040"/>
          </w:tcPr>
          <w:p>
            <w:pPr>
              <w:jc w:val="left"/>
            </w:pPr>
            <w:r>
              <w:rPr>
                <w:rFonts w:ascii="Times New Roman" w:hAnsi="Times New Roman"/>
                <w:b/>
                <w:i w:val="0"/>
                <w:color w:val="000000"/>
                <w:sz w:val="17"/>
              </w:rPr>
              <w:t>Component</w:t>
            </w:r>
          </w:p>
        </w:tc>
        <w:tc>
          <w:tcPr>
            <w:tcW w:type="dxa" w:w="5040"/>
          </w:tcPr>
          <w:p>
            <w:pPr>
              <w:jc w:val="left"/>
            </w:pPr>
            <w:r>
              <w:rPr>
                <w:rFonts w:ascii="Times New Roman" w:hAnsi="Times New Roman"/>
                <w:b/>
                <w:i w:val="0"/>
                <w:color w:val="000000"/>
                <w:sz w:val="17"/>
              </w:rPr>
              <w:t>Technology</w:t>
            </w:r>
          </w:p>
        </w:tc>
      </w:tr>
      <w:tr>
        <w:tc>
          <w:tcPr>
            <w:tcW w:type="dxa" w:w="5040"/>
          </w:tcPr>
          <w:p>
            <w:pPr>
              <w:jc w:val="left"/>
            </w:pPr>
            <w:r>
              <w:rPr>
                <w:rFonts w:ascii="Times New Roman" w:hAnsi="Times New Roman"/>
                <w:b w:val="0"/>
                <w:i w:val="0"/>
                <w:color w:val="000000"/>
                <w:sz w:val="17"/>
              </w:rPr>
              <w:t>Frontend</w:t>
            </w:r>
          </w:p>
        </w:tc>
        <w:tc>
          <w:tcPr>
            <w:tcW w:type="dxa" w:w="5040"/>
          </w:tcPr>
          <w:p>
            <w:pPr>
              <w:jc w:val="left"/>
            </w:pPr>
            <w:r>
              <w:rPr>
                <w:rFonts w:ascii="Times New Roman" w:hAnsi="Times New Roman"/>
                <w:b w:val="0"/>
                <w:i w:val="0"/>
                <w:color w:val="000000"/>
                <w:sz w:val="17"/>
              </w:rPr>
              <w:t>React 19, JavaScript/JSX, CSS; Vite 8 build; Lucide React icons</w:t>
            </w:r>
          </w:p>
        </w:tc>
      </w:tr>
      <w:tr>
        <w:tc>
          <w:tcPr>
            <w:tcW w:type="dxa" w:w="5040"/>
          </w:tcPr>
          <w:p>
            <w:pPr>
              <w:jc w:val="left"/>
            </w:pPr>
            <w:r>
              <w:rPr>
                <w:rFonts w:ascii="Times New Roman" w:hAnsi="Times New Roman"/>
                <w:b w:val="0"/>
                <w:i w:val="0"/>
                <w:color w:val="000000"/>
                <w:sz w:val="17"/>
              </w:rPr>
              <w:t>Backend</w:t>
            </w:r>
          </w:p>
        </w:tc>
        <w:tc>
          <w:tcPr>
            <w:tcW w:type="dxa" w:w="5040"/>
          </w:tcPr>
          <w:p>
            <w:pPr>
              <w:jc w:val="left"/>
            </w:pPr>
            <w:r>
              <w:rPr>
                <w:rFonts w:ascii="Times New Roman" w:hAnsi="Times New Roman"/>
                <w:b w:val="0"/>
                <w:i w:val="0"/>
                <w:color w:val="000000"/>
                <w:sz w:val="17"/>
              </w:rPr>
              <w:t>Node.js built-in HTTP module</w:t>
            </w:r>
          </w:p>
        </w:tc>
      </w:tr>
      <w:tr>
        <w:tc>
          <w:tcPr>
            <w:tcW w:type="dxa" w:w="5040"/>
          </w:tcPr>
          <w:p>
            <w:pPr>
              <w:jc w:val="left"/>
            </w:pPr>
            <w:r>
              <w:rPr>
                <w:rFonts w:ascii="Times New Roman" w:hAnsi="Times New Roman"/>
                <w:b w:val="0"/>
                <w:i w:val="0"/>
                <w:color w:val="000000"/>
                <w:sz w:val="17"/>
              </w:rPr>
              <w:t>Database</w:t>
            </w:r>
          </w:p>
        </w:tc>
        <w:tc>
          <w:tcPr>
            <w:tcW w:type="dxa" w:w="5040"/>
          </w:tcPr>
          <w:p>
            <w:pPr>
              <w:jc w:val="left"/>
            </w:pPr>
            <w:r>
              <w:rPr>
                <w:rFonts w:ascii="Times New Roman" w:hAnsi="Times New Roman"/>
                <w:b w:val="0"/>
                <w:i w:val="0"/>
                <w:color w:val="000000"/>
                <w:sz w:val="17"/>
              </w:rPr>
              <w:t>SQLite via node:sqlite (collections and cached vectors)</w:t>
            </w:r>
          </w:p>
        </w:tc>
      </w:tr>
      <w:tr>
        <w:tc>
          <w:tcPr>
            <w:tcW w:type="dxa" w:w="5040"/>
          </w:tcPr>
          <w:p>
            <w:pPr>
              <w:jc w:val="left"/>
            </w:pPr>
            <w:r>
              <w:rPr>
                <w:rFonts w:ascii="Times New Roman" w:hAnsi="Times New Roman"/>
                <w:b w:val="0"/>
                <w:i w:val="0"/>
                <w:color w:val="000000"/>
                <w:sz w:val="17"/>
              </w:rPr>
              <w:t>Retrieval</w:t>
            </w:r>
          </w:p>
        </w:tc>
        <w:tc>
          <w:tcPr>
            <w:tcW w:type="dxa" w:w="5040"/>
          </w:tcPr>
          <w:p>
            <w:pPr>
              <w:jc w:val="left"/>
            </w:pPr>
            <w:r>
              <w:rPr>
                <w:rFonts w:ascii="Times New Roman" w:hAnsi="Times New Roman"/>
                <w:b w:val="0"/>
                <w:i w:val="0"/>
                <w:color w:val="000000"/>
                <w:sz w:val="17"/>
              </w:rPr>
              <w:t>Weighted keyword/rule retrieval with conceptual synonym scoring; optional Gemini embeddings</w:t>
            </w:r>
          </w:p>
        </w:tc>
      </w:tr>
      <w:tr>
        <w:tc>
          <w:tcPr>
            <w:tcW w:type="dxa" w:w="5040"/>
          </w:tcPr>
          <w:p>
            <w:pPr>
              <w:jc w:val="left"/>
            </w:pPr>
            <w:r>
              <w:rPr>
                <w:rFonts w:ascii="Times New Roman" w:hAnsi="Times New Roman"/>
                <w:b w:val="0"/>
                <w:i w:val="0"/>
                <w:color w:val="000000"/>
                <w:sz w:val="17"/>
              </w:rPr>
              <w:t>Query interpretation</w:t>
            </w:r>
          </w:p>
        </w:tc>
        <w:tc>
          <w:tcPr>
            <w:tcW w:type="dxa" w:w="5040"/>
          </w:tcPr>
          <w:p>
            <w:pPr>
              <w:jc w:val="left"/>
            </w:pPr>
            <w:r>
              <w:rPr>
                <w:rFonts w:ascii="Times New Roman" w:hAnsi="Times New Roman"/>
                <w:b w:val="0"/>
                <w:i w:val="0"/>
                <w:color w:val="000000"/>
                <w:sz w:val="17"/>
              </w:rPr>
              <w:t>Dependency-free bounded rule-based parser</w:t>
            </w:r>
          </w:p>
        </w:tc>
      </w:tr>
      <w:tr>
        <w:tc>
          <w:tcPr>
            <w:tcW w:type="dxa" w:w="5040"/>
          </w:tcPr>
          <w:p>
            <w:pPr>
              <w:jc w:val="left"/>
            </w:pPr>
            <w:r>
              <w:rPr>
                <w:rFonts w:ascii="Times New Roman" w:hAnsi="Times New Roman"/>
                <w:b w:val="0"/>
                <w:i w:val="0"/>
                <w:color w:val="000000"/>
                <w:sz w:val="17"/>
              </w:rPr>
              <w:t>Optional generation</w:t>
            </w:r>
          </w:p>
        </w:tc>
        <w:tc>
          <w:tcPr>
            <w:tcW w:type="dxa" w:w="5040"/>
          </w:tcPr>
          <w:p>
            <w:pPr>
              <w:jc w:val="left"/>
            </w:pPr>
            <w:r>
              <w:rPr>
                <w:rFonts w:ascii="Times New Roman" w:hAnsi="Times New Roman"/>
                <w:b w:val="0"/>
                <w:i w:val="0"/>
                <w:color w:val="000000"/>
                <w:sz w:val="17"/>
              </w:rPr>
              <w:t>Google Gemini API</w:t>
            </w:r>
          </w:p>
        </w:tc>
      </w:tr>
      <w:tr>
        <w:tc>
          <w:tcPr>
            <w:tcW w:type="dxa" w:w="5040"/>
          </w:tcPr>
          <w:p>
            <w:pPr>
              <w:jc w:val="left"/>
            </w:pPr>
            <w:r>
              <w:rPr>
                <w:rFonts w:ascii="Times New Roman" w:hAnsi="Times New Roman"/>
                <w:b w:val="0"/>
                <w:i w:val="0"/>
                <w:color w:val="000000"/>
                <w:sz w:val="17"/>
              </w:rPr>
              <w:t>Source processing</w:t>
            </w:r>
          </w:p>
        </w:tc>
        <w:tc>
          <w:tcPr>
            <w:tcW w:type="dxa" w:w="5040"/>
          </w:tcPr>
          <w:p>
            <w:pPr>
              <w:jc w:val="left"/>
            </w:pPr>
            <w:r>
              <w:rPr>
                <w:rFonts w:ascii="Times New Roman" w:hAnsi="Times New Roman"/>
                <w:b w:val="0"/>
                <w:i w:val="0"/>
                <w:color w:val="000000"/>
                <w:sz w:val="17"/>
              </w:rPr>
              <w:t>Poppler PDF extraction, English Tesseract OCR, TXT/CSV</w:t>
            </w:r>
          </w:p>
        </w:tc>
      </w:tr>
      <w:tr>
        <w:tc>
          <w:tcPr>
            <w:tcW w:type="dxa" w:w="5040"/>
          </w:tcPr>
          <w:p>
            <w:pPr>
              <w:jc w:val="left"/>
            </w:pPr>
            <w:r>
              <w:rPr>
                <w:rFonts w:ascii="Times New Roman" w:hAnsi="Times New Roman"/>
                <w:b w:val="0"/>
                <w:i w:val="0"/>
                <w:color w:val="000000"/>
                <w:sz w:val="17"/>
              </w:rPr>
              <w:t>Testing</w:t>
            </w:r>
          </w:p>
        </w:tc>
        <w:tc>
          <w:tcPr>
            <w:tcW w:type="dxa" w:w="5040"/>
          </w:tcPr>
          <w:p>
            <w:pPr>
              <w:jc w:val="left"/>
            </w:pPr>
            <w:r>
              <w:rPr>
                <w:rFonts w:ascii="Times New Roman" w:hAnsi="Times New Roman"/>
                <w:b w:val="0"/>
                <w:i w:val="0"/>
                <w:color w:val="000000"/>
                <w:sz w:val="17"/>
              </w:rPr>
              <w:t>Node.js test runner; Playwright Core (Chrome/Edge)</w:t>
            </w:r>
          </w:p>
        </w:tc>
      </w:tr>
      <w:tr>
        <w:tc>
          <w:tcPr>
            <w:tcW w:type="dxa" w:w="5040"/>
          </w:tcPr>
          <w:p>
            <w:pPr>
              <w:jc w:val="left"/>
            </w:pPr>
            <w:r>
              <w:rPr>
                <w:rFonts w:ascii="Times New Roman" w:hAnsi="Times New Roman"/>
                <w:b w:val="0"/>
                <w:i w:val="0"/>
                <w:color w:val="000000"/>
                <w:sz w:val="17"/>
              </w:rPr>
              <w:t>Deployment files</w:t>
            </w:r>
          </w:p>
        </w:tc>
        <w:tc>
          <w:tcPr>
            <w:tcW w:type="dxa" w:w="5040"/>
          </w:tcPr>
          <w:p>
            <w:pPr>
              <w:jc w:val="left"/>
            </w:pPr>
            <w:r>
              <w:rPr>
                <w:rFonts w:ascii="Times New Roman" w:hAnsi="Times New Roman"/>
                <w:b w:val="0"/>
                <w:i w:val="0"/>
                <w:color w:val="000000"/>
                <w:sz w:val="17"/>
              </w:rPr>
              <w:t>Docker Compose and Nginx (not production-verified)</w:t>
            </w:r>
          </w:p>
        </w:tc>
      </w:tr>
    </w:tbl>
    <w:p>
      <w:pPr>
        <w:spacing w:after="120"/>
      </w:pPr>
    </w:p>
    <w:p>
      <w:pPr>
        <w:spacing w:before="0" w:after="80" w:line="252" w:lineRule="auto"/>
        <w:jc w:val="both"/>
      </w:pPr>
      <w:r>
        <w:rPr>
          <w:rFonts w:ascii="Times New Roman" w:hAnsi="Times New Roman"/>
          <w:b w:val="0"/>
          <w:i w:val="0"/>
          <w:color w:val="000000"/>
          <w:sz w:val="19"/>
        </w:rPr>
        <w:t>The browser sends a question and conversation reference through the public API (Fig. 2). The backend validates the input, resolves selected context and determines the answer path. An authenticated maintainer updates the knowledge store through a separate boundary. Public retrieval excludes unavailable records, and source links allow inspection of the underlying record. The final response is an answer, a clarification, an unavailable-information response or a referral to human assistance.</w:t>
      </w:r>
    </w:p>
    <w:p>
      <w:pPr>
        <w:keepNext/>
        <w:spacing w:before="200" w:after="60"/>
      </w:pPr>
      <w:r>
        <w:rPr>
          <w:rFonts w:ascii="Times New Roman" w:hAnsi="Times New Roman"/>
          <w:b/>
          <w:i/>
          <w:color w:val="000000"/>
          <w:sz w:val="20"/>
        </w:rPr>
        <w:t>3.3 Conversation Ownership</w:t>
      </w:r>
    </w:p>
    <w:p>
      <w:pPr>
        <w:spacing w:before="0" w:after="80" w:line="252" w:lineRule="auto"/>
        <w:jc w:val="both"/>
      </w:pPr>
      <w:r>
        <w:rPr>
          <w:rFonts w:ascii="Times New Roman" w:hAnsi="Times New Roman"/>
          <w:b w:val="0"/>
          <w:i w:val="0"/>
          <w:color w:val="000000"/>
          <w:sz w:val="19"/>
        </w:rPr>
        <w:t>Public history is bound to a random HttpOnly session cookie with bounded exchanges and a 30-minute idle expiry. Reset deletes the active server history, startup and periodic pruning remove expired histories, and cross-session continuation is rejected. Admission approval is not inferred from conversational history. An institution-approved retention policy and production monitoring remain operational requirements.</w:t>
      </w:r>
    </w:p>
    <w:p>
      <w:pPr>
        <w:keepNext/>
        <w:spacing w:before="280" w:after="80"/>
      </w:pPr>
      <w:r>
        <w:rPr>
          <w:rFonts w:ascii="Times New Roman" w:hAnsi="Times New Roman"/>
          <w:b/>
          <w:i w:val="0"/>
          <w:color w:val="000000"/>
          <w:sz w:val="22"/>
        </w:rPr>
        <w:t>IV. SCOPE PRESERVATION AND ANSWER VERIFICATION</w:t>
      </w:r>
    </w:p>
    <w:p>
      <w:pPr>
        <w:keepNext/>
        <w:spacing w:before="200" w:after="60"/>
      </w:pPr>
      <w:r>
        <w:rPr>
          <w:rFonts w:ascii="Times New Roman" w:hAnsi="Times New Roman"/>
          <w:b/>
          <w:i/>
          <w:color w:val="000000"/>
          <w:sz w:val="20"/>
        </w:rPr>
        <w:t>4.1 Query Interpretation and Retrieval</w:t>
      </w:r>
    </w:p>
    <w:p>
      <w:pPr>
        <w:spacing w:before="0" w:after="80" w:line="252" w:lineRule="auto"/>
        <w:jc w:val="both"/>
      </w:pPr>
      <w:r>
        <w:rPr>
          <w:rFonts w:ascii="Times New Roman" w:hAnsi="Times New Roman"/>
          <w:b w:val="0"/>
          <w:i w:val="0"/>
          <w:color w:val="000000"/>
          <w:sz w:val="19"/>
        </w:rPr>
        <w:t>The backend normalizes selected English, Marathi, Hindi and transliterated expressions. A bounded parser extracts topics, programmes, entry route, academic year, category, gender and requested service; these are application-specific interpretations rather than unrestricted semantic understanding. Academic year and year of entry are kept separate, so “second year” is not converted automatically into a fee-circular year. Negated or conflicting profile values receive explicit handling instead of accumulating into an increasingly certain applicant profile.</w:t>
      </w:r>
    </w:p>
    <w:p>
      <w:pPr>
        <w:spacing w:before="0" w:after="80" w:line="252" w:lineRule="auto"/>
        <w:jc w:val="both"/>
      </w:pPr>
      <w:r>
        <w:rPr>
          <w:rFonts w:ascii="Times New Roman" w:hAnsi="Times New Roman"/>
          <w:b w:val="0"/>
          <w:i w:val="0"/>
          <w:color w:val="000000"/>
          <w:sz w:val="19"/>
        </w:rPr>
        <w:t>The application retriever combines weighted lexical/rule scores with conceptual synonym boosts. Optional configured embeddings can contribute semantic similarity for English retrieval; their impact is outside the reported lexical comparison. Records carry publication and availability constraints. A high retrieval score does not by itself establish answerability: the selected record must also contain a supported value for the requested scope.</w:t>
      </w:r>
    </w:p>
    <w:p>
      <w:pPr>
        <w:keepNext/>
        <w:spacing w:before="200" w:after="60"/>
      </w:pPr>
      <w:r>
        <w:rPr>
          <w:rFonts w:ascii="Times New Roman" w:hAnsi="Times New Roman"/>
          <w:b/>
          <w:i/>
          <w:color w:val="000000"/>
          <w:sz w:val="20"/>
        </w:rPr>
        <w:t>4.2 Structured Answer Selection</w:t>
      </w:r>
    </w:p>
    <w:p>
      <w:pPr>
        <w:spacing w:before="0" w:after="80" w:line="252" w:lineRule="auto"/>
        <w:jc w:val="both"/>
      </w:pPr>
      <w:r>
        <w:rPr>
          <w:rFonts w:ascii="Times New Roman" w:hAnsi="Times New Roman"/>
          <w:b w:val="0"/>
          <w:i w:val="0"/>
          <w:color w:val="000000"/>
          <w:sz w:val="19"/>
        </w:rPr>
        <w:t>Let $s$ denote the interpreted scope (topic, route, academic year, category, gender and service) and $K$ the eligible published corpus. The answer path first checks whether the required scope fields and canonical facts are available. For selected critical topics, the response is rendered from those facts. Deterministic rendering suits these values because a single transposed digit or wrong year can mislead a family, canonical records can be audited and corrected in one place, and identical questions yield identical answers. When essential information is missing, the system asks for clarification or reports insufficient evidence instead of requesting a replacement amount from the model.</w:t>
      </w:r>
    </w:p>
    <w:p>
      <w:pPr>
        <w:spacing w:before="0" w:after="80" w:line="252" w:lineRule="auto"/>
        <w:jc w:val="both"/>
      </w:pPr>
      <w:r>
        <w:rPr>
          <w:rFonts w:ascii="Times New Roman" w:hAnsi="Times New Roman"/>
          <w:b w:val="0"/>
          <w:i w:val="0"/>
          <w:color w:val="000000"/>
          <w:sz w:val="19"/>
        </w:rPr>
        <w:t>Follow-up handling preserves explicit user wording while carrying selected prior scope: a question about direct second-year charges replaces a preceding first-year route, and a new hostel question remains free of unrelated fee-topic text. These behaviors are tested; other dialogues and mixed-language expressions are left for further examination.</w:t>
      </w:r>
    </w:p>
    <w:p>
      <w:pPr>
        <w:keepNext/>
        <w:spacing w:before="200" w:after="60"/>
      </w:pPr>
      <w:r>
        <w:rPr>
          <w:rFonts w:ascii="Times New Roman" w:hAnsi="Times New Roman"/>
          <w:b/>
          <w:i/>
          <w:color w:val="000000"/>
          <w:sz w:val="20"/>
        </w:rPr>
        <w:t>4.3 Optional Generation and Bounded Verification</w:t>
      </w:r>
    </w:p>
    <w:p>
      <w:pPr>
        <w:spacing w:before="0" w:after="80" w:line="252" w:lineRule="auto"/>
        <w:jc w:val="both"/>
      </w:pPr>
      <w:r>
        <w:rPr>
          <w:rFonts w:ascii="Times New Roman" w:hAnsi="Times New Roman"/>
          <w:b w:val="0"/>
          <w:i w:val="0"/>
          <w:color w:val="000000"/>
          <w:sz w:val="19"/>
        </w:rPr>
        <w:t>Optional advisory generation receives bounded evidence. In the implementation, generation and embedding retrieval run only for English queries. Marathi and Hindi answers come from deterministic rendering and source-bound translations, which are bound to content hashes: when the underlying content changes, the translation becomes stale and the system falls back to English with an explicit notice. The client uses a finite overall deadline, transient-error retries and an optional configured fallback model. A returned draft is treated as untrusted until verified. Numeric checks reject selected unsupported values, promise checks reject unsupported guarantees of admission, placement or scholarship, and citation checks constrain supplied references. Specialized slot and clause checks compare selected fee, service and programme claims with structured evidence and reject certain unresolved or contradictory bindings.</w:t>
      </w:r>
    </w:p>
    <w:p>
      <w:pPr>
        <w:spacing w:before="0" w:after="80" w:line="252" w:lineRule="auto"/>
        <w:jc w:val="both"/>
      </w:pPr>
      <w:r>
        <w:rPr>
          <w:rFonts w:ascii="Times New Roman" w:hAnsi="Times New Roman"/>
          <w:b w:val="0"/>
          <w:i w:val="0"/>
          <w:color w:val="000000"/>
          <w:sz w:val="19"/>
        </w:rPr>
        <w:t>Consider a document containing both a hostel amount $H$ and a mess amount $M$. A token checker can accept “hostel costs $M$; mess costs $H$” because both values appear in the source. MITRA’s bounded English clause checks associate each amount with its local service label, which closes the exposed swap probes. Full semantic entailment, including unfamiliar grammar, implicit comparison, coreference and novel cross-language generated prose, is outside the demonstrated coverage.</w:t>
      </w:r>
    </w:p>
    <w:p>
      <w:pPr>
        <w:spacing w:before="0" w:after="80" w:line="252" w:lineRule="auto"/>
        <w:jc w:val="both"/>
      </w:pPr>
      <w:r>
        <w:rPr>
          <w:rFonts w:ascii="Times New Roman" w:hAnsi="Times New Roman"/>
          <w:b w:val="0"/>
          <w:i w:val="0"/>
          <w:color w:val="000000"/>
          <w:sz w:val="19"/>
        </w:rPr>
        <w:t>The decision order is: validate input, interpret scope, retrieve eligible evidence, clarify unresolved critical scope, render canonical facts when applicable, otherwise attempt bounded advisory generation, verify any draft, and fall back to supported content or an unavailable-information response. This sequence describes the implementation.</w:t>
      </w:r>
    </w:p>
    <w:p>
      <w:pPr>
        <w:keepNext/>
        <w:spacing w:before="200" w:after="60"/>
      </w:pPr>
      <w:r>
        <w:rPr>
          <w:rFonts w:ascii="Times New Roman" w:hAnsi="Times New Roman"/>
          <w:b/>
          <w:i/>
          <w:color w:val="000000"/>
          <w:sz w:val="20"/>
        </w:rPr>
        <w:t>4.4 Safety Behavior, Human Escalation and Interface</w:t>
      </w:r>
    </w:p>
    <w:p>
      <w:pPr>
        <w:spacing w:before="0" w:after="80" w:line="252" w:lineRule="auto"/>
        <w:jc w:val="both"/>
      </w:pPr>
      <w:r>
        <w:rPr>
          <w:rFonts w:ascii="Times New Roman" w:hAnsi="Times New Roman"/>
          <w:b w:val="0"/>
          <w:i w:val="0"/>
          <w:color w:val="000000"/>
          <w:sz w:val="19"/>
        </w:rPr>
        <w:t>Table III maps each situation to the designed response. When the published records lack the requested information, the assistant states no value and refers the user to human assistance through an admissions-counsellor contact card with a call-back request option (Fig. 6). In this paper, “human escalation” means referral for human assistance; transfer to a staffed helpdesk, call-back fulfilment, and storage and retention of submitted contact details were not evaluated.</w:t>
      </w:r>
    </w:p>
    <w:p>
      <w:pPr>
        <w:keepNext/>
        <w:spacing w:before="200" w:after="60"/>
      </w:pPr>
      <w:r>
        <w:rPr>
          <w:rFonts w:ascii="Times New Roman" w:hAnsi="Times New Roman"/>
          <w:b/>
          <w:i/>
          <w:color w:val="000000"/>
          <w:sz w:val="20"/>
        </w:rPr>
        <w:t>TABLE III: DESIGNED RESPONSE BY SITUATION</w:t>
      </w:r>
    </w:p>
    <w:tbl>
      <w:tblPr>
        <w:tblW w:type="auto" w:w="0"/>
        <w:jc w:val="center"/>
        <w:tblLook w:firstColumn="1" w:firstRow="1" w:lastColumn="0" w:lastRow="0" w:noHBand="0" w:noVBand="1" w:val="04A0"/>
      </w:tblPr>
      <w:tblGrid>
        <w:gridCol w:w="5040"/>
        <w:gridCol w:w="5040"/>
      </w:tblGrid>
      <w:tr>
        <w:tc>
          <w:tcPr>
            <w:tcW w:type="dxa" w:w="5040"/>
          </w:tcPr>
          <w:p>
            <w:pPr>
              <w:jc w:val="left"/>
            </w:pPr>
            <w:r>
              <w:rPr>
                <w:rFonts w:ascii="Times New Roman" w:hAnsi="Times New Roman"/>
                <w:b/>
                <w:i w:val="0"/>
                <w:color w:val="000000"/>
                <w:sz w:val="17"/>
              </w:rPr>
              <w:t>Situation</w:t>
            </w:r>
          </w:p>
        </w:tc>
        <w:tc>
          <w:tcPr>
            <w:tcW w:type="dxa" w:w="5040"/>
          </w:tcPr>
          <w:p>
            <w:pPr>
              <w:jc w:val="left"/>
            </w:pPr>
            <w:r>
              <w:rPr>
                <w:rFonts w:ascii="Times New Roman" w:hAnsi="Times New Roman"/>
                <w:b/>
                <w:i w:val="0"/>
                <w:color w:val="000000"/>
                <w:sz w:val="17"/>
              </w:rPr>
              <w:t>Designed response</w:t>
            </w:r>
          </w:p>
        </w:tc>
      </w:tr>
      <w:tr>
        <w:tc>
          <w:tcPr>
            <w:tcW w:type="dxa" w:w="5040"/>
          </w:tcPr>
          <w:p>
            <w:pPr>
              <w:jc w:val="left"/>
            </w:pPr>
            <w:r>
              <w:rPr>
                <w:rFonts w:ascii="Times New Roman" w:hAnsi="Times New Roman"/>
                <w:b w:val="0"/>
                <w:i w:val="0"/>
                <w:color w:val="000000"/>
                <w:sz w:val="17"/>
              </w:rPr>
              <w:t>Ambiguous or underspecified request</w:t>
            </w:r>
          </w:p>
        </w:tc>
        <w:tc>
          <w:tcPr>
            <w:tcW w:type="dxa" w:w="5040"/>
          </w:tcPr>
          <w:p>
            <w:pPr>
              <w:jc w:val="left"/>
            </w:pPr>
            <w:r>
              <w:rPr>
                <w:rFonts w:ascii="Times New Roman" w:hAnsi="Times New Roman"/>
                <w:b w:val="0"/>
                <w:i w:val="0"/>
                <w:color w:val="000000"/>
                <w:sz w:val="17"/>
              </w:rPr>
              <w:t>Clarifying question, or rows for every category when only the category is missing</w:t>
            </w:r>
          </w:p>
        </w:tc>
      </w:tr>
      <w:tr>
        <w:tc>
          <w:tcPr>
            <w:tcW w:type="dxa" w:w="5040"/>
          </w:tcPr>
          <w:p>
            <w:pPr>
              <w:jc w:val="left"/>
            </w:pPr>
            <w:r>
              <w:rPr>
                <w:rFonts w:ascii="Times New Roman" w:hAnsi="Times New Roman"/>
                <w:b w:val="0"/>
                <w:i w:val="0"/>
                <w:color w:val="000000"/>
                <w:sz w:val="17"/>
              </w:rPr>
              <w:t>Unsupported or out-of-scope question</w:t>
            </w:r>
          </w:p>
        </w:tc>
        <w:tc>
          <w:tcPr>
            <w:tcW w:type="dxa" w:w="5040"/>
          </w:tcPr>
          <w:p>
            <w:pPr>
              <w:jc w:val="left"/>
            </w:pPr>
            <w:r>
              <w:rPr>
                <w:rFonts w:ascii="Times New Roman" w:hAnsi="Times New Roman"/>
                <w:b w:val="0"/>
                <w:i w:val="0"/>
                <w:color w:val="000000"/>
                <w:sz w:val="17"/>
              </w:rPr>
              <w:t>Safe refusal with official source link where relevant</w:t>
            </w:r>
          </w:p>
        </w:tc>
      </w:tr>
      <w:tr>
        <w:tc>
          <w:tcPr>
            <w:tcW w:type="dxa" w:w="5040"/>
          </w:tcPr>
          <w:p>
            <w:pPr>
              <w:jc w:val="left"/>
            </w:pPr>
            <w:r>
              <w:rPr>
                <w:rFonts w:ascii="Times New Roman" w:hAnsi="Times New Roman"/>
                <w:b w:val="0"/>
                <w:i w:val="0"/>
                <w:color w:val="000000"/>
                <w:sz w:val="17"/>
              </w:rPr>
              <w:t>Missing, unavailable or retired factual record</w:t>
            </w:r>
          </w:p>
        </w:tc>
        <w:tc>
          <w:tcPr>
            <w:tcW w:type="dxa" w:w="5040"/>
          </w:tcPr>
          <w:p>
            <w:pPr>
              <w:jc w:val="left"/>
            </w:pPr>
            <w:r>
              <w:rPr>
                <w:rFonts w:ascii="Times New Roman" w:hAnsi="Times New Roman"/>
                <w:b w:val="0"/>
                <w:i w:val="0"/>
                <w:color w:val="000000"/>
                <w:sz w:val="17"/>
              </w:rPr>
              <w:t>No value stated; referral to human assistance and official source</w:t>
            </w:r>
          </w:p>
        </w:tc>
      </w:tr>
      <w:tr>
        <w:tc>
          <w:tcPr>
            <w:tcW w:type="dxa" w:w="5040"/>
          </w:tcPr>
          <w:p>
            <w:pPr>
              <w:jc w:val="left"/>
            </w:pPr>
            <w:r>
              <w:rPr>
                <w:rFonts w:ascii="Times New Roman" w:hAnsi="Times New Roman"/>
                <w:b w:val="0"/>
                <w:i w:val="0"/>
                <w:color w:val="000000"/>
                <w:sz w:val="17"/>
              </w:rPr>
              <w:t>Numeric value not in evidence</w:t>
            </w:r>
          </w:p>
        </w:tc>
        <w:tc>
          <w:tcPr>
            <w:tcW w:type="dxa" w:w="5040"/>
          </w:tcPr>
          <w:p>
            <w:pPr>
              <w:jc w:val="left"/>
            </w:pPr>
            <w:r>
              <w:rPr>
                <w:rFonts w:ascii="Times New Roman" w:hAnsi="Times New Roman"/>
                <w:b w:val="0"/>
                <w:i w:val="0"/>
                <w:color w:val="000000"/>
                <w:sz w:val="17"/>
              </w:rPr>
              <w:t>Draft rejected by numeric check</w:t>
            </w:r>
          </w:p>
        </w:tc>
      </w:tr>
      <w:tr>
        <w:tc>
          <w:tcPr>
            <w:tcW w:type="dxa" w:w="5040"/>
          </w:tcPr>
          <w:p>
            <w:pPr>
              <w:jc w:val="left"/>
            </w:pPr>
            <w:r>
              <w:rPr>
                <w:rFonts w:ascii="Times New Roman" w:hAnsi="Times New Roman"/>
                <w:b w:val="0"/>
                <w:i w:val="0"/>
                <w:color w:val="000000"/>
                <w:sz w:val="17"/>
              </w:rPr>
              <w:t>Guarantee of admission, placement or scholarship</w:t>
            </w:r>
          </w:p>
        </w:tc>
        <w:tc>
          <w:tcPr>
            <w:tcW w:type="dxa" w:w="5040"/>
          </w:tcPr>
          <w:p>
            <w:pPr>
              <w:jc w:val="left"/>
            </w:pPr>
            <w:r>
              <w:rPr>
                <w:rFonts w:ascii="Times New Roman" w:hAnsi="Times New Roman"/>
                <w:b w:val="0"/>
                <w:i w:val="0"/>
                <w:color w:val="000000"/>
                <w:sz w:val="17"/>
              </w:rPr>
              <w:t>Draft rejected by promise check</w:t>
            </w:r>
          </w:p>
        </w:tc>
      </w:tr>
      <w:tr>
        <w:tc>
          <w:tcPr>
            <w:tcW w:type="dxa" w:w="5040"/>
          </w:tcPr>
          <w:p>
            <w:pPr>
              <w:jc w:val="left"/>
            </w:pPr>
            <w:r>
              <w:rPr>
                <w:rFonts w:ascii="Times New Roman" w:hAnsi="Times New Roman"/>
                <w:b w:val="0"/>
                <w:i w:val="0"/>
                <w:color w:val="000000"/>
                <w:sz w:val="17"/>
              </w:rPr>
              <w:t>Translation stale or missing</w:t>
            </w:r>
          </w:p>
        </w:tc>
        <w:tc>
          <w:tcPr>
            <w:tcW w:type="dxa" w:w="5040"/>
          </w:tcPr>
          <w:p>
            <w:pPr>
              <w:jc w:val="left"/>
            </w:pPr>
            <w:r>
              <w:rPr>
                <w:rFonts w:ascii="Times New Roman" w:hAnsi="Times New Roman"/>
                <w:b w:val="0"/>
                <w:i w:val="0"/>
                <w:color w:val="000000"/>
                <w:sz w:val="17"/>
              </w:rPr>
              <w:t>Explicit English fallback</w:t>
            </w:r>
          </w:p>
        </w:tc>
      </w:tr>
      <w:tr>
        <w:tc>
          <w:tcPr>
            <w:tcW w:type="dxa" w:w="5040"/>
          </w:tcPr>
          <w:p>
            <w:pPr>
              <w:jc w:val="left"/>
            </w:pPr>
            <w:r>
              <w:rPr>
                <w:rFonts w:ascii="Times New Roman" w:hAnsi="Times New Roman"/>
                <w:b w:val="0"/>
                <w:i w:val="0"/>
                <w:color w:val="000000"/>
                <w:sz w:val="17"/>
              </w:rPr>
              <w:t>Generation provider unavailable</w:t>
            </w:r>
          </w:p>
        </w:tc>
        <w:tc>
          <w:tcPr>
            <w:tcW w:type="dxa" w:w="5040"/>
          </w:tcPr>
          <w:p>
            <w:pPr>
              <w:jc w:val="left"/>
            </w:pPr>
            <w:r>
              <w:rPr>
                <w:rFonts w:ascii="Times New Roman" w:hAnsi="Times New Roman"/>
                <w:b w:val="0"/>
                <w:i w:val="0"/>
                <w:color w:val="000000"/>
                <w:sz w:val="17"/>
              </w:rPr>
              <w:t>Deterministic or safe fallback response</w:t>
            </w:r>
          </w:p>
        </w:tc>
      </w:tr>
    </w:tbl>
    <w:p>
      <w:pPr>
        <w:spacing w:after="120"/>
      </w:pPr>
    </w:p>
    <w:p>
      <w:pPr>
        <w:spacing w:before="0" w:after="80" w:line="252" w:lineRule="auto"/>
        <w:jc w:val="both"/>
      </w:pPr>
      <w:r>
        <w:rPr>
          <w:rFonts w:ascii="Times New Roman" w:hAnsi="Times New Roman"/>
          <w:b w:val="0"/>
          <w:i w:val="0"/>
          <w:color w:val="000000"/>
          <w:sz w:val="19"/>
        </w:rPr>
        <w:t>The interface is a floating chat widget available without sign-in. Users select Automatic, English, Marathi or Hindi (Fig. 3), and answers appear as cards, tables, lists and official source links. Fig. 4 shows a compound query answered in one response: a hostel fee card for academic year 2026–27 with a confirmation note, followed by a library answer stating that borrowing rules, timings and access eligibility are not published. The mess amount is not displayed in this capture. Fig. 5 shows the transliterated query “first year fees kiti ahe” answered in Marathi; the response lists the first-year fee for every admission category and notes that the amounts are annual and that term-wise schedules are not given in the record. Fig. 6 shows the referral response for a question the records do not cover. Figs. 3–6 are author-selected captures that illustrate behavior.</w:t>
      </w:r>
    </w:p>
    <w:p>
      <w:pPr>
        <w:keepNext/>
        <w:spacing w:before="280" w:after="80"/>
      </w:pPr>
      <w:r>
        <w:rPr>
          <w:rFonts w:ascii="Times New Roman" w:hAnsi="Times New Roman"/>
          <w:b/>
          <w:i w:val="0"/>
          <w:color w:val="000000"/>
          <w:sz w:val="22"/>
        </w:rPr>
        <w:t>V. EVALUATION DESIGN AND REPRODUCIBILITY</w:t>
      </w:r>
    </w:p>
    <w:p>
      <w:pPr>
        <w:keepNext/>
        <w:spacing w:before="200" w:after="60"/>
      </w:pPr>
      <w:r>
        <w:rPr>
          <w:rFonts w:ascii="Times New Roman" w:hAnsi="Times New Roman"/>
          <w:b/>
          <w:i/>
          <w:color w:val="000000"/>
          <w:sz w:val="20"/>
        </w:rPr>
        <w:t>5.1 Evidence Layers</w:t>
      </w:r>
    </w:p>
    <w:p>
      <w:pPr>
        <w:spacing w:before="0" w:after="80" w:line="252" w:lineRule="auto"/>
        <w:jc w:val="both"/>
      </w:pPr>
      <w:r>
        <w:rPr>
          <w:rFonts w:ascii="Times New Roman" w:hAnsi="Times New Roman"/>
          <w:b w:val="0"/>
          <w:i w:val="0"/>
          <w:color w:val="000000"/>
          <w:sz w:val="19"/>
        </w:rPr>
        <w:t>Evaluation separates implementation regressions, retrieval diagnostics, verifier mutations and an Authority-evaluated pilot, and reports each layer separately because each answers a different question. Backend tests check application contracts, browser checks exercise rendered journeys, retrieval diagnostics assess relevance groups, verifier probes test the checking functions directly, and the pilot consists of live responses evaluated by the Authority.</w:t>
      </w:r>
    </w:p>
    <w:p>
      <w:pPr>
        <w:spacing w:before="0" w:after="80" w:line="252" w:lineRule="auto"/>
        <w:jc w:val="both"/>
      </w:pPr>
      <w:r>
        <w:rPr>
          <w:rFonts w:ascii="Times New Roman" w:hAnsi="Times New Roman"/>
          <w:b w:val="0"/>
          <w:i w:val="0"/>
          <w:color w:val="000000"/>
          <w:sz w:val="19"/>
        </w:rPr>
        <w:t>Source-bound reports store corpus and case hashes, runtime metadata and implementation hashes, since an uncommitted working tree can differ from repository HEAD. Generation is disabled in the lexical retrieval and routing evaluations, and upstream generation tests use controlled responses; these experiments therefore address retrieval, routing and verifier behavior. Live model factuality, token cost and rated translation quality are left to future evaluation.</w:t>
      </w:r>
    </w:p>
    <w:p>
      <w:pPr>
        <w:keepNext/>
        <w:spacing w:before="200" w:after="60"/>
      </w:pPr>
      <w:r>
        <w:rPr>
          <w:rFonts w:ascii="Times New Roman" w:hAnsi="Times New Roman"/>
          <w:b/>
          <w:i/>
          <w:color w:val="000000"/>
          <w:sz w:val="20"/>
        </w:rPr>
        <w:t>5.2 Retrieval Setup and Metric Definitions</w:t>
      </w:r>
    </w:p>
    <w:p>
      <w:pPr>
        <w:spacing w:before="0" w:after="80" w:line="252" w:lineRule="auto"/>
        <w:jc w:val="both"/>
      </w:pPr>
      <w:r>
        <w:rPr>
          <w:rFonts w:ascii="Times New Roman" w:hAnsi="Times New Roman"/>
          <w:b w:val="0"/>
          <w:i w:val="0"/>
          <w:color w:val="000000"/>
          <w:sz w:val="19"/>
        </w:rPr>
        <w:t>The retrieval comparison uses the same 51-record seeded corpus and 44 development questions for four methods: the application keyword/rule retriever, raw BM25, normalized BM25, and reciprocal-rank fusion of lexical outputs. Each question/method pair received ten warmups and 100 timed repetitions with alternating method order. Timing covers ranking only and excludes HTTP, model calls and audit writes. BM25 uses a prebuilt index while the application retriever scans records, so timing reflects implementation strategy as well as method.</w:t>
      </w:r>
    </w:p>
    <w:p>
      <w:pPr>
        <w:spacing w:before="0" w:after="80" w:line="252" w:lineRule="auto"/>
        <w:jc w:val="both"/>
      </w:pPr>
      <w:r>
        <w:rPr>
          <w:rFonts w:ascii="Times New Roman" w:hAnsi="Times New Roman"/>
          <w:b w:val="0"/>
          <w:i w:val="0"/>
          <w:color w:val="000000"/>
          <w:sz w:val="19"/>
        </w:rPr>
        <w:t>Each question has one or more developer-authored relevance groups representing acceptable records for a required facet. For question $q$ with group set $G_q$ and top-$k$ output $R_k(q)$, group Recall@k is the fraction of groups containing at least one returned record:</w:t>
      </w:r>
    </w:p>
    <w:p>
      <w:pPr>
        <w:spacing w:before="0" w:after="80" w:line="252" w:lineRule="auto"/>
        <w:jc w:val="both"/>
      </w:pPr>
      <w:r>
        <w:rPr>
          <w:rFonts w:ascii="Times New Roman" w:hAnsi="Times New Roman"/>
          <w:b w:val="0"/>
          <w:i w:val="0"/>
          <w:color w:val="000000"/>
          <w:sz w:val="19"/>
        </w:rPr>
        <w:t>$$\text{Recall@}k(q) = \frac{|\{ g \in G_q : g \cap R_k(q) \neq \emptyset \}|}{|G_q|}$$</w:t>
      </w:r>
    </w:p>
    <w:p>
      <w:pPr>
        <w:spacing w:before="0" w:after="80" w:line="252" w:lineRule="auto"/>
        <w:jc w:val="both"/>
      </w:pPr>
      <w:r>
        <w:rPr>
          <w:rFonts w:ascii="Times New Roman" w:hAnsi="Times New Roman"/>
          <w:b w:val="0"/>
          <w:i w:val="0"/>
          <w:color w:val="000000"/>
          <w:sz w:val="19"/>
        </w:rPr>
        <w:t>Group MRR@3 averages reciprocal first-hit ranks over those groups [18], assigning zero when the first match falls outside the top three. Reciprocal-rank fusion follows Cormack et al. [19]. Reported values are macro-averaged over questions. These are facet proxies rather than exhaustive document-level relevance judgments, and precision is omitted because the labels are incomplete. For small-sample proportions in Section VI, 95% Wilson score intervals [20] are reported as descriptive measures; they do not correct for selection bias.</w:t>
      </w:r>
    </w:p>
    <w:p>
      <w:pPr>
        <w:keepNext/>
        <w:spacing w:before="200" w:after="60"/>
      </w:pPr>
      <w:r>
        <w:rPr>
          <w:rFonts w:ascii="Times New Roman" w:hAnsi="Times New Roman"/>
          <w:b/>
          <w:i/>
          <w:color w:val="000000"/>
          <w:sz w:val="20"/>
        </w:rPr>
        <w:t>5.3 Verifier Experiment</w:t>
      </w:r>
    </w:p>
    <w:p>
      <w:pPr>
        <w:spacing w:before="0" w:after="80" w:line="252" w:lineRule="auto"/>
        <w:jc w:val="both"/>
      </w:pPr>
      <w:r>
        <w:rPr>
          <w:rFonts w:ascii="Times New Roman" w:hAnsi="Times New Roman"/>
          <w:b w:val="0"/>
          <w:i w:val="0"/>
          <w:color w:val="000000"/>
          <w:sz w:val="19"/>
        </w:rPr>
        <w:t>Fifteen exposed English probes comprise 11 deliberately invalid answers and four valid controls. Invalid cases include wrong attributes, unavailable scope, invented values and unsupported promises. The positive class is an answer that must be rejected. Error-detection recall is $\text{TP}/(\text{TP}+\text{FN})$ and false-alarm rate is $\text{FP}/(\text{FP}+\text{TN})$. A local numeric token checker serves as the baseline for MITRA’s bounded slot/clause checker (neither is a RAGAs implementation). Slots are supplied directly, so the experiment isolates verification from parsing and retrieval. Both checkers evaluate the same 15 probes, so the comparison is paired and descriptive.</w:t>
      </w:r>
    </w:p>
    <w:p>
      <w:pPr>
        <w:keepNext/>
        <w:spacing w:before="200" w:after="60"/>
      </w:pPr>
      <w:r>
        <w:rPr>
          <w:rFonts w:ascii="Times New Roman" w:hAnsi="Times New Roman"/>
          <w:b/>
          <w:i/>
          <w:color w:val="000000"/>
          <w:sz w:val="20"/>
        </w:rPr>
        <w:t>5.4 Multilingual Evaluation Protocols and 6-Dimension Rubric</w:t>
      </w:r>
    </w:p>
    <w:p>
      <w:pPr>
        <w:spacing w:before="0" w:after="80" w:line="252" w:lineRule="auto"/>
        <w:jc w:val="both"/>
      </w:pPr>
      <w:r>
        <w:rPr>
          <w:rFonts w:ascii="Times New Roman" w:hAnsi="Times New Roman"/>
          <w:b w:val="0"/>
          <w:i w:val="0"/>
          <w:color w:val="000000"/>
          <w:sz w:val="19"/>
        </w:rPr>
        <w:t>To evaluate MITRA across diverse user behaviors, the study implements two evaluation stages:</w:t>
      </w:r>
    </w:p>
    <w:p>
      <w:pPr>
        <w:spacing w:before="0" w:after="80" w:line="252" w:lineRule="auto"/>
        <w:jc w:val="both"/>
      </w:pPr>
      <w:r>
        <w:rPr>
          <w:rFonts w:ascii="Times New Roman" w:hAnsi="Times New Roman"/>
          <w:b w:val="0"/>
          <w:i w:val="0"/>
          <w:color w:val="000000"/>
          <w:sz w:val="19"/>
        </w:rPr>
        <w:t xml:space="preserve">1. </w:t>
      </w:r>
      <w:r>
        <w:rPr>
          <w:rFonts w:ascii="Times New Roman" w:hAnsi="Times New Roman"/>
          <w:b/>
          <w:i w:val="0"/>
          <w:color w:val="000000"/>
          <w:sz w:val="19"/>
        </w:rPr>
        <w:t>Preliminary Authority-Evaluated Pilot ($N = 30$)</w:t>
      </w:r>
      <w:r>
        <w:rPr>
          <w:rFonts w:ascii="Times New Roman" w:hAnsi="Times New Roman"/>
          <w:b w:val="0"/>
          <w:i w:val="0"/>
          <w:color w:val="000000"/>
          <w:sz w:val="19"/>
        </w:rPr>
        <w:t>: Ten questions each in English, Marathi, and Hindi evaluating core admissions and fee queries on the live interface, assessed by institutional reviewers.</w:t>
      </w:r>
    </w:p>
    <w:p>
      <w:pPr>
        <w:spacing w:before="0" w:after="80" w:line="252" w:lineRule="auto"/>
        <w:jc w:val="both"/>
      </w:pPr>
      <w:r>
        <w:rPr>
          <w:rFonts w:ascii="Times New Roman" w:hAnsi="Times New Roman"/>
          <w:b w:val="0"/>
          <w:i w:val="0"/>
          <w:color w:val="000000"/>
          <w:sz w:val="19"/>
        </w:rPr>
        <w:t xml:space="preserve">2. </w:t>
      </w:r>
      <w:r>
        <w:rPr>
          <w:rFonts w:ascii="Times New Roman" w:hAnsi="Times New Roman"/>
          <w:b/>
          <w:i w:val="0"/>
          <w:color w:val="000000"/>
          <w:sz w:val="19"/>
        </w:rPr>
        <w:t>Expanded Multilingual Stress Benchmark ($N = 90$)</w:t>
      </w:r>
      <w:r>
        <w:rPr>
          <w:rFonts w:ascii="Times New Roman" w:hAnsi="Times New Roman"/>
          <w:b w:val="0"/>
          <w:i w:val="0"/>
          <w:color w:val="000000"/>
          <w:sz w:val="19"/>
        </w:rPr>
        <w:t>: An independently formulated 90-case test battery spanning English ($n = 30$), Marathi ($n = 30$), and Hindi ($n = 30$), categorized prior to execution into three distinct behavioral classes:</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val="0"/>
          <w:i/>
          <w:color w:val="000000"/>
          <w:sz w:val="19"/>
        </w:rPr>
        <w:t>Answerable from official sources</w:t>
      </w:r>
      <w:r>
        <w:rPr>
          <w:rFonts w:ascii="Times New Roman" w:hAnsi="Times New Roman"/>
          <w:b w:val="0"/>
          <w:i w:val="0"/>
          <w:color w:val="000000"/>
          <w:sz w:val="19"/>
        </w:rPr>
        <w:t xml:space="preserve"> ($n = 60$; 20 per language): direct factual inquiries, multi-constraint fee lookups (e.g., category + entry year + scholarship), and paraphrased Devanagari questions.</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val="0"/>
          <w:i/>
          <w:color w:val="000000"/>
          <w:sz w:val="19"/>
        </w:rPr>
        <w:t>Unanswerable from available records</w:t>
      </w:r>
      <w:r>
        <w:rPr>
          <w:rFonts w:ascii="Times New Roman" w:hAnsi="Times New Roman"/>
          <w:b w:val="0"/>
          <w:i w:val="0"/>
          <w:color w:val="000000"/>
          <w:sz w:val="19"/>
        </w:rPr>
        <w:t xml:space="preserve"> ($n = 21$; 7 per language): queries probing facts intentionally absent from published circulars (e.g., unpublished cutoff ranks, nonexistent on-campus hostels, staff recruitment/vacancies), testing safe refusal and escalation.</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val="0"/>
          <w:i/>
          <w:color w:val="000000"/>
          <w:sz w:val="19"/>
        </w:rPr>
        <w:t>Ambiguous or under-specified</w:t>
      </w:r>
      <w:r>
        <w:rPr>
          <w:rFonts w:ascii="Times New Roman" w:hAnsi="Times New Roman"/>
          <w:b w:val="0"/>
          <w:i w:val="0"/>
          <w:color w:val="000000"/>
          <w:sz w:val="19"/>
        </w:rPr>
        <w:t xml:space="preserve"> ($n = 9$; 3 per language): bare keyword prompts (e.g., "fees", "admission"), testing interactive clarification rather than premature answering.</w:t>
      </w:r>
    </w:p>
    <w:p>
      <w:pPr>
        <w:spacing w:before="0" w:after="80" w:line="252" w:lineRule="auto"/>
        <w:jc w:val="both"/>
      </w:pPr>
      <w:r>
        <w:rPr>
          <w:rFonts w:ascii="Times New Roman" w:hAnsi="Times New Roman"/>
          <w:b w:val="0"/>
          <w:i w:val="0"/>
          <w:color w:val="000000"/>
          <w:sz w:val="19"/>
        </w:rPr>
        <w:t>All 90 cases are evaluated against a 6-dimension governance rubric:</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Factual Correctness (FC)</w:t>
      </w:r>
      <w:r>
        <w:rPr>
          <w:rFonts w:ascii="Times New Roman" w:hAnsi="Times New Roman"/>
          <w:b w:val="0"/>
          <w:i w:val="0"/>
          <w:color w:val="000000"/>
          <w:sz w:val="19"/>
        </w:rPr>
        <w:t>: Exact match of figures, attributes, and academic years against official approved circulars.</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Source Grounding (SG)</w:t>
      </w:r>
      <w:r>
        <w:rPr>
          <w:rFonts w:ascii="Times New Roman" w:hAnsi="Times New Roman"/>
          <w:b w:val="0"/>
          <w:i w:val="0"/>
          <w:color w:val="000000"/>
          <w:sz w:val="19"/>
        </w:rPr>
        <w:t>: Output includes a verifiable record identifier or circular reference.</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Completeness (CP)</w:t>
      </w:r>
      <w:r>
        <w:rPr>
          <w:rFonts w:ascii="Times New Roman" w:hAnsi="Times New Roman"/>
          <w:b w:val="0"/>
          <w:i w:val="0"/>
          <w:color w:val="000000"/>
          <w:sz w:val="19"/>
        </w:rPr>
        <w:t>: Coverage of all queried constraints without omitting conditional requirements.</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Appropriate Abstention / Referral (AA)</w:t>
      </w:r>
      <w:r>
        <w:rPr>
          <w:rFonts w:ascii="Times New Roman" w:hAnsi="Times New Roman"/>
          <w:b w:val="0"/>
          <w:i w:val="0"/>
          <w:color w:val="000000"/>
          <w:sz w:val="19"/>
        </w:rPr>
        <w:t>: Safe refusal of out-of-scope or unverified inquiries without hallucinating facts.</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Referral Routing Relevance (RR)</w:t>
      </w:r>
      <w:r>
        <w:rPr>
          <w:rFonts w:ascii="Times New Roman" w:hAnsi="Times New Roman"/>
          <w:b w:val="0"/>
          <w:i w:val="0"/>
          <w:color w:val="000000"/>
          <w:sz w:val="19"/>
        </w:rPr>
        <w:t>: Correct escalation desk attribution (Administrative Office &amp; Principal Desk for employment/governance vs. Admissions Helpdesk for prospective students).</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Language Fidelity (LF)</w:t>
      </w:r>
      <w:r>
        <w:rPr>
          <w:rFonts w:ascii="Times New Roman" w:hAnsi="Times New Roman"/>
          <w:b w:val="0"/>
          <w:i w:val="0"/>
          <w:color w:val="000000"/>
          <w:sz w:val="19"/>
        </w:rPr>
        <w:t>: Devanagari script integrity and numeral preservation scored on a 1–5 scale.</w:t>
      </w:r>
    </w:p>
    <w:p>
      <w:pPr>
        <w:spacing w:before="0" w:after="80" w:line="252" w:lineRule="auto"/>
        <w:jc w:val="both"/>
      </w:pPr>
      <w:r>
        <w:rPr>
          <w:rFonts w:ascii="Times New Roman" w:hAnsi="Times New Roman"/>
          <w:b w:val="0"/>
          <w:i w:val="0"/>
          <w:color w:val="000000"/>
          <w:sz w:val="19"/>
        </w:rPr>
        <w:t>An adjudication protocol resolves rating discrepancies, with Cohen’s kappa ($\kappa = 0.96$) indicating near-perfect inter-rater agreement across pre-registered categories.</w:t>
      </w:r>
    </w:p>
    <w:p>
      <w:pPr>
        <w:keepNext/>
        <w:spacing w:before="200" w:after="60"/>
      </w:pPr>
      <w:r>
        <w:rPr>
          <w:rFonts w:ascii="Times New Roman" w:hAnsi="Times New Roman"/>
          <w:b/>
          <w:i/>
          <w:color w:val="000000"/>
          <w:sz w:val="20"/>
        </w:rPr>
        <w:t>5.5 Planned Longitudinal Evaluation</w:t>
      </w:r>
    </w:p>
    <w:p>
      <w:pPr>
        <w:spacing w:before="0" w:after="80" w:line="252" w:lineRule="auto"/>
        <w:jc w:val="both"/>
      </w:pPr>
      <w:r>
        <w:rPr>
          <w:rFonts w:ascii="Times New Roman" w:hAnsi="Times New Roman"/>
          <w:b w:val="0"/>
          <w:i w:val="0"/>
          <w:color w:val="000000"/>
          <w:sz w:val="19"/>
        </w:rPr>
        <w:t>A multi-semester held-out user study represents the next stage. Long-term evaluations will instrument session drop-offs, user feedback ratings across rural demographics, and downstream resolution rates of tickets escalated to administrative staff.</w:t>
      </w:r>
    </w:p>
    <w:p>
      <w:pPr>
        <w:keepNext/>
        <w:spacing w:before="280" w:after="80"/>
      </w:pPr>
      <w:r>
        <w:rPr>
          <w:rFonts w:ascii="Times New Roman" w:hAnsi="Times New Roman"/>
          <w:b/>
          <w:i w:val="0"/>
          <w:color w:val="000000"/>
          <w:sz w:val="22"/>
        </w:rPr>
        <w:t>VI. RESULTS</w:t>
      </w:r>
    </w:p>
    <w:p>
      <w:pPr>
        <w:keepNext/>
        <w:spacing w:before="200" w:after="60"/>
      </w:pPr>
      <w:r>
        <w:rPr>
          <w:rFonts w:ascii="Times New Roman" w:hAnsi="Times New Roman"/>
          <w:b/>
          <w:i/>
          <w:color w:val="000000"/>
          <w:sz w:val="20"/>
        </w:rPr>
        <w:t>6.1 Retrieval Diagnostics</w:t>
      </w:r>
    </w:p>
    <w:p>
      <w:pPr>
        <w:keepNext/>
        <w:spacing w:before="200" w:after="60"/>
      </w:pPr>
      <w:r>
        <w:rPr>
          <w:rFonts w:ascii="Times New Roman" w:hAnsi="Times New Roman"/>
          <w:b/>
          <w:i/>
          <w:color w:val="000000"/>
          <w:sz w:val="20"/>
        </w:rPr>
        <w:t>TABLE IV: DEVELOPMENT RETRIEVAL RESULTS ON 44 QUESTIONS AND 51 SEEDED RECORDS</w:t>
      </w:r>
    </w:p>
    <w:tbl>
      <w:tblPr>
        <w:tblW w:type="auto" w:w="0"/>
        <w:jc w:val="center"/>
        <w:tblLook w:firstColumn="1" w:firstRow="1" w:lastColumn="0" w:lastRow="0" w:noHBand="0" w:noVBand="1" w:val="04A0"/>
      </w:tblPr>
      <w:tblGrid>
        <w:gridCol w:w="3360"/>
        <w:gridCol w:w="3360"/>
        <w:gridCol w:w="3360"/>
      </w:tblGrid>
      <w:tr>
        <w:tc>
          <w:tcPr>
            <w:tcW w:type="dxa" w:w="3360"/>
          </w:tcPr>
          <w:p>
            <w:pPr>
              <w:jc w:val="left"/>
            </w:pPr>
            <w:r>
              <w:rPr>
                <w:rFonts w:ascii="Times New Roman" w:hAnsi="Times New Roman"/>
                <w:b/>
                <w:i w:val="0"/>
                <w:color w:val="000000"/>
                <w:sz w:val="17"/>
              </w:rPr>
              <w:t>Method</w:t>
            </w:r>
          </w:p>
        </w:tc>
        <w:tc>
          <w:tcPr>
            <w:tcW w:type="dxa" w:w="3360"/>
          </w:tcPr>
          <w:p>
            <w:pPr>
              <w:jc w:val="left"/>
            </w:pPr>
            <w:r>
              <w:rPr>
                <w:rFonts w:ascii="Times New Roman" w:hAnsi="Times New Roman"/>
                <w:b/>
                <w:i w:val="0"/>
                <w:color w:val="000000"/>
                <w:sz w:val="17"/>
              </w:rPr>
              <w:t>Group R@1 / R@3 / MRR@3</w:t>
            </w:r>
          </w:p>
        </w:tc>
        <w:tc>
          <w:tcPr>
            <w:tcW w:type="dxa" w:w="3360"/>
          </w:tcPr>
          <w:p>
            <w:pPr>
              <w:jc w:val="left"/>
            </w:pPr>
            <w:r>
              <w:rPr>
                <w:rFonts w:ascii="Times New Roman" w:hAnsi="Times New Roman"/>
                <w:b/>
                <w:i w:val="0"/>
                <w:color w:val="000000"/>
                <w:sz w:val="17"/>
              </w:rPr>
              <w:t>Ranking p50 / p95 (ms)</w:t>
            </w:r>
          </w:p>
        </w:tc>
      </w:tr>
      <w:tr>
        <w:tc>
          <w:tcPr>
            <w:tcW w:type="dxa" w:w="3360"/>
          </w:tcPr>
          <w:p>
            <w:pPr>
              <w:jc w:val="left"/>
            </w:pPr>
            <w:r>
              <w:rPr>
                <w:rFonts w:ascii="Times New Roman" w:hAnsi="Times New Roman"/>
                <w:b w:val="0"/>
                <w:i w:val="0"/>
                <w:color w:val="000000"/>
                <w:sz w:val="17"/>
              </w:rPr>
              <w:t>Keyword/rules and concepts</w:t>
            </w:r>
          </w:p>
        </w:tc>
        <w:tc>
          <w:tcPr>
            <w:tcW w:type="dxa" w:w="3360"/>
          </w:tcPr>
          <w:p>
            <w:pPr>
              <w:jc w:val="left"/>
            </w:pPr>
            <w:r>
              <w:rPr>
                <w:rFonts w:ascii="Times New Roman" w:hAnsi="Times New Roman"/>
                <w:b w:val="0"/>
                <w:i w:val="0"/>
                <w:color w:val="000000"/>
                <w:sz w:val="17"/>
              </w:rPr>
              <w:t>0.8977 / 1.0000 / 0.9470</w:t>
            </w:r>
          </w:p>
        </w:tc>
        <w:tc>
          <w:tcPr>
            <w:tcW w:type="dxa" w:w="3360"/>
          </w:tcPr>
          <w:p>
            <w:pPr>
              <w:jc w:val="left"/>
            </w:pPr>
            <w:r>
              <w:rPr>
                <w:rFonts w:ascii="Times New Roman" w:hAnsi="Times New Roman"/>
                <w:b w:val="0"/>
                <w:i w:val="0"/>
                <w:color w:val="000000"/>
                <w:sz w:val="17"/>
              </w:rPr>
              <w:t>1.0246 / 1.4368</w:t>
            </w:r>
          </w:p>
        </w:tc>
      </w:tr>
      <w:tr>
        <w:tc>
          <w:tcPr>
            <w:tcW w:type="dxa" w:w="3360"/>
          </w:tcPr>
          <w:p>
            <w:pPr>
              <w:jc w:val="left"/>
            </w:pPr>
            <w:r>
              <w:rPr>
                <w:rFonts w:ascii="Times New Roman" w:hAnsi="Times New Roman"/>
                <w:b w:val="0"/>
                <w:i w:val="0"/>
                <w:color w:val="000000"/>
                <w:sz w:val="17"/>
              </w:rPr>
              <w:t>BM25 raw</w:t>
            </w:r>
          </w:p>
        </w:tc>
        <w:tc>
          <w:tcPr>
            <w:tcW w:type="dxa" w:w="3360"/>
          </w:tcPr>
          <w:p>
            <w:pPr>
              <w:jc w:val="left"/>
            </w:pPr>
            <w:r>
              <w:rPr>
                <w:rFonts w:ascii="Times New Roman" w:hAnsi="Times New Roman"/>
                <w:b w:val="0"/>
                <w:i w:val="0"/>
                <w:color w:val="000000"/>
                <w:sz w:val="17"/>
              </w:rPr>
              <w:t>0.6591 / 0.7727 / 0.7121</w:t>
            </w:r>
          </w:p>
        </w:tc>
        <w:tc>
          <w:tcPr>
            <w:tcW w:type="dxa" w:w="3360"/>
          </w:tcPr>
          <w:p>
            <w:pPr>
              <w:jc w:val="left"/>
            </w:pPr>
            <w:r>
              <w:rPr>
                <w:rFonts w:ascii="Times New Roman" w:hAnsi="Times New Roman"/>
                <w:b w:val="0"/>
                <w:i w:val="0"/>
                <w:color w:val="000000"/>
                <w:sz w:val="17"/>
              </w:rPr>
              <w:t>0.0312 / 0.0528</w:t>
            </w:r>
          </w:p>
        </w:tc>
      </w:tr>
      <w:tr>
        <w:tc>
          <w:tcPr>
            <w:tcW w:type="dxa" w:w="3360"/>
          </w:tcPr>
          <w:p>
            <w:pPr>
              <w:jc w:val="left"/>
            </w:pPr>
            <w:r>
              <w:rPr>
                <w:rFonts w:ascii="Times New Roman" w:hAnsi="Times New Roman"/>
                <w:b w:val="0"/>
                <w:i w:val="0"/>
                <w:color w:val="000000"/>
                <w:sz w:val="17"/>
              </w:rPr>
              <w:t>BM25 normalized</w:t>
            </w:r>
          </w:p>
        </w:tc>
        <w:tc>
          <w:tcPr>
            <w:tcW w:type="dxa" w:w="3360"/>
          </w:tcPr>
          <w:p>
            <w:pPr>
              <w:jc w:val="left"/>
            </w:pPr>
            <w:r>
              <w:rPr>
                <w:rFonts w:ascii="Times New Roman" w:hAnsi="Times New Roman"/>
                <w:b w:val="0"/>
                <w:i w:val="0"/>
                <w:color w:val="000000"/>
                <w:sz w:val="17"/>
              </w:rPr>
              <w:t>0.7955 / 0.9659 / 0.8769</w:t>
            </w:r>
          </w:p>
        </w:tc>
        <w:tc>
          <w:tcPr>
            <w:tcW w:type="dxa" w:w="3360"/>
          </w:tcPr>
          <w:p>
            <w:pPr>
              <w:jc w:val="left"/>
            </w:pPr>
            <w:r>
              <w:rPr>
                <w:rFonts w:ascii="Times New Roman" w:hAnsi="Times New Roman"/>
                <w:b w:val="0"/>
                <w:i w:val="0"/>
                <w:color w:val="000000"/>
                <w:sz w:val="17"/>
              </w:rPr>
              <w:t>0.0507 / 0.0826</w:t>
            </w:r>
          </w:p>
        </w:tc>
      </w:tr>
      <w:tr>
        <w:tc>
          <w:tcPr>
            <w:tcW w:type="dxa" w:w="3360"/>
          </w:tcPr>
          <w:p>
            <w:pPr>
              <w:jc w:val="left"/>
            </w:pPr>
            <w:r>
              <w:rPr>
                <w:rFonts w:ascii="Times New Roman" w:hAnsi="Times New Roman"/>
                <w:b w:val="0"/>
                <w:i w:val="0"/>
                <w:color w:val="000000"/>
                <w:sz w:val="17"/>
              </w:rPr>
              <w:t>Reciprocal-rank fusion</w:t>
            </w:r>
          </w:p>
        </w:tc>
        <w:tc>
          <w:tcPr>
            <w:tcW w:type="dxa" w:w="3360"/>
          </w:tcPr>
          <w:p>
            <w:pPr>
              <w:jc w:val="left"/>
            </w:pPr>
            <w:r>
              <w:rPr>
                <w:rFonts w:ascii="Times New Roman" w:hAnsi="Times New Roman"/>
                <w:b w:val="0"/>
                <w:i w:val="0"/>
                <w:color w:val="000000"/>
                <w:sz w:val="17"/>
              </w:rPr>
              <w:t>0.8750 / 0.9886 / 0.9280</w:t>
            </w:r>
          </w:p>
        </w:tc>
        <w:tc>
          <w:tcPr>
            <w:tcW w:type="dxa" w:w="3360"/>
          </w:tcPr>
          <w:p>
            <w:pPr>
              <w:jc w:val="left"/>
            </w:pPr>
            <w:r>
              <w:rPr>
                <w:rFonts w:ascii="Times New Roman" w:hAnsi="Times New Roman"/>
                <w:b w:val="0"/>
                <w:i w:val="0"/>
                <w:color w:val="000000"/>
                <w:sz w:val="17"/>
              </w:rPr>
              <w:t>1.1002 / 1.5640</w:t>
            </w:r>
          </w:p>
        </w:tc>
      </w:tr>
    </w:tbl>
    <w:p>
      <w:pPr>
        <w:spacing w:after="120"/>
      </w:pPr>
    </w:p>
    <w:p>
      <w:pPr>
        <w:spacing w:before="0" w:after="80" w:line="252" w:lineRule="auto"/>
        <w:jc w:val="both"/>
      </w:pPr>
      <w:r>
        <w:rPr>
          <w:rFonts w:ascii="Times New Roman" w:hAnsi="Times New Roman"/>
          <w:b w:val="0"/>
          <w:i w:val="0"/>
          <w:color w:val="000000"/>
          <w:sz w:val="19"/>
        </w:rPr>
        <w:t>Table IV shows a consistent ordering on these 44 questions. Normalization raises the group Recall@3 of BM25 from 0.7727 to 0.9659 and its MRR@3 from 0.7121 to 0.8769. The application retriever adds a further 0.0341 in group Recall@3 over normalized BM25 (1.0000 versus 0.9659) and improves group Recall@1 from 0.7955 to 0.8977, while reciprocal-rank fusion (0.9886) remains slightly below it in this snapshot. All four methods rank within 1.6 ms at p95, so ranking latency does not separate them in practice; the higher p50 of the application retriever (1.0246 ms) reflects its record scan, whereas BM25 uses a prebuilt index. Because the application rules and questions share development provenance, which can favor the existing pipeline, Table IV is read as a development diagnostic; it supports no significance test, superiority claim or production-latency interpretation. A group Recall@3 of 1.000 means that every labeled facet group receives a top-three hit on this set; it does not certify that each returned answer is correct.</w:t>
      </w:r>
    </w:p>
    <w:p>
      <w:pPr>
        <w:keepNext/>
        <w:spacing w:before="200" w:after="60"/>
      </w:pPr>
      <w:r>
        <w:rPr>
          <w:rFonts w:ascii="Times New Roman" w:hAnsi="Times New Roman"/>
          <w:b/>
          <w:i/>
          <w:color w:val="000000"/>
          <w:sz w:val="20"/>
        </w:rPr>
        <w:t>6.2 Verifier Characterization</w:t>
      </w:r>
    </w:p>
    <w:p>
      <w:pPr>
        <w:keepNext/>
        <w:spacing w:before="200" w:after="60"/>
      </w:pPr>
      <w:r>
        <w:rPr>
          <w:rFonts w:ascii="Times New Roman" w:hAnsi="Times New Roman"/>
          <w:b/>
          <w:i/>
          <w:color w:val="000000"/>
          <w:sz w:val="20"/>
        </w:rPr>
        <w:t>TABLE V: DIRECT-FUNCTION DECISIONS ON 15 EXPOSED MUTATION AND CONTROL PROBES</w:t>
      </w:r>
    </w:p>
    <w:tbl>
      <w:tblPr>
        <w:tblW w:type="auto" w:w="0"/>
        <w:jc w:val="center"/>
        <w:tblLook w:firstColumn="1" w:firstRow="1" w:lastColumn="0" w:lastRow="0" w:noHBand="0" w:noVBand="1" w:val="04A0"/>
      </w:tblPr>
      <w:tblGrid>
        <w:gridCol w:w="2520"/>
        <w:gridCol w:w="2520"/>
        <w:gridCol w:w="2520"/>
        <w:gridCol w:w="2520"/>
      </w:tblGrid>
      <w:tr>
        <w:tc>
          <w:tcPr>
            <w:tcW w:type="dxa" w:w="2520"/>
          </w:tcPr>
          <w:p>
            <w:pPr>
              <w:jc w:val="left"/>
            </w:pPr>
            <w:r>
              <w:rPr>
                <w:rFonts w:ascii="Times New Roman" w:hAnsi="Times New Roman"/>
                <w:b/>
                <w:i w:val="0"/>
                <w:color w:val="000000"/>
                <w:sz w:val="17"/>
              </w:rPr>
              <w:t>Checker</w:t>
            </w:r>
          </w:p>
        </w:tc>
        <w:tc>
          <w:tcPr>
            <w:tcW w:type="dxa" w:w="2520"/>
          </w:tcPr>
          <w:p>
            <w:pPr>
              <w:jc w:val="left"/>
            </w:pPr>
            <w:r>
              <w:rPr>
                <w:rFonts w:ascii="Times New Roman" w:hAnsi="Times New Roman"/>
                <w:b/>
                <w:i w:val="0"/>
                <w:color w:val="000000"/>
                <w:sz w:val="17"/>
              </w:rPr>
              <w:t>Invalid rejected / missed ($n = 11$)</w:t>
            </w:r>
          </w:p>
        </w:tc>
        <w:tc>
          <w:tcPr>
            <w:tcW w:type="dxa" w:w="2520"/>
          </w:tcPr>
          <w:p>
            <w:pPr>
              <w:jc w:val="left"/>
            </w:pPr>
            <w:r>
              <w:rPr>
                <w:rFonts w:ascii="Times New Roman" w:hAnsi="Times New Roman"/>
                <w:b/>
                <w:i w:val="0"/>
                <w:color w:val="000000"/>
                <w:sz w:val="17"/>
              </w:rPr>
              <w:t>Valid rejected / accepted ($n = 4$)</w:t>
            </w:r>
          </w:p>
        </w:tc>
        <w:tc>
          <w:tcPr>
            <w:tcW w:type="dxa" w:w="2520"/>
          </w:tcPr>
          <w:p>
            <w:pPr>
              <w:jc w:val="left"/>
            </w:pPr>
            <w:r>
              <w:rPr>
                <w:rFonts w:ascii="Times New Roman" w:hAnsi="Times New Roman"/>
                <w:b/>
                <w:i w:val="0"/>
                <w:color w:val="000000"/>
                <w:sz w:val="17"/>
              </w:rPr>
              <w:t>Error-detection recall</w:t>
            </w:r>
          </w:p>
        </w:tc>
      </w:tr>
      <w:tr>
        <w:tc>
          <w:tcPr>
            <w:tcW w:type="dxa" w:w="2520"/>
          </w:tcPr>
          <w:p>
            <w:pPr>
              <w:jc w:val="left"/>
            </w:pPr>
            <w:r>
              <w:rPr>
                <w:rFonts w:ascii="Times New Roman" w:hAnsi="Times New Roman"/>
                <w:b w:val="0"/>
                <w:i w:val="0"/>
                <w:color w:val="000000"/>
                <w:sz w:val="17"/>
              </w:rPr>
              <w:t>Local numeric token checker</w:t>
            </w:r>
          </w:p>
        </w:tc>
        <w:tc>
          <w:tcPr>
            <w:tcW w:type="dxa" w:w="2520"/>
          </w:tcPr>
          <w:p>
            <w:pPr>
              <w:jc w:val="left"/>
            </w:pPr>
            <w:r>
              <w:rPr>
                <w:rFonts w:ascii="Times New Roman" w:hAnsi="Times New Roman"/>
                <w:b w:val="0"/>
                <w:i w:val="0"/>
                <w:color w:val="000000"/>
                <w:sz w:val="17"/>
              </w:rPr>
              <w:t>2 / 9</w:t>
            </w:r>
          </w:p>
        </w:tc>
        <w:tc>
          <w:tcPr>
            <w:tcW w:type="dxa" w:w="2520"/>
          </w:tcPr>
          <w:p>
            <w:pPr>
              <w:jc w:val="left"/>
            </w:pPr>
            <w:r>
              <w:rPr>
                <w:rFonts w:ascii="Times New Roman" w:hAnsi="Times New Roman"/>
                <w:b w:val="0"/>
                <w:i w:val="0"/>
                <w:color w:val="000000"/>
                <w:sz w:val="17"/>
              </w:rPr>
              <w:t>0 / 4</w:t>
            </w:r>
          </w:p>
        </w:tc>
        <w:tc>
          <w:tcPr>
            <w:tcW w:type="dxa" w:w="2520"/>
          </w:tcPr>
          <w:p>
            <w:pPr>
              <w:jc w:val="left"/>
            </w:pPr>
            <w:r>
              <w:rPr>
                <w:rFonts w:ascii="Times New Roman" w:hAnsi="Times New Roman"/>
                <w:b w:val="0"/>
                <w:i w:val="0"/>
                <w:color w:val="000000"/>
                <w:sz w:val="17"/>
              </w:rPr>
              <w:t>18.18%</w:t>
            </w:r>
          </w:p>
        </w:tc>
      </w:tr>
      <w:tr>
        <w:tc>
          <w:tcPr>
            <w:tcW w:type="dxa" w:w="2520"/>
          </w:tcPr>
          <w:p>
            <w:pPr>
              <w:jc w:val="left"/>
            </w:pPr>
            <w:r>
              <w:rPr>
                <w:rFonts w:ascii="Times New Roman" w:hAnsi="Times New Roman"/>
                <w:b w:val="0"/>
                <w:i w:val="0"/>
                <w:color w:val="000000"/>
                <w:sz w:val="17"/>
              </w:rPr>
              <w:t>Bounded slot/clause checker</w:t>
            </w:r>
          </w:p>
        </w:tc>
        <w:tc>
          <w:tcPr>
            <w:tcW w:type="dxa" w:w="2520"/>
          </w:tcPr>
          <w:p>
            <w:pPr>
              <w:jc w:val="left"/>
            </w:pPr>
            <w:r>
              <w:rPr>
                <w:rFonts w:ascii="Times New Roman" w:hAnsi="Times New Roman"/>
                <w:b w:val="0"/>
                <w:i w:val="0"/>
                <w:color w:val="000000"/>
                <w:sz w:val="17"/>
              </w:rPr>
              <w:t>11 / 0</w:t>
            </w:r>
          </w:p>
        </w:tc>
        <w:tc>
          <w:tcPr>
            <w:tcW w:type="dxa" w:w="2520"/>
          </w:tcPr>
          <w:p>
            <w:pPr>
              <w:jc w:val="left"/>
            </w:pPr>
            <w:r>
              <w:rPr>
                <w:rFonts w:ascii="Times New Roman" w:hAnsi="Times New Roman"/>
                <w:b w:val="0"/>
                <w:i w:val="0"/>
                <w:color w:val="000000"/>
                <w:sz w:val="17"/>
              </w:rPr>
              <w:t>0 / 4</w:t>
            </w:r>
          </w:p>
        </w:tc>
        <w:tc>
          <w:tcPr>
            <w:tcW w:type="dxa" w:w="2520"/>
          </w:tcPr>
          <w:p>
            <w:pPr>
              <w:jc w:val="left"/>
            </w:pPr>
            <w:r>
              <w:rPr>
                <w:rFonts w:ascii="Times New Roman" w:hAnsi="Times New Roman"/>
                <w:b w:val="0"/>
                <w:i w:val="0"/>
                <w:color w:val="000000"/>
                <w:sz w:val="17"/>
              </w:rPr>
              <w:t>100%</w:t>
            </w:r>
          </w:p>
        </w:tc>
      </w:tr>
    </w:tbl>
    <w:p>
      <w:pPr>
        <w:spacing w:after="120"/>
      </w:pPr>
    </w:p>
    <w:p>
      <w:pPr>
        <w:spacing w:before="0" w:after="80" w:line="252" w:lineRule="auto"/>
        <w:jc w:val="both"/>
      </w:pPr>
      <w:r>
        <w:rPr>
          <w:rFonts w:ascii="Times New Roman" w:hAnsi="Times New Roman"/>
          <w:b w:val="0"/>
          <w:i w:val="0"/>
          <w:color w:val="000000"/>
          <w:sz w:val="19"/>
        </w:rPr>
        <w:t>Both observed false-alarm rates are 0/4, and the small denominators accompany every percentage. Earlier bounded fixes rejected 9 of the 11 invalid probes, and clause attribution closes the two exposed mixed-value swaps. Because both checkers were run on the same 15 probes and these probes informed debugging, the 2/11 versus 11/11 outcome is reported as a descriptive difference on exposed regression cases; it supports no inferential claim of superiority, and the final 11/11 result demonstrates regression closure rather than held-out detection accuracy. For reference, the 95% Wilson intervals are 74.1–100% for 11/11, 5.1–47.7% for 2/11 and 0–49.0% for 0/4 false alarms. Four valid controls are too few to estimate a general false-refusal rate.</w:t>
      </w:r>
    </w:p>
    <w:p>
      <w:pPr>
        <w:keepNext/>
        <w:spacing w:before="200" w:after="60"/>
      </w:pPr>
      <w:r>
        <w:rPr>
          <w:rFonts w:ascii="Times New Roman" w:hAnsi="Times New Roman"/>
          <w:b/>
          <w:i/>
          <w:color w:val="000000"/>
          <w:sz w:val="20"/>
        </w:rPr>
        <w:t>6.3 Implementation and Operational Checks</w:t>
      </w:r>
    </w:p>
    <w:p>
      <w:pPr>
        <w:keepNext/>
        <w:spacing w:before="200" w:after="60"/>
      </w:pPr>
      <w:r>
        <w:rPr>
          <w:rFonts w:ascii="Times New Roman" w:hAnsi="Times New Roman"/>
          <w:b/>
          <w:i/>
          <w:color w:val="000000"/>
          <w:sz w:val="20"/>
        </w:rPr>
        <w:t>TABLE VI: DEVELOPER-AUTHORED REGRESSION CHECKS (ALL PASSED)</w:t>
      </w:r>
    </w:p>
    <w:tbl>
      <w:tblPr>
        <w:tblW w:type="auto" w:w="0"/>
        <w:jc w:val="center"/>
        <w:tblLook w:firstColumn="1" w:firstRow="1" w:lastColumn="0" w:lastRow="0" w:noHBand="0" w:noVBand="1" w:val="04A0"/>
      </w:tblPr>
      <w:tblGrid>
        <w:gridCol w:w="5040"/>
        <w:gridCol w:w="5040"/>
      </w:tblGrid>
      <w:tr>
        <w:tc>
          <w:tcPr>
            <w:tcW w:type="dxa" w:w="5040"/>
          </w:tcPr>
          <w:p>
            <w:pPr>
              <w:jc w:val="left"/>
            </w:pPr>
            <w:r>
              <w:rPr>
                <w:rFonts w:ascii="Times New Roman" w:hAnsi="Times New Roman"/>
                <w:b/>
                <w:i w:val="0"/>
                <w:color w:val="000000"/>
                <w:sz w:val="17"/>
              </w:rPr>
              <w:t>Check</w:t>
            </w:r>
          </w:p>
        </w:tc>
        <w:tc>
          <w:tcPr>
            <w:tcW w:type="dxa" w:w="5040"/>
          </w:tcPr>
          <w:p>
            <w:pPr>
              <w:jc w:val="left"/>
            </w:pPr>
            <w:r>
              <w:rPr>
                <w:rFonts w:ascii="Times New Roman" w:hAnsi="Times New Roman"/>
                <w:b/>
                <w:i w:val="0"/>
                <w:color w:val="000000"/>
                <w:sz w:val="17"/>
              </w:rPr>
              <w:t>Result</w:t>
            </w:r>
          </w:p>
        </w:tc>
      </w:tr>
      <w:tr>
        <w:tc>
          <w:tcPr>
            <w:tcW w:type="dxa" w:w="5040"/>
          </w:tcPr>
          <w:p>
            <w:pPr>
              <w:jc w:val="left"/>
            </w:pPr>
            <w:r>
              <w:rPr>
                <w:rFonts w:ascii="Times New Roman" w:hAnsi="Times New Roman"/>
                <w:b w:val="0"/>
                <w:i w:val="0"/>
                <w:color w:val="000000"/>
                <w:sz w:val="17"/>
              </w:rPr>
              <w:t>Backend tests</w:t>
            </w:r>
          </w:p>
        </w:tc>
        <w:tc>
          <w:tcPr>
            <w:tcW w:type="dxa" w:w="5040"/>
          </w:tcPr>
          <w:p>
            <w:pPr>
              <w:jc w:val="left"/>
            </w:pPr>
            <w:r>
              <w:rPr>
                <w:rFonts w:ascii="Times New Roman" w:hAnsi="Times New Roman"/>
                <w:b w:val="0"/>
                <w:i w:val="0"/>
                <w:color w:val="000000"/>
                <w:sz w:val="17"/>
              </w:rPr>
              <w:t>174 passed</w:t>
            </w:r>
          </w:p>
        </w:tc>
      </w:tr>
      <w:tr>
        <w:tc>
          <w:tcPr>
            <w:tcW w:type="dxa" w:w="5040"/>
          </w:tcPr>
          <w:p>
            <w:pPr>
              <w:jc w:val="left"/>
            </w:pPr>
            <w:r>
              <w:rPr>
                <w:rFonts w:ascii="Times New Roman" w:hAnsi="Times New Roman"/>
                <w:b w:val="0"/>
                <w:i w:val="0"/>
                <w:color w:val="000000"/>
                <w:sz w:val="17"/>
              </w:rPr>
              <w:t>Frontend tests</w:t>
            </w:r>
          </w:p>
        </w:tc>
        <w:tc>
          <w:tcPr>
            <w:tcW w:type="dxa" w:w="5040"/>
          </w:tcPr>
          <w:p>
            <w:pPr>
              <w:jc w:val="left"/>
            </w:pPr>
            <w:r>
              <w:rPr>
                <w:rFonts w:ascii="Times New Roman" w:hAnsi="Times New Roman"/>
                <w:b w:val="0"/>
                <w:i w:val="0"/>
                <w:color w:val="000000"/>
                <w:sz w:val="17"/>
              </w:rPr>
              <w:t>16 passed</w:t>
            </w:r>
          </w:p>
        </w:tc>
      </w:tr>
      <w:tr>
        <w:tc>
          <w:tcPr>
            <w:tcW w:type="dxa" w:w="5040"/>
          </w:tcPr>
          <w:p>
            <w:pPr>
              <w:jc w:val="left"/>
            </w:pPr>
            <w:r>
              <w:rPr>
                <w:rFonts w:ascii="Times New Roman" w:hAnsi="Times New Roman"/>
                <w:b w:val="0"/>
                <w:i w:val="0"/>
                <w:color w:val="000000"/>
                <w:sz w:val="17"/>
              </w:rPr>
              <w:t>Routing/content cases</w:t>
            </w:r>
          </w:p>
        </w:tc>
        <w:tc>
          <w:tcPr>
            <w:tcW w:type="dxa" w:w="5040"/>
          </w:tcPr>
          <w:p>
            <w:pPr>
              <w:jc w:val="left"/>
            </w:pPr>
            <w:r>
              <w:rPr>
                <w:rFonts w:ascii="Times New Roman" w:hAnsi="Times New Roman"/>
                <w:b w:val="0"/>
                <w:i w:val="0"/>
                <w:color w:val="000000"/>
                <w:sz w:val="17"/>
              </w:rPr>
              <w:t>500 passed</w:t>
            </w:r>
          </w:p>
        </w:tc>
      </w:tr>
      <w:tr>
        <w:tc>
          <w:tcPr>
            <w:tcW w:type="dxa" w:w="5040"/>
          </w:tcPr>
          <w:p>
            <w:pPr>
              <w:jc w:val="left"/>
            </w:pPr>
            <w:r>
              <w:rPr>
                <w:rFonts w:ascii="Times New Roman" w:hAnsi="Times New Roman"/>
                <w:b w:val="0"/>
                <w:i w:val="0"/>
                <w:color w:val="000000"/>
                <w:sz w:val="17"/>
              </w:rPr>
              <w:t>Strict public diagnostics</w:t>
            </w:r>
          </w:p>
        </w:tc>
        <w:tc>
          <w:tcPr>
            <w:tcW w:type="dxa" w:w="5040"/>
          </w:tcPr>
          <w:p>
            <w:pPr>
              <w:jc w:val="left"/>
            </w:pPr>
            <w:r>
              <w:rPr>
                <w:rFonts w:ascii="Times New Roman" w:hAnsi="Times New Roman"/>
                <w:b w:val="0"/>
                <w:i w:val="0"/>
                <w:color w:val="000000"/>
                <w:sz w:val="17"/>
              </w:rPr>
              <w:t>36 passed</w:t>
            </w:r>
          </w:p>
        </w:tc>
      </w:tr>
      <w:tr>
        <w:tc>
          <w:tcPr>
            <w:tcW w:type="dxa" w:w="5040"/>
          </w:tcPr>
          <w:p>
            <w:pPr>
              <w:jc w:val="left"/>
            </w:pPr>
            <w:r>
              <w:rPr>
                <w:rFonts w:ascii="Times New Roman" w:hAnsi="Times New Roman"/>
                <w:b w:val="0"/>
                <w:i w:val="0"/>
                <w:color w:val="000000"/>
                <w:sz w:val="17"/>
              </w:rPr>
              <w:t>Paraphrase contract cases</w:t>
            </w:r>
          </w:p>
        </w:tc>
        <w:tc>
          <w:tcPr>
            <w:tcW w:type="dxa" w:w="5040"/>
          </w:tcPr>
          <w:p>
            <w:pPr>
              <w:jc w:val="left"/>
            </w:pPr>
            <w:r>
              <w:rPr>
                <w:rFonts w:ascii="Times New Roman" w:hAnsi="Times New Roman"/>
                <w:b w:val="0"/>
                <w:i w:val="0"/>
                <w:color w:val="000000"/>
                <w:sz w:val="17"/>
              </w:rPr>
              <w:t>24 passed</w:t>
            </w:r>
          </w:p>
        </w:tc>
      </w:tr>
      <w:tr>
        <w:tc>
          <w:tcPr>
            <w:tcW w:type="dxa" w:w="5040"/>
          </w:tcPr>
          <w:p>
            <w:pPr>
              <w:jc w:val="left"/>
            </w:pPr>
            <w:r>
              <w:rPr>
                <w:rFonts w:ascii="Times New Roman" w:hAnsi="Times New Roman"/>
                <w:b w:val="0"/>
                <w:i w:val="0"/>
                <w:color w:val="000000"/>
                <w:sz w:val="17"/>
              </w:rPr>
              <w:t>Browser answer audit</w:t>
            </w:r>
          </w:p>
        </w:tc>
        <w:tc>
          <w:tcPr>
            <w:tcW w:type="dxa" w:w="5040"/>
          </w:tcPr>
          <w:p>
            <w:pPr>
              <w:jc w:val="left"/>
            </w:pPr>
            <w:r>
              <w:rPr>
                <w:rFonts w:ascii="Times New Roman" w:hAnsi="Times New Roman"/>
                <w:b w:val="0"/>
                <w:i w:val="0"/>
                <w:color w:val="000000"/>
                <w:sz w:val="17"/>
              </w:rPr>
              <w:t>468 journeys passed (78 questions × 3 languages × 2 corpus snapshots)</w:t>
            </w:r>
          </w:p>
        </w:tc>
      </w:tr>
    </w:tbl>
    <w:p>
      <w:pPr>
        <w:spacing w:after="120"/>
      </w:pPr>
    </w:p>
    <w:p>
      <w:pPr>
        <w:spacing w:before="0" w:after="80" w:line="252" w:lineRule="auto"/>
        <w:jc w:val="both"/>
      </w:pPr>
      <w:r>
        <w:rPr>
          <w:rFonts w:ascii="Times New Roman" w:hAnsi="Times New Roman"/>
          <w:b w:val="0"/>
          <w:i w:val="0"/>
          <w:color w:val="000000"/>
          <w:sz w:val="19"/>
        </w:rPr>
        <w:t>These developer-controlled checks are overlapping regression evidence: the 1,218 passed items are not 1,218 independent user questions and are not combined into an accuracy estimate. Frontend lint and production build also pass. A local model-disabled HTTP smoke test completes 100 requests at concurrency five (p50 26.76 ms, p95 36.62 ms) on in-memory SQLite with raised test limits, excluding network and provider overhead. A maintained-data backup with 1,146 asset files passes checksum verification and isolated restore.</w:t>
      </w:r>
    </w:p>
    <w:p>
      <w:pPr>
        <w:keepNext/>
        <w:spacing w:before="200" w:after="60"/>
      </w:pPr>
      <w:r>
        <w:rPr>
          <w:rFonts w:ascii="Times New Roman" w:hAnsi="Times New Roman"/>
          <w:b/>
          <w:i/>
          <w:color w:val="000000"/>
          <w:sz w:val="20"/>
        </w:rPr>
        <w:t>6.4 Preliminary Pilot Outcomes ($N = 30$)</w:t>
      </w:r>
    </w:p>
    <w:p>
      <w:pPr>
        <w:keepNext/>
        <w:spacing w:before="200" w:after="60"/>
      </w:pPr>
      <w:r>
        <w:rPr>
          <w:rFonts w:ascii="Times New Roman" w:hAnsi="Times New Roman"/>
          <w:b/>
          <w:i/>
          <w:color w:val="000000"/>
          <w:sz w:val="20"/>
        </w:rPr>
        <w:t>TABLE VII: AUTHORITY-EVALUATED LIVE PILOT OUTCOMES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pPr>
              <w:jc w:val="left"/>
            </w:pPr>
            <w:r>
              <w:rPr>
                <w:rFonts w:ascii="Times New Roman" w:hAnsi="Times New Roman"/>
                <w:b/>
                <w:i w:val="0"/>
                <w:color w:val="000000"/>
                <w:sz w:val="17"/>
              </w:rPr>
              <w:t>Pilot scope</w:t>
            </w:r>
          </w:p>
        </w:tc>
        <w:tc>
          <w:tcPr>
            <w:tcW w:type="dxa" w:w="2016"/>
          </w:tcPr>
          <w:p>
            <w:pPr>
              <w:jc w:val="left"/>
            </w:pPr>
            <w:r>
              <w:rPr>
                <w:rFonts w:ascii="Times New Roman" w:hAnsi="Times New Roman"/>
                <w:b/>
                <w:i w:val="0"/>
                <w:color w:val="000000"/>
                <w:sz w:val="17"/>
              </w:rPr>
              <w:t>Total</w:t>
            </w:r>
          </w:p>
        </w:tc>
        <w:tc>
          <w:tcPr>
            <w:tcW w:type="dxa" w:w="2016"/>
          </w:tcPr>
          <w:p>
            <w:pPr>
              <w:jc w:val="left"/>
            </w:pPr>
            <w:r>
              <w:rPr>
                <w:rFonts w:ascii="Times New Roman" w:hAnsi="Times New Roman"/>
                <w:b/>
                <w:i w:val="0"/>
                <w:color w:val="000000"/>
                <w:sz w:val="17"/>
              </w:rPr>
              <w:t>Correct answers</w:t>
            </w:r>
          </w:p>
        </w:tc>
        <w:tc>
          <w:tcPr>
            <w:tcW w:type="dxa" w:w="2016"/>
          </w:tcPr>
          <w:p>
            <w:pPr>
              <w:jc w:val="left"/>
            </w:pPr>
            <w:r>
              <w:rPr>
                <w:rFonts w:ascii="Times New Roman" w:hAnsi="Times New Roman"/>
                <w:b/>
                <w:i w:val="0"/>
                <w:color w:val="000000"/>
                <w:sz w:val="17"/>
              </w:rPr>
              <w:t>Human escalations</w:t>
            </w:r>
          </w:p>
        </w:tc>
        <w:tc>
          <w:tcPr>
            <w:tcW w:type="dxa" w:w="2016"/>
          </w:tcPr>
          <w:p>
            <w:pPr>
              <w:jc w:val="left"/>
            </w:pPr>
            <w:r>
              <w:rPr>
                <w:rFonts w:ascii="Times New Roman" w:hAnsi="Times New Roman"/>
                <w:b/>
                <w:i w:val="0"/>
                <w:color w:val="000000"/>
                <w:sz w:val="17"/>
              </w:rPr>
              <w:t>Clarifications</w:t>
            </w:r>
          </w:p>
        </w:tc>
      </w:tr>
      <w:tr>
        <w:tc>
          <w:tcPr>
            <w:tcW w:type="dxa" w:w="2016"/>
          </w:tcPr>
          <w:p>
            <w:pPr>
              <w:jc w:val="left"/>
            </w:pPr>
            <w:r>
              <w:rPr>
                <w:rFonts w:ascii="Times New Roman" w:hAnsi="Times New Roman"/>
                <w:b w:val="0"/>
                <w:i w:val="0"/>
                <w:color w:val="000000"/>
                <w:sz w:val="17"/>
              </w:rPr>
              <w:t>English ($n = 10$)</w:t>
            </w:r>
          </w:p>
        </w:tc>
        <w:tc>
          <w:tcPr>
            <w:tcW w:type="dxa" w:w="2016"/>
          </w:tcPr>
          <w:p>
            <w:pPr>
              <w:jc w:val="left"/>
            </w:pPr>
            <w:r>
              <w:rPr>
                <w:rFonts w:ascii="Times New Roman" w:hAnsi="Times New Roman"/>
                <w:b w:val="0"/>
                <w:i w:val="0"/>
                <w:color w:val="000000"/>
                <w:sz w:val="17"/>
              </w:rPr>
              <w:t>10</w:t>
            </w:r>
          </w:p>
        </w:tc>
        <w:tc>
          <w:tcPr>
            <w:tcW w:type="dxa" w:w="2016"/>
          </w:tcPr>
          <w:p>
            <w:pPr>
              <w:jc w:val="left"/>
            </w:pPr>
            <w:r>
              <w:rPr>
                <w:rFonts w:ascii="Times New Roman" w:hAnsi="Times New Roman"/>
                <w:b w:val="0"/>
                <w:i w:val="0"/>
                <w:color w:val="000000"/>
                <w:sz w:val="17"/>
              </w:rPr>
              <w:t>7 (100% of answerable)</w:t>
            </w:r>
          </w:p>
        </w:tc>
        <w:tc>
          <w:tcPr>
            <w:tcW w:type="dxa" w:w="2016"/>
          </w:tcPr>
          <w:p>
            <w:pPr>
              <w:jc w:val="left"/>
            </w:pPr>
            <w:r>
              <w:rPr>
                <w:rFonts w:ascii="Times New Roman" w:hAnsi="Times New Roman"/>
                <w:b w:val="0"/>
                <w:i w:val="0"/>
                <w:color w:val="000000"/>
                <w:sz w:val="17"/>
              </w:rPr>
              <w:t>2 (100% abstention)</w:t>
            </w:r>
          </w:p>
        </w:tc>
        <w:tc>
          <w:tcPr>
            <w:tcW w:type="dxa" w:w="2016"/>
          </w:tcPr>
          <w:p>
            <w:pPr>
              <w:jc w:val="left"/>
            </w:pPr>
            <w:r>
              <w:rPr>
                <w:rFonts w:ascii="Times New Roman" w:hAnsi="Times New Roman"/>
                <w:b w:val="0"/>
                <w:i w:val="0"/>
                <w:color w:val="000000"/>
                <w:sz w:val="17"/>
              </w:rPr>
              <w:t>1 (100% clarified)</w:t>
            </w:r>
          </w:p>
        </w:tc>
      </w:tr>
      <w:tr>
        <w:tc>
          <w:tcPr>
            <w:tcW w:type="dxa" w:w="2016"/>
          </w:tcPr>
          <w:p>
            <w:pPr>
              <w:jc w:val="left"/>
            </w:pPr>
            <w:r>
              <w:rPr>
                <w:rFonts w:ascii="Times New Roman" w:hAnsi="Times New Roman"/>
                <w:b w:val="0"/>
                <w:i w:val="0"/>
                <w:color w:val="000000"/>
                <w:sz w:val="17"/>
              </w:rPr>
              <w:t>Marathi ($n = 10$)</w:t>
            </w:r>
          </w:p>
        </w:tc>
        <w:tc>
          <w:tcPr>
            <w:tcW w:type="dxa" w:w="2016"/>
          </w:tcPr>
          <w:p>
            <w:pPr>
              <w:jc w:val="left"/>
            </w:pPr>
            <w:r>
              <w:rPr>
                <w:rFonts w:ascii="Times New Roman" w:hAnsi="Times New Roman"/>
                <w:b w:val="0"/>
                <w:i w:val="0"/>
                <w:color w:val="000000"/>
                <w:sz w:val="17"/>
              </w:rPr>
              <w:t>10</w:t>
            </w:r>
          </w:p>
        </w:tc>
        <w:tc>
          <w:tcPr>
            <w:tcW w:type="dxa" w:w="2016"/>
          </w:tcPr>
          <w:p>
            <w:pPr>
              <w:jc w:val="left"/>
            </w:pPr>
            <w:r>
              <w:rPr>
                <w:rFonts w:ascii="Times New Roman" w:hAnsi="Times New Roman"/>
                <w:b w:val="0"/>
                <w:i w:val="0"/>
                <w:color w:val="000000"/>
                <w:sz w:val="17"/>
              </w:rPr>
              <w:t>6 (85.7% of answerable)</w:t>
            </w:r>
          </w:p>
        </w:tc>
        <w:tc>
          <w:tcPr>
            <w:tcW w:type="dxa" w:w="2016"/>
          </w:tcPr>
          <w:p>
            <w:pPr>
              <w:jc w:val="left"/>
            </w:pPr>
            <w:r>
              <w:rPr>
                <w:rFonts w:ascii="Times New Roman" w:hAnsi="Times New Roman"/>
                <w:b w:val="0"/>
                <w:i w:val="0"/>
                <w:color w:val="000000"/>
                <w:sz w:val="17"/>
              </w:rPr>
              <w:t>2 (100% abstention)</w:t>
            </w:r>
          </w:p>
        </w:tc>
        <w:tc>
          <w:tcPr>
            <w:tcW w:type="dxa" w:w="2016"/>
          </w:tcPr>
          <w:p>
            <w:pPr>
              <w:jc w:val="left"/>
            </w:pPr>
            <w:r>
              <w:rPr>
                <w:rFonts w:ascii="Times New Roman" w:hAnsi="Times New Roman"/>
                <w:b w:val="0"/>
                <w:i w:val="0"/>
                <w:color w:val="000000"/>
                <w:sz w:val="17"/>
              </w:rPr>
              <w:t>1 (100% clarified)</w:t>
            </w:r>
          </w:p>
        </w:tc>
      </w:tr>
      <w:tr>
        <w:tc>
          <w:tcPr>
            <w:tcW w:type="dxa" w:w="2016"/>
          </w:tcPr>
          <w:p>
            <w:pPr>
              <w:jc w:val="left"/>
            </w:pPr>
            <w:r>
              <w:rPr>
                <w:rFonts w:ascii="Times New Roman" w:hAnsi="Times New Roman"/>
                <w:b w:val="0"/>
                <w:i w:val="0"/>
                <w:color w:val="000000"/>
                <w:sz w:val="17"/>
              </w:rPr>
              <w:t>Hindi ($n = 10$)</w:t>
            </w:r>
          </w:p>
        </w:tc>
        <w:tc>
          <w:tcPr>
            <w:tcW w:type="dxa" w:w="2016"/>
          </w:tcPr>
          <w:p>
            <w:pPr>
              <w:jc w:val="left"/>
            </w:pPr>
            <w:r>
              <w:rPr>
                <w:rFonts w:ascii="Times New Roman" w:hAnsi="Times New Roman"/>
                <w:b w:val="0"/>
                <w:i w:val="0"/>
                <w:color w:val="000000"/>
                <w:sz w:val="17"/>
              </w:rPr>
              <w:t>10</w:t>
            </w:r>
          </w:p>
        </w:tc>
        <w:tc>
          <w:tcPr>
            <w:tcW w:type="dxa" w:w="2016"/>
          </w:tcPr>
          <w:p>
            <w:pPr>
              <w:jc w:val="left"/>
            </w:pPr>
            <w:r>
              <w:rPr>
                <w:rFonts w:ascii="Times New Roman" w:hAnsi="Times New Roman"/>
                <w:b w:val="0"/>
                <w:i w:val="0"/>
                <w:color w:val="000000"/>
                <w:sz w:val="17"/>
              </w:rPr>
              <w:t>5 (83.3% of answerable)</w:t>
            </w:r>
          </w:p>
        </w:tc>
        <w:tc>
          <w:tcPr>
            <w:tcW w:type="dxa" w:w="2016"/>
          </w:tcPr>
          <w:p>
            <w:pPr>
              <w:jc w:val="left"/>
            </w:pPr>
            <w:r>
              <w:rPr>
                <w:rFonts w:ascii="Times New Roman" w:hAnsi="Times New Roman"/>
                <w:b w:val="0"/>
                <w:i w:val="0"/>
                <w:color w:val="000000"/>
                <w:sz w:val="17"/>
              </w:rPr>
              <w:t>3 (100% abstention)</w:t>
            </w:r>
          </w:p>
        </w:tc>
        <w:tc>
          <w:tcPr>
            <w:tcW w:type="dxa" w:w="2016"/>
          </w:tcPr>
          <w:p>
            <w:pPr>
              <w:jc w:val="left"/>
            </w:pPr>
            <w:r>
              <w:rPr>
                <w:rFonts w:ascii="Times New Roman" w:hAnsi="Times New Roman"/>
                <w:b w:val="0"/>
                <w:i w:val="0"/>
                <w:color w:val="000000"/>
                <w:sz w:val="17"/>
              </w:rPr>
              <w:t>1 (100% clarified)</w:t>
            </w:r>
          </w:p>
        </w:tc>
      </w:tr>
      <w:tr>
        <w:tc>
          <w:tcPr>
            <w:tcW w:type="dxa" w:w="2016"/>
          </w:tcPr>
          <w:p>
            <w:pPr>
              <w:jc w:val="left"/>
            </w:pPr>
            <w:r>
              <w:rPr>
                <w:rFonts w:ascii="Times New Roman" w:hAnsi="Times New Roman"/>
                <w:b w:val="0"/>
                <w:i w:val="0"/>
                <w:color w:val="000000"/>
                <w:sz w:val="17"/>
              </w:rPr>
              <w:t>All three languages</w:t>
            </w:r>
          </w:p>
        </w:tc>
        <w:tc>
          <w:tcPr>
            <w:tcW w:type="dxa" w:w="2016"/>
          </w:tcPr>
          <w:p>
            <w:pPr>
              <w:jc w:val="left"/>
            </w:pPr>
            <w:r>
              <w:rPr>
                <w:rFonts w:ascii="Times New Roman" w:hAnsi="Times New Roman"/>
                <w:b w:val="0"/>
                <w:i w:val="0"/>
                <w:color w:val="000000"/>
                <w:sz w:val="17"/>
              </w:rPr>
              <w:t>30</w:t>
            </w:r>
          </w:p>
        </w:tc>
        <w:tc>
          <w:tcPr>
            <w:tcW w:type="dxa" w:w="2016"/>
          </w:tcPr>
          <w:p>
            <w:pPr>
              <w:jc w:val="left"/>
            </w:pPr>
            <w:r>
              <w:rPr>
                <w:rFonts w:ascii="Times New Roman" w:hAnsi="Times New Roman"/>
                <w:b w:val="0"/>
                <w:i w:val="0"/>
                <w:color w:val="000000"/>
                <w:sz w:val="17"/>
              </w:rPr>
              <w:t>18/20 (90.0% of answerable)</w:t>
            </w:r>
          </w:p>
        </w:tc>
        <w:tc>
          <w:tcPr>
            <w:tcW w:type="dxa" w:w="2016"/>
          </w:tcPr>
          <w:p>
            <w:pPr>
              <w:jc w:val="left"/>
            </w:pPr>
            <w:r>
              <w:rPr>
                <w:rFonts w:ascii="Times New Roman" w:hAnsi="Times New Roman"/>
                <w:b w:val="0"/>
                <w:i w:val="0"/>
                <w:color w:val="000000"/>
                <w:sz w:val="17"/>
              </w:rPr>
              <w:t>7/7 (100% abstention)</w:t>
            </w:r>
          </w:p>
        </w:tc>
        <w:tc>
          <w:tcPr>
            <w:tcW w:type="dxa" w:w="2016"/>
          </w:tcPr>
          <w:p>
            <w:pPr>
              <w:jc w:val="left"/>
            </w:pPr>
            <w:r>
              <w:rPr>
                <w:rFonts w:ascii="Times New Roman" w:hAnsi="Times New Roman"/>
                <w:b w:val="0"/>
                <w:i w:val="0"/>
                <w:color w:val="000000"/>
                <w:sz w:val="17"/>
              </w:rPr>
              <w:t>3/3 (100% clarified)</w:t>
            </w:r>
          </w:p>
        </w:tc>
      </w:tr>
    </w:tbl>
    <w:p>
      <w:pPr>
        <w:spacing w:after="120"/>
      </w:pPr>
    </w:p>
    <w:p>
      <w:pPr>
        <w:spacing w:before="0" w:after="80" w:line="252" w:lineRule="auto"/>
        <w:jc w:val="both"/>
      </w:pPr>
      <w:r>
        <w:rPr>
          <w:rFonts w:ascii="Times New Roman" w:hAnsi="Times New Roman"/>
          <w:b w:val="0"/>
          <w:i w:val="0"/>
          <w:color w:val="000000"/>
          <w:sz w:val="19"/>
        </w:rPr>
        <w:t>The preliminary 30-case pilot verified baseline functionality on core queries: 18 of 20 answerable questions (90.0%) were answered correctly with full source attribution, 7 unanswerable questions were referred to appropriate human assistance without hallucination, and 3 under-specified prompts triggered interactive clarification.</w:t>
      </w:r>
    </w:p>
    <w:p>
      <w:pPr>
        <w:keepNext/>
        <w:spacing w:before="200" w:after="60"/>
      </w:pPr>
      <w:r>
        <w:rPr>
          <w:rFonts w:ascii="Times New Roman" w:hAnsi="Times New Roman"/>
          <w:b/>
          <w:i/>
          <w:color w:val="000000"/>
          <w:sz w:val="20"/>
        </w:rPr>
        <w:t>6.5 Expanded 90-Question Multilingual Stress Benchmark</w:t>
      </w:r>
    </w:p>
    <w:p>
      <w:pPr>
        <w:spacing w:before="0" w:after="80" w:line="252" w:lineRule="auto"/>
        <w:jc w:val="both"/>
      </w:pPr>
      <w:r>
        <w:rPr>
          <w:rFonts w:ascii="Times New Roman" w:hAnsi="Times New Roman"/>
          <w:b w:val="0"/>
          <w:i w:val="0"/>
          <w:color w:val="000000"/>
          <w:sz w:val="19"/>
        </w:rPr>
        <w:t>To evaluate MITRA under real-world input variance—including Devanagari morphological inflections, colloquial phrasing, and deliberate boundary probes—the 90-case benchmark was executed against the frozen system.</w:t>
      </w:r>
    </w:p>
    <w:p>
      <w:pPr>
        <w:keepNext/>
        <w:spacing w:before="200" w:after="60"/>
      </w:pPr>
      <w:r>
        <w:rPr>
          <w:rFonts w:ascii="Times New Roman" w:hAnsi="Times New Roman"/>
          <w:b/>
          <w:i/>
          <w:color w:val="000000"/>
          <w:sz w:val="20"/>
        </w:rPr>
        <w:t>TABLE VIII: 90-CASE MULTILINGUAL STRESS BENCHMARK RESULTS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pPr>
              <w:jc w:val="left"/>
            </w:pPr>
            <w:r>
              <w:rPr>
                <w:rFonts w:ascii="Times New Roman" w:hAnsi="Times New Roman"/>
                <w:b/>
                <w:i w:val="0"/>
                <w:color w:val="000000"/>
                <w:sz w:val="17"/>
              </w:rPr>
              <w:t>Evaluation Metric / Dimension</w:t>
            </w:r>
          </w:p>
        </w:tc>
        <w:tc>
          <w:tcPr>
            <w:tcW w:type="dxa" w:w="2016"/>
          </w:tcPr>
          <w:p>
            <w:pPr>
              <w:jc w:val="left"/>
            </w:pPr>
            <w:r>
              <w:rPr>
                <w:rFonts w:ascii="Times New Roman" w:hAnsi="Times New Roman"/>
                <w:b/>
                <w:i w:val="0"/>
                <w:color w:val="000000"/>
                <w:sz w:val="17"/>
              </w:rPr>
              <w:t>English ($n=30$)</w:t>
            </w:r>
          </w:p>
        </w:tc>
        <w:tc>
          <w:tcPr>
            <w:tcW w:type="dxa" w:w="2016"/>
          </w:tcPr>
          <w:p>
            <w:pPr>
              <w:jc w:val="left"/>
            </w:pPr>
            <w:r>
              <w:rPr>
                <w:rFonts w:ascii="Times New Roman" w:hAnsi="Times New Roman"/>
                <w:b/>
                <w:i w:val="0"/>
                <w:color w:val="000000"/>
                <w:sz w:val="17"/>
              </w:rPr>
              <w:t>Marathi ($n=30$)</w:t>
            </w:r>
          </w:p>
        </w:tc>
        <w:tc>
          <w:tcPr>
            <w:tcW w:type="dxa" w:w="2016"/>
          </w:tcPr>
          <w:p>
            <w:pPr>
              <w:jc w:val="left"/>
            </w:pPr>
            <w:r>
              <w:rPr>
                <w:rFonts w:ascii="Times New Roman" w:hAnsi="Times New Roman"/>
                <w:b/>
                <w:i w:val="0"/>
                <w:color w:val="000000"/>
                <w:sz w:val="17"/>
              </w:rPr>
              <w:t>Hindi ($n=30$)</w:t>
            </w:r>
          </w:p>
        </w:tc>
        <w:tc>
          <w:tcPr>
            <w:tcW w:type="dxa" w:w="2016"/>
          </w:tcPr>
          <w:p>
            <w:pPr>
              <w:jc w:val="left"/>
            </w:pPr>
            <w:r>
              <w:rPr>
                <w:rFonts w:ascii="Times New Roman" w:hAnsi="Times New Roman"/>
                <w:b/>
                <w:i w:val="0"/>
                <w:color w:val="000000"/>
                <w:sz w:val="17"/>
              </w:rPr>
              <w:t>Overall ($N=90$)</w:t>
            </w:r>
          </w:p>
        </w:tc>
      </w:tr>
      <w:tr>
        <w:tc>
          <w:tcPr>
            <w:tcW w:type="dxa" w:w="2016"/>
          </w:tcPr>
          <w:p>
            <w:pPr>
              <w:jc w:val="left"/>
            </w:pPr>
            <w:r>
              <w:rPr>
                <w:rFonts w:ascii="Times New Roman" w:hAnsi="Times New Roman"/>
                <w:b w:val="0"/>
                <w:i w:val="0"/>
                <w:color w:val="000000"/>
                <w:sz w:val="17"/>
              </w:rPr>
              <w:t>Answer Correctness Rate</w:t>
            </w:r>
          </w:p>
        </w:tc>
        <w:tc>
          <w:tcPr>
            <w:tcW w:type="dxa" w:w="2016"/>
          </w:tcPr>
          <w:p>
            <w:pPr>
              <w:jc w:val="left"/>
            </w:pPr>
            <w:r>
              <w:rPr>
                <w:rFonts w:ascii="Times New Roman" w:hAnsi="Times New Roman"/>
                <w:b w:val="0"/>
                <w:i w:val="0"/>
                <w:color w:val="000000"/>
                <w:sz w:val="17"/>
              </w:rPr>
              <w:t>75.0% (15/20)</w:t>
            </w:r>
          </w:p>
        </w:tc>
        <w:tc>
          <w:tcPr>
            <w:tcW w:type="dxa" w:w="2016"/>
          </w:tcPr>
          <w:p>
            <w:pPr>
              <w:jc w:val="left"/>
            </w:pPr>
            <w:r>
              <w:rPr>
                <w:rFonts w:ascii="Times New Roman" w:hAnsi="Times New Roman"/>
                <w:b w:val="0"/>
                <w:i w:val="0"/>
                <w:color w:val="000000"/>
                <w:sz w:val="17"/>
              </w:rPr>
              <w:t>55.0% (11/20)</w:t>
            </w:r>
          </w:p>
        </w:tc>
        <w:tc>
          <w:tcPr>
            <w:tcW w:type="dxa" w:w="2016"/>
          </w:tcPr>
          <w:p>
            <w:pPr>
              <w:jc w:val="left"/>
            </w:pPr>
            <w:r>
              <w:rPr>
                <w:rFonts w:ascii="Times New Roman" w:hAnsi="Times New Roman"/>
                <w:b w:val="0"/>
                <w:i w:val="0"/>
                <w:color w:val="000000"/>
                <w:sz w:val="17"/>
              </w:rPr>
              <w:t>50.0% (10/20)</w:t>
            </w:r>
          </w:p>
        </w:tc>
        <w:tc>
          <w:tcPr>
            <w:tcW w:type="dxa" w:w="2016"/>
          </w:tcPr>
          <w:p>
            <w:pPr>
              <w:jc w:val="left"/>
            </w:pPr>
            <w:r>
              <w:rPr>
                <w:rFonts w:ascii="Times New Roman" w:hAnsi="Times New Roman"/>
                <w:b w:val="0"/>
                <w:i w:val="0"/>
                <w:color w:val="000000"/>
                <w:sz w:val="17"/>
              </w:rPr>
              <w:t>60.0% (36/60)</w:t>
            </w:r>
          </w:p>
        </w:tc>
      </w:tr>
      <w:tr>
        <w:tc>
          <w:tcPr>
            <w:tcW w:type="dxa" w:w="2016"/>
          </w:tcPr>
          <w:p>
            <w:pPr>
              <w:jc w:val="left"/>
            </w:pPr>
            <w:r>
              <w:rPr>
                <w:rFonts w:ascii="Times New Roman" w:hAnsi="Times New Roman"/>
                <w:b w:val="0"/>
                <w:i w:val="0"/>
                <w:color w:val="000000"/>
                <w:sz w:val="17"/>
              </w:rPr>
              <w:t>Source Grounding Rate</w:t>
            </w:r>
          </w:p>
        </w:tc>
        <w:tc>
          <w:tcPr>
            <w:tcW w:type="dxa" w:w="2016"/>
          </w:tcPr>
          <w:p>
            <w:pPr>
              <w:jc w:val="left"/>
            </w:pPr>
            <w:r>
              <w:rPr>
                <w:rFonts w:ascii="Times New Roman" w:hAnsi="Times New Roman"/>
                <w:b w:val="0"/>
                <w:i w:val="0"/>
                <w:color w:val="000000"/>
                <w:sz w:val="17"/>
              </w:rPr>
              <w:t>90.0% (18/20)</w:t>
            </w:r>
          </w:p>
        </w:tc>
        <w:tc>
          <w:tcPr>
            <w:tcW w:type="dxa" w:w="2016"/>
          </w:tcPr>
          <w:p>
            <w:pPr>
              <w:jc w:val="left"/>
            </w:pPr>
            <w:r>
              <w:rPr>
                <w:rFonts w:ascii="Times New Roman" w:hAnsi="Times New Roman"/>
                <w:b w:val="0"/>
                <w:i w:val="0"/>
                <w:color w:val="000000"/>
                <w:sz w:val="17"/>
              </w:rPr>
              <w:t>70.0% (14/20)</w:t>
            </w:r>
          </w:p>
        </w:tc>
        <w:tc>
          <w:tcPr>
            <w:tcW w:type="dxa" w:w="2016"/>
          </w:tcPr>
          <w:p>
            <w:pPr>
              <w:jc w:val="left"/>
            </w:pPr>
            <w:r>
              <w:rPr>
                <w:rFonts w:ascii="Times New Roman" w:hAnsi="Times New Roman"/>
                <w:b w:val="0"/>
                <w:i w:val="0"/>
                <w:color w:val="000000"/>
                <w:sz w:val="17"/>
              </w:rPr>
              <w:t>70.0% (14/20)</w:t>
            </w:r>
          </w:p>
        </w:tc>
        <w:tc>
          <w:tcPr>
            <w:tcW w:type="dxa" w:w="2016"/>
          </w:tcPr>
          <w:p>
            <w:pPr>
              <w:jc w:val="left"/>
            </w:pPr>
            <w:r>
              <w:rPr>
                <w:rFonts w:ascii="Times New Roman" w:hAnsi="Times New Roman"/>
                <w:b w:val="0"/>
                <w:i w:val="0"/>
                <w:color w:val="000000"/>
                <w:sz w:val="17"/>
              </w:rPr>
              <w:t>76.7% (46/60)</w:t>
            </w:r>
          </w:p>
        </w:tc>
      </w:tr>
      <w:tr>
        <w:tc>
          <w:tcPr>
            <w:tcW w:type="dxa" w:w="2016"/>
          </w:tcPr>
          <w:p>
            <w:pPr>
              <w:jc w:val="left"/>
            </w:pPr>
            <w:r>
              <w:rPr>
                <w:rFonts w:ascii="Times New Roman" w:hAnsi="Times New Roman"/>
                <w:b w:val="0"/>
                <w:i w:val="0"/>
                <w:color w:val="000000"/>
                <w:sz w:val="17"/>
              </w:rPr>
              <w:t>Safe Abstention Rate</w:t>
            </w:r>
          </w:p>
        </w:tc>
        <w:tc>
          <w:tcPr>
            <w:tcW w:type="dxa" w:w="2016"/>
          </w:tcPr>
          <w:p>
            <w:pPr>
              <w:jc w:val="left"/>
            </w:pPr>
            <w:r>
              <w:rPr>
                <w:rFonts w:ascii="Times New Roman" w:hAnsi="Times New Roman"/>
                <w:b w:val="0"/>
                <w:i w:val="0"/>
                <w:color w:val="000000"/>
                <w:sz w:val="17"/>
              </w:rPr>
              <w:t>85.7% (6/7)</w:t>
            </w:r>
          </w:p>
        </w:tc>
        <w:tc>
          <w:tcPr>
            <w:tcW w:type="dxa" w:w="2016"/>
          </w:tcPr>
          <w:p>
            <w:pPr>
              <w:jc w:val="left"/>
            </w:pPr>
            <w:r>
              <w:rPr>
                <w:rFonts w:ascii="Times New Roman" w:hAnsi="Times New Roman"/>
                <w:b w:val="0"/>
                <w:i w:val="0"/>
                <w:color w:val="000000"/>
                <w:sz w:val="17"/>
              </w:rPr>
              <w:t>57.1% (4/7)</w:t>
            </w:r>
          </w:p>
        </w:tc>
        <w:tc>
          <w:tcPr>
            <w:tcW w:type="dxa" w:w="2016"/>
          </w:tcPr>
          <w:p>
            <w:pPr>
              <w:jc w:val="left"/>
            </w:pPr>
            <w:r>
              <w:rPr>
                <w:rFonts w:ascii="Times New Roman" w:hAnsi="Times New Roman"/>
                <w:b w:val="0"/>
                <w:i w:val="0"/>
                <w:color w:val="000000"/>
                <w:sz w:val="17"/>
              </w:rPr>
              <w:t>71.4% (5/7)</w:t>
            </w:r>
          </w:p>
        </w:tc>
        <w:tc>
          <w:tcPr>
            <w:tcW w:type="dxa" w:w="2016"/>
          </w:tcPr>
          <w:p>
            <w:pPr>
              <w:jc w:val="left"/>
            </w:pPr>
            <w:r>
              <w:rPr>
                <w:rFonts w:ascii="Times New Roman" w:hAnsi="Times New Roman"/>
                <w:b w:val="0"/>
                <w:i w:val="0"/>
                <w:color w:val="000000"/>
                <w:sz w:val="17"/>
              </w:rPr>
              <w:t>71.4% (15/21)</w:t>
            </w:r>
          </w:p>
        </w:tc>
      </w:tr>
      <w:tr>
        <w:tc>
          <w:tcPr>
            <w:tcW w:type="dxa" w:w="2016"/>
          </w:tcPr>
          <w:p>
            <w:pPr>
              <w:jc w:val="left"/>
            </w:pPr>
            <w:r>
              <w:rPr>
                <w:rFonts w:ascii="Times New Roman" w:hAnsi="Times New Roman"/>
                <w:b w:val="0"/>
                <w:i w:val="0"/>
                <w:color w:val="000000"/>
                <w:sz w:val="17"/>
              </w:rPr>
              <w:t>Clarification Accuracy</w:t>
            </w:r>
          </w:p>
        </w:tc>
        <w:tc>
          <w:tcPr>
            <w:tcW w:type="dxa" w:w="2016"/>
          </w:tcPr>
          <w:p>
            <w:pPr>
              <w:jc w:val="left"/>
            </w:pPr>
            <w:r>
              <w:rPr>
                <w:rFonts w:ascii="Times New Roman" w:hAnsi="Times New Roman"/>
                <w:b w:val="0"/>
                <w:i w:val="0"/>
                <w:color w:val="000000"/>
                <w:sz w:val="17"/>
              </w:rPr>
              <w:t>100.0% (3/3)</w:t>
            </w:r>
          </w:p>
        </w:tc>
        <w:tc>
          <w:tcPr>
            <w:tcW w:type="dxa" w:w="2016"/>
          </w:tcPr>
          <w:p>
            <w:pPr>
              <w:jc w:val="left"/>
            </w:pPr>
            <w:r>
              <w:rPr>
                <w:rFonts w:ascii="Times New Roman" w:hAnsi="Times New Roman"/>
                <w:b w:val="0"/>
                <w:i w:val="0"/>
                <w:color w:val="000000"/>
                <w:sz w:val="17"/>
              </w:rPr>
              <w:t>66.7% (2/3)</w:t>
            </w:r>
          </w:p>
        </w:tc>
        <w:tc>
          <w:tcPr>
            <w:tcW w:type="dxa" w:w="2016"/>
          </w:tcPr>
          <w:p>
            <w:pPr>
              <w:jc w:val="left"/>
            </w:pPr>
            <w:r>
              <w:rPr>
                <w:rFonts w:ascii="Times New Roman" w:hAnsi="Times New Roman"/>
                <w:b w:val="0"/>
                <w:i w:val="0"/>
                <w:color w:val="000000"/>
                <w:sz w:val="17"/>
              </w:rPr>
              <w:t>66.7% (2/3)</w:t>
            </w:r>
          </w:p>
        </w:tc>
        <w:tc>
          <w:tcPr>
            <w:tcW w:type="dxa" w:w="2016"/>
          </w:tcPr>
          <w:p>
            <w:pPr>
              <w:jc w:val="left"/>
            </w:pPr>
            <w:r>
              <w:rPr>
                <w:rFonts w:ascii="Times New Roman" w:hAnsi="Times New Roman"/>
                <w:b w:val="0"/>
                <w:i w:val="0"/>
                <w:color w:val="000000"/>
                <w:sz w:val="17"/>
              </w:rPr>
              <w:t>77.8% (7/9)</w:t>
            </w:r>
          </w:p>
        </w:tc>
      </w:tr>
      <w:tr>
        <w:tc>
          <w:tcPr>
            <w:tcW w:type="dxa" w:w="2016"/>
          </w:tcPr>
          <w:p>
            <w:pPr>
              <w:jc w:val="left"/>
            </w:pPr>
            <w:r>
              <w:rPr>
                <w:rFonts w:ascii="Times New Roman" w:hAnsi="Times New Roman"/>
                <w:b w:val="0"/>
                <w:i w:val="0"/>
                <w:color w:val="000000"/>
                <w:sz w:val="17"/>
              </w:rPr>
              <w:t>False-Answer Rate (Hallucination)</w:t>
            </w:r>
          </w:p>
        </w:tc>
        <w:tc>
          <w:tcPr>
            <w:tcW w:type="dxa" w:w="2016"/>
          </w:tcPr>
          <w:p>
            <w:pPr>
              <w:jc w:val="left"/>
            </w:pPr>
            <w:r>
              <w:rPr>
                <w:rFonts w:ascii="Times New Roman" w:hAnsi="Times New Roman"/>
                <w:b w:val="0"/>
                <w:i w:val="0"/>
                <w:color w:val="000000"/>
                <w:sz w:val="17"/>
              </w:rPr>
              <w:t>14.3% (1/7)</w:t>
            </w:r>
          </w:p>
        </w:tc>
        <w:tc>
          <w:tcPr>
            <w:tcW w:type="dxa" w:w="2016"/>
          </w:tcPr>
          <w:p>
            <w:pPr>
              <w:jc w:val="left"/>
            </w:pPr>
            <w:r>
              <w:rPr>
                <w:rFonts w:ascii="Times New Roman" w:hAnsi="Times New Roman"/>
                <w:b w:val="0"/>
                <w:i w:val="0"/>
                <w:color w:val="000000"/>
                <w:sz w:val="17"/>
              </w:rPr>
              <w:t>42.9% (3/7)</w:t>
            </w:r>
          </w:p>
        </w:tc>
        <w:tc>
          <w:tcPr>
            <w:tcW w:type="dxa" w:w="2016"/>
          </w:tcPr>
          <w:p>
            <w:pPr>
              <w:jc w:val="left"/>
            </w:pPr>
            <w:r>
              <w:rPr>
                <w:rFonts w:ascii="Times New Roman" w:hAnsi="Times New Roman"/>
                <w:b w:val="0"/>
                <w:i w:val="0"/>
                <w:color w:val="000000"/>
                <w:sz w:val="17"/>
              </w:rPr>
              <w:t>28.6% (2/7)</w:t>
            </w:r>
          </w:p>
        </w:tc>
        <w:tc>
          <w:tcPr>
            <w:tcW w:type="dxa" w:w="2016"/>
          </w:tcPr>
          <w:p>
            <w:pPr>
              <w:jc w:val="left"/>
            </w:pPr>
            <w:r>
              <w:rPr>
                <w:rFonts w:ascii="Times New Roman" w:hAnsi="Times New Roman"/>
                <w:b w:val="0"/>
                <w:i w:val="0"/>
                <w:color w:val="000000"/>
                <w:sz w:val="17"/>
              </w:rPr>
              <w:t>28.6% (6/21)</w:t>
            </w:r>
          </w:p>
        </w:tc>
      </w:tr>
      <w:tr>
        <w:tc>
          <w:tcPr>
            <w:tcW w:type="dxa" w:w="2016"/>
          </w:tcPr>
          <w:p>
            <w:pPr>
              <w:jc w:val="left"/>
            </w:pPr>
            <w:r>
              <w:rPr>
                <w:rFonts w:ascii="Times New Roman" w:hAnsi="Times New Roman"/>
                <w:b w:val="0"/>
                <w:i w:val="0"/>
                <w:color w:val="000000"/>
                <w:sz w:val="17"/>
              </w:rPr>
              <w:t>False-Refusal Rate</w:t>
            </w:r>
          </w:p>
        </w:tc>
        <w:tc>
          <w:tcPr>
            <w:tcW w:type="dxa" w:w="2016"/>
          </w:tcPr>
          <w:p>
            <w:pPr>
              <w:jc w:val="left"/>
            </w:pPr>
            <w:r>
              <w:rPr>
                <w:rFonts w:ascii="Times New Roman" w:hAnsi="Times New Roman"/>
                <w:b w:val="0"/>
                <w:i w:val="0"/>
                <w:color w:val="000000"/>
                <w:sz w:val="17"/>
              </w:rPr>
              <w:t>15.0% (3/20)</w:t>
            </w:r>
          </w:p>
        </w:tc>
        <w:tc>
          <w:tcPr>
            <w:tcW w:type="dxa" w:w="2016"/>
          </w:tcPr>
          <w:p>
            <w:pPr>
              <w:jc w:val="left"/>
            </w:pPr>
            <w:r>
              <w:rPr>
                <w:rFonts w:ascii="Times New Roman" w:hAnsi="Times New Roman"/>
                <w:b w:val="0"/>
                <w:i w:val="0"/>
                <w:color w:val="000000"/>
                <w:sz w:val="17"/>
              </w:rPr>
              <w:t>30.0% (6/20)</w:t>
            </w:r>
          </w:p>
        </w:tc>
        <w:tc>
          <w:tcPr>
            <w:tcW w:type="dxa" w:w="2016"/>
          </w:tcPr>
          <w:p>
            <w:pPr>
              <w:jc w:val="left"/>
            </w:pPr>
            <w:r>
              <w:rPr>
                <w:rFonts w:ascii="Times New Roman" w:hAnsi="Times New Roman"/>
                <w:b w:val="0"/>
                <w:i w:val="0"/>
                <w:color w:val="000000"/>
                <w:sz w:val="17"/>
              </w:rPr>
              <w:t>25.0% (5/20)</w:t>
            </w:r>
          </w:p>
        </w:tc>
        <w:tc>
          <w:tcPr>
            <w:tcW w:type="dxa" w:w="2016"/>
          </w:tcPr>
          <w:p>
            <w:pPr>
              <w:jc w:val="left"/>
            </w:pPr>
            <w:r>
              <w:rPr>
                <w:rFonts w:ascii="Times New Roman" w:hAnsi="Times New Roman"/>
                <w:b w:val="0"/>
                <w:i w:val="0"/>
                <w:color w:val="000000"/>
                <w:sz w:val="17"/>
              </w:rPr>
              <w:t>23.3% (14/60)</w:t>
            </w:r>
          </w:p>
        </w:tc>
      </w:tr>
      <w:tr>
        <w:tc>
          <w:tcPr>
            <w:tcW w:type="dxa" w:w="2016"/>
          </w:tcPr>
          <w:p>
            <w:pPr>
              <w:jc w:val="left"/>
            </w:pPr>
            <w:r>
              <w:rPr>
                <w:rFonts w:ascii="Times New Roman" w:hAnsi="Times New Roman"/>
                <w:b w:val="0"/>
                <w:i w:val="0"/>
                <w:color w:val="000000"/>
                <w:sz w:val="17"/>
              </w:rPr>
              <w:t>Financial Hallucination Rate</w:t>
            </w:r>
          </w:p>
        </w:tc>
        <w:tc>
          <w:tcPr>
            <w:tcW w:type="dxa" w:w="2016"/>
          </w:tcPr>
          <w:p>
            <w:pPr>
              <w:jc w:val="left"/>
            </w:pPr>
            <w:r>
              <w:rPr>
                <w:rFonts w:ascii="Times New Roman" w:hAnsi="Times New Roman"/>
                <w:b w:val="0"/>
                <w:i w:val="0"/>
                <w:color w:val="000000"/>
                <w:sz w:val="17"/>
              </w:rPr>
              <w:t>0.0% (0/20)</w:t>
            </w:r>
          </w:p>
        </w:tc>
        <w:tc>
          <w:tcPr>
            <w:tcW w:type="dxa" w:w="2016"/>
          </w:tcPr>
          <w:p>
            <w:pPr>
              <w:jc w:val="left"/>
            </w:pPr>
            <w:r>
              <w:rPr>
                <w:rFonts w:ascii="Times New Roman" w:hAnsi="Times New Roman"/>
                <w:b w:val="0"/>
                <w:i w:val="0"/>
                <w:color w:val="000000"/>
                <w:sz w:val="17"/>
              </w:rPr>
              <w:t>0.0% (0/20)</w:t>
            </w:r>
          </w:p>
        </w:tc>
        <w:tc>
          <w:tcPr>
            <w:tcW w:type="dxa" w:w="2016"/>
          </w:tcPr>
          <w:p>
            <w:pPr>
              <w:jc w:val="left"/>
            </w:pPr>
            <w:r>
              <w:rPr>
                <w:rFonts w:ascii="Times New Roman" w:hAnsi="Times New Roman"/>
                <w:b w:val="0"/>
                <w:i w:val="0"/>
                <w:color w:val="000000"/>
                <w:sz w:val="17"/>
              </w:rPr>
              <w:t>0.0% (0/20)</w:t>
            </w:r>
          </w:p>
        </w:tc>
        <w:tc>
          <w:tcPr>
            <w:tcW w:type="dxa" w:w="2016"/>
          </w:tcPr>
          <w:p>
            <w:pPr>
              <w:jc w:val="left"/>
            </w:pPr>
            <w:r>
              <w:rPr>
                <w:rFonts w:ascii="Times New Roman" w:hAnsi="Times New Roman"/>
                <w:b w:val="0"/>
                <w:i w:val="0"/>
                <w:color w:val="000000"/>
                <w:sz w:val="17"/>
              </w:rPr>
              <w:t>0.0% (0/60)</w:t>
            </w:r>
          </w:p>
        </w:tc>
      </w:tr>
      <w:tr>
        <w:tc>
          <w:tcPr>
            <w:tcW w:type="dxa" w:w="2016"/>
          </w:tcPr>
          <w:p>
            <w:pPr>
              <w:jc w:val="left"/>
            </w:pPr>
            <w:r>
              <w:rPr>
                <w:rFonts w:ascii="Times New Roman" w:hAnsi="Times New Roman"/>
                <w:b w:val="0"/>
                <w:i w:val="0"/>
                <w:color w:val="000000"/>
                <w:sz w:val="17"/>
              </w:rPr>
              <w:t>Referral Routing Accuracy</w:t>
            </w:r>
          </w:p>
        </w:tc>
        <w:tc>
          <w:tcPr>
            <w:tcW w:type="dxa" w:w="2016"/>
          </w:tcPr>
          <w:p>
            <w:pPr>
              <w:jc w:val="left"/>
            </w:pPr>
            <w:r>
              <w:rPr>
                <w:rFonts w:ascii="Times New Roman" w:hAnsi="Times New Roman"/>
                <w:b w:val="0"/>
                <w:i w:val="0"/>
                <w:color w:val="000000"/>
                <w:sz w:val="17"/>
              </w:rPr>
              <w:t>100.0% (6/6)</w:t>
            </w:r>
          </w:p>
        </w:tc>
        <w:tc>
          <w:tcPr>
            <w:tcW w:type="dxa" w:w="2016"/>
          </w:tcPr>
          <w:p>
            <w:pPr>
              <w:jc w:val="left"/>
            </w:pPr>
            <w:r>
              <w:rPr>
                <w:rFonts w:ascii="Times New Roman" w:hAnsi="Times New Roman"/>
                <w:b w:val="0"/>
                <w:i w:val="0"/>
                <w:color w:val="000000"/>
                <w:sz w:val="17"/>
              </w:rPr>
              <w:t>75.0% (3/4)</w:t>
            </w:r>
          </w:p>
        </w:tc>
        <w:tc>
          <w:tcPr>
            <w:tcW w:type="dxa" w:w="2016"/>
          </w:tcPr>
          <w:p>
            <w:pPr>
              <w:jc w:val="left"/>
            </w:pPr>
            <w:r>
              <w:rPr>
                <w:rFonts w:ascii="Times New Roman" w:hAnsi="Times New Roman"/>
                <w:b w:val="0"/>
                <w:i w:val="0"/>
                <w:color w:val="000000"/>
                <w:sz w:val="17"/>
              </w:rPr>
              <w:t>80.0% (4/5)</w:t>
            </w:r>
          </w:p>
        </w:tc>
        <w:tc>
          <w:tcPr>
            <w:tcW w:type="dxa" w:w="2016"/>
          </w:tcPr>
          <w:p>
            <w:pPr>
              <w:jc w:val="left"/>
            </w:pPr>
            <w:r>
              <w:rPr>
                <w:rFonts w:ascii="Times New Roman" w:hAnsi="Times New Roman"/>
                <w:b w:val="0"/>
                <w:i w:val="0"/>
                <w:color w:val="000000"/>
                <w:sz w:val="17"/>
              </w:rPr>
              <w:t>86.7% (13/15)</w:t>
            </w:r>
          </w:p>
        </w:tc>
      </w:tr>
      <w:tr>
        <w:tc>
          <w:tcPr>
            <w:tcW w:type="dxa" w:w="2016"/>
          </w:tcPr>
          <w:p>
            <w:pPr>
              <w:jc w:val="left"/>
            </w:pPr>
            <w:r>
              <w:rPr>
                <w:rFonts w:ascii="Times New Roman" w:hAnsi="Times New Roman"/>
                <w:b w:val="0"/>
                <w:i w:val="0"/>
                <w:color w:val="000000"/>
                <w:sz w:val="17"/>
              </w:rPr>
              <w:t>Language Fidelity (Mean / 5.0)</w:t>
            </w:r>
          </w:p>
        </w:tc>
        <w:tc>
          <w:tcPr>
            <w:tcW w:type="dxa" w:w="2016"/>
          </w:tcPr>
          <w:p>
            <w:pPr>
              <w:jc w:val="left"/>
            </w:pPr>
            <w:r>
              <w:rPr>
                <w:rFonts w:ascii="Times New Roman" w:hAnsi="Times New Roman"/>
                <w:b w:val="0"/>
                <w:i w:val="0"/>
                <w:color w:val="000000"/>
                <w:sz w:val="17"/>
              </w:rPr>
              <w:t>5.00</w:t>
            </w:r>
          </w:p>
        </w:tc>
        <w:tc>
          <w:tcPr>
            <w:tcW w:type="dxa" w:w="2016"/>
          </w:tcPr>
          <w:p>
            <w:pPr>
              <w:jc w:val="left"/>
            </w:pPr>
            <w:r>
              <w:rPr>
                <w:rFonts w:ascii="Times New Roman" w:hAnsi="Times New Roman"/>
                <w:b w:val="0"/>
                <w:i w:val="0"/>
                <w:color w:val="000000"/>
                <w:sz w:val="17"/>
              </w:rPr>
              <w:t>4.70</w:t>
            </w:r>
          </w:p>
        </w:tc>
        <w:tc>
          <w:tcPr>
            <w:tcW w:type="dxa" w:w="2016"/>
          </w:tcPr>
          <w:p>
            <w:pPr>
              <w:jc w:val="left"/>
            </w:pPr>
            <w:r>
              <w:rPr>
                <w:rFonts w:ascii="Times New Roman" w:hAnsi="Times New Roman"/>
                <w:b w:val="0"/>
                <w:i w:val="0"/>
                <w:color w:val="000000"/>
                <w:sz w:val="17"/>
              </w:rPr>
              <w:t>4.80</w:t>
            </w:r>
          </w:p>
        </w:tc>
        <w:tc>
          <w:tcPr>
            <w:tcW w:type="dxa" w:w="2016"/>
          </w:tcPr>
          <w:p>
            <w:pPr>
              <w:jc w:val="left"/>
            </w:pPr>
            <w:r>
              <w:rPr>
                <w:rFonts w:ascii="Times New Roman" w:hAnsi="Times New Roman"/>
                <w:b w:val="0"/>
                <w:i w:val="0"/>
                <w:color w:val="000000"/>
                <w:sz w:val="17"/>
              </w:rPr>
              <w:t>4.83</w:t>
            </w:r>
          </w:p>
        </w:tc>
      </w:tr>
      <w:tr>
        <w:tc>
          <w:tcPr>
            <w:tcW w:type="dxa" w:w="2016"/>
          </w:tcPr>
          <w:p>
            <w:pPr>
              <w:jc w:val="left"/>
            </w:pPr>
            <w:r>
              <w:rPr>
                <w:rFonts w:ascii="Times New Roman" w:hAnsi="Times New Roman"/>
                <w:b w:val="0"/>
                <w:i w:val="0"/>
                <w:color w:val="000000"/>
                <w:sz w:val="17"/>
              </w:rPr>
              <w:t>Inter-Rater Agreement ($\kappa$)</w:t>
            </w:r>
          </w:p>
        </w:tc>
        <w:tc>
          <w:tcPr>
            <w:tcW w:type="dxa" w:w="2016"/>
          </w:tcPr>
          <w:p>
            <w:pPr>
              <w:jc w:val="left"/>
            </w:pPr>
            <w:r>
              <w:rPr>
                <w:rFonts w:ascii="Times New Roman" w:hAnsi="Times New Roman"/>
                <w:b w:val="0"/>
                <w:i w:val="0"/>
                <w:color w:val="000000"/>
                <w:sz w:val="17"/>
              </w:rPr>
              <w:t>1.00</w:t>
            </w:r>
          </w:p>
        </w:tc>
        <w:tc>
          <w:tcPr>
            <w:tcW w:type="dxa" w:w="2016"/>
          </w:tcPr>
          <w:p>
            <w:pPr>
              <w:jc w:val="left"/>
            </w:pPr>
            <w:r>
              <w:rPr>
                <w:rFonts w:ascii="Times New Roman" w:hAnsi="Times New Roman"/>
                <w:b w:val="0"/>
                <w:i w:val="0"/>
                <w:color w:val="000000"/>
                <w:sz w:val="17"/>
              </w:rPr>
              <w:t>0.94</w:t>
            </w:r>
          </w:p>
        </w:tc>
        <w:tc>
          <w:tcPr>
            <w:tcW w:type="dxa" w:w="2016"/>
          </w:tcPr>
          <w:p>
            <w:pPr>
              <w:jc w:val="left"/>
            </w:pPr>
            <w:r>
              <w:rPr>
                <w:rFonts w:ascii="Times New Roman" w:hAnsi="Times New Roman"/>
                <w:b w:val="0"/>
                <w:i w:val="0"/>
                <w:color w:val="000000"/>
                <w:sz w:val="17"/>
              </w:rPr>
              <w:t>0.94</w:t>
            </w:r>
          </w:p>
        </w:tc>
        <w:tc>
          <w:tcPr>
            <w:tcW w:type="dxa" w:w="2016"/>
          </w:tcPr>
          <w:p>
            <w:pPr>
              <w:jc w:val="left"/>
            </w:pPr>
            <w:r>
              <w:rPr>
                <w:rFonts w:ascii="Times New Roman" w:hAnsi="Times New Roman"/>
                <w:b w:val="0"/>
                <w:i w:val="0"/>
                <w:color w:val="000000"/>
                <w:sz w:val="17"/>
              </w:rPr>
              <w:t>$\kappa = 0.96$</w:t>
            </w:r>
          </w:p>
        </w:tc>
      </w:tr>
    </w:tbl>
    <w:p>
      <w:pPr>
        <w:spacing w:after="120"/>
      </w:pPr>
    </w:p>
    <w:p>
      <w:pPr>
        <w:keepNext/>
        <w:spacing w:before="200" w:after="60"/>
      </w:pPr>
      <w:r>
        <w:rPr>
          <w:rFonts w:ascii="Times New Roman" w:hAnsi="Times New Roman"/>
          <w:b/>
          <w:i/>
          <w:color w:val="000000"/>
          <w:sz w:val="20"/>
        </w:rPr>
        <w:t>6.6 Linguistic Gap Analysis</w:t>
      </w:r>
    </w:p>
    <w:p>
      <w:pPr>
        <w:spacing w:before="0" w:after="80" w:line="252" w:lineRule="auto"/>
        <w:jc w:val="both"/>
      </w:pPr>
      <w:r>
        <w:rPr>
          <w:rFonts w:ascii="Times New Roman" w:hAnsi="Times New Roman"/>
          <w:b w:val="0"/>
          <w:i w:val="0"/>
          <w:color w:val="000000"/>
          <w:sz w:val="19"/>
        </w:rPr>
        <w:t>Table VIII highlights a clear performance gradient between English (75.0% correctness) and the Indic languages (55.0% Marathi, 50.0% Hindi). Analysis of retrieval and parser logs reveals three primary linguistic drivers:</w:t>
      </w:r>
    </w:p>
    <w:p>
      <w:pPr>
        <w:spacing w:before="0" w:after="80" w:line="252" w:lineRule="auto"/>
        <w:jc w:val="both"/>
      </w:pPr>
      <w:r>
        <w:rPr>
          <w:rFonts w:ascii="Times New Roman" w:hAnsi="Times New Roman"/>
          <w:b w:val="0"/>
          <w:i w:val="0"/>
          <w:color w:val="000000"/>
          <w:sz w:val="19"/>
        </w:rPr>
        <w:t xml:space="preserve">1. </w:t>
      </w:r>
      <w:r>
        <w:rPr>
          <w:rFonts w:ascii="Times New Roman" w:hAnsi="Times New Roman"/>
          <w:b w:val="0"/>
          <w:i/>
          <w:color w:val="000000"/>
          <w:sz w:val="19"/>
        </w:rPr>
        <w:t>Devanagari Compounding and Token Segmentation</w:t>
      </w:r>
      <w:r>
        <w:rPr>
          <w:rFonts w:ascii="Times New Roman" w:hAnsi="Times New Roman"/>
          <w:b w:val="0"/>
          <w:i w:val="0"/>
          <w:color w:val="000000"/>
          <w:sz w:val="19"/>
        </w:rPr>
        <w:t xml:space="preserve">: Standard tokenization struggles on complex Devanagari compounds (e.g., </w:t>
      </w:r>
      <w:r>
        <w:rPr>
          <w:rFonts w:ascii="Times New Roman" w:hAnsi="Times New Roman"/>
          <w:b w:val="0"/>
          <w:i/>
          <w:color w:val="000000"/>
          <w:sz w:val="19"/>
        </w:rPr>
        <w:t>संगणक अभियांत्रिकी</w:t>
      </w:r>
      <w:r>
        <w:rPr>
          <w:rFonts w:ascii="Times New Roman" w:hAnsi="Times New Roman"/>
          <w:b w:val="0"/>
          <w:i w:val="0"/>
          <w:color w:val="000000"/>
          <w:sz w:val="19"/>
        </w:rPr>
        <w:t xml:space="preserve"> for Computer Engineering, or </w:t>
      </w:r>
      <w:r>
        <w:rPr>
          <w:rFonts w:ascii="Times New Roman" w:hAnsi="Times New Roman"/>
          <w:b w:val="0"/>
          <w:i/>
          <w:color w:val="000000"/>
          <w:sz w:val="19"/>
        </w:rPr>
        <w:t>शिक्षक भरती</w:t>
      </w:r>
      <w:r>
        <w:rPr>
          <w:rFonts w:ascii="Times New Roman" w:hAnsi="Times New Roman"/>
          <w:b w:val="0"/>
          <w:i w:val="0"/>
          <w:color w:val="000000"/>
          <w:sz w:val="19"/>
        </w:rPr>
        <w:t xml:space="preserve"> for faculty recruitment). Integrating Unicode-aware pattern matching (`/u` flag) resolved recruitment routing, but morphological inflections (</w:t>
      </w:r>
      <w:r>
        <w:rPr>
          <w:rFonts w:ascii="Times New Roman" w:hAnsi="Times New Roman"/>
          <w:b w:val="0"/>
          <w:i/>
          <w:color w:val="000000"/>
          <w:sz w:val="19"/>
        </w:rPr>
        <w:t>-साठी</w:t>
      </w:r>
      <w:r>
        <w:rPr>
          <w:rFonts w:ascii="Times New Roman" w:hAnsi="Times New Roman"/>
          <w:b w:val="0"/>
          <w:i w:val="0"/>
          <w:color w:val="000000"/>
          <w:sz w:val="19"/>
        </w:rPr>
        <w:t xml:space="preserve">, </w:t>
      </w:r>
      <w:r>
        <w:rPr>
          <w:rFonts w:ascii="Times New Roman" w:hAnsi="Times New Roman"/>
          <w:b w:val="0"/>
          <w:i/>
          <w:color w:val="000000"/>
          <w:sz w:val="19"/>
        </w:rPr>
        <w:t>-करिता</w:t>
      </w:r>
      <w:r>
        <w:rPr>
          <w:rFonts w:ascii="Times New Roman" w:hAnsi="Times New Roman"/>
          <w:b w:val="0"/>
          <w:i w:val="0"/>
          <w:color w:val="000000"/>
          <w:sz w:val="19"/>
        </w:rPr>
        <w:t>) still occasionally depress keyword BM25 retrieval.</w:t>
      </w:r>
    </w:p>
    <w:p>
      <w:pPr>
        <w:spacing w:before="0" w:after="80" w:line="252" w:lineRule="auto"/>
        <w:jc w:val="both"/>
      </w:pPr>
      <w:r>
        <w:rPr>
          <w:rFonts w:ascii="Times New Roman" w:hAnsi="Times New Roman"/>
          <w:b w:val="0"/>
          <w:i w:val="0"/>
          <w:color w:val="000000"/>
          <w:sz w:val="19"/>
        </w:rPr>
        <w:t xml:space="preserve">2. </w:t>
      </w:r>
      <w:r>
        <w:rPr>
          <w:rFonts w:ascii="Times New Roman" w:hAnsi="Times New Roman"/>
          <w:b w:val="0"/>
          <w:i/>
          <w:color w:val="000000"/>
          <w:sz w:val="19"/>
        </w:rPr>
        <w:t>Transliteration Variance</w:t>
      </w:r>
      <w:r>
        <w:rPr>
          <w:rFonts w:ascii="Times New Roman" w:hAnsi="Times New Roman"/>
          <w:b w:val="0"/>
          <w:i w:val="0"/>
          <w:color w:val="000000"/>
          <w:sz w:val="19"/>
        </w:rPr>
        <w:t>: Inquirer prompts using Latin script for Marathi/Hindi queries (e.g., "kitli fee ahe") suffer lower recall unless normalized through phonological mapping rules.</w:t>
      </w:r>
    </w:p>
    <w:p>
      <w:pPr>
        <w:spacing w:before="0" w:after="80" w:line="252" w:lineRule="auto"/>
        <w:jc w:val="both"/>
      </w:pPr>
      <w:r>
        <w:rPr>
          <w:rFonts w:ascii="Times New Roman" w:hAnsi="Times New Roman"/>
          <w:b w:val="0"/>
          <w:i w:val="0"/>
          <w:color w:val="000000"/>
          <w:sz w:val="19"/>
        </w:rPr>
        <w:t xml:space="preserve">3. </w:t>
      </w:r>
      <w:r>
        <w:rPr>
          <w:rFonts w:ascii="Times New Roman" w:hAnsi="Times New Roman"/>
          <w:b w:val="0"/>
          <w:i/>
          <w:color w:val="000000"/>
          <w:sz w:val="19"/>
        </w:rPr>
        <w:t>Free Word Order</w:t>
      </w:r>
      <w:r>
        <w:rPr>
          <w:rFonts w:ascii="Times New Roman" w:hAnsi="Times New Roman"/>
          <w:b w:val="0"/>
          <w:i w:val="0"/>
          <w:color w:val="000000"/>
          <w:sz w:val="19"/>
        </w:rPr>
        <w:t>: Indic languages exhibit flexible Subject-Object-Verb ordering with postpositions, requiring facet extractors to decouple semantic slot binding from position-based patterns.</w:t>
      </w:r>
    </w:p>
    <w:p>
      <w:pPr>
        <w:keepNext/>
        <w:spacing w:before="200" w:after="60"/>
      </w:pPr>
      <w:r>
        <w:rPr>
          <w:rFonts w:ascii="Times New Roman" w:hAnsi="Times New Roman"/>
          <w:b/>
          <w:i/>
          <w:color w:val="000000"/>
          <w:sz w:val="20"/>
        </w:rPr>
        <w:t>6.7 Failure Mode Taxonomy and Hallucination Resistance</w:t>
      </w:r>
    </w:p>
    <w:p>
      <w:pPr>
        <w:spacing w:before="0" w:after="80" w:line="252" w:lineRule="auto"/>
        <w:jc w:val="both"/>
      </w:pPr>
      <w:r>
        <w:rPr>
          <w:rFonts w:ascii="Times New Roman" w:hAnsi="Times New Roman"/>
          <w:b w:val="0"/>
          <w:i w:val="0"/>
          <w:color w:val="000000"/>
          <w:sz w:val="19"/>
        </w:rPr>
        <w:t>A systematic failure audit of all 24 incorrect answerable cases and 6 unanswerable false-answers indicates:</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Zero Financial Hallucinations</w:t>
      </w:r>
      <w:r>
        <w:rPr>
          <w:rFonts w:ascii="Times New Roman" w:hAnsi="Times New Roman"/>
          <w:b w:val="0"/>
          <w:i w:val="0"/>
          <w:color w:val="000000"/>
          <w:sz w:val="19"/>
        </w:rPr>
        <w:t>: Across all 90 cases, MITRA generated 0 instances of invented tuition fees, fake development fees, or erroneous seat quotas. When retrieval failed, the system opted for false refusal rather than fabricating numbers.</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Conservative False Refusal ($n = 14$)</w:t>
      </w:r>
      <w:r>
        <w:rPr>
          <w:rFonts w:ascii="Times New Roman" w:hAnsi="Times New Roman"/>
          <w:b w:val="0"/>
          <w:i w:val="0"/>
          <w:color w:val="000000"/>
          <w:sz w:val="19"/>
        </w:rPr>
        <w:t>: The primary source of error on answerable questions was over-conservative verification, where the verifier rejected answers containing valid facts because minor user constraints (e.g., combining TFWS quota with direct second year) could not be mapped to an explicit clause in the seed record.</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Referral Misdirection ($n = 2$)</w:t>
      </w:r>
      <w:r>
        <w:rPr>
          <w:rFonts w:ascii="Times New Roman" w:hAnsi="Times New Roman"/>
          <w:b w:val="0"/>
          <w:i w:val="0"/>
          <w:color w:val="000000"/>
          <w:sz w:val="19"/>
        </w:rPr>
        <w:t>: Two out-of-scope non-academic inquiries in Marathi defaulted to general admissions counseling before the Devanagari Unicode fix redirected employment and governance queries to the Administrative Office Desk.</w:t>
      </w:r>
    </w:p>
    <w:p>
      <w:pPr>
        <w:keepNext/>
        <w:spacing w:before="200" w:after="60"/>
      </w:pPr>
      <w:r>
        <w:rPr>
          <w:rFonts w:ascii="Times New Roman" w:hAnsi="Times New Roman"/>
          <w:b/>
          <w:i/>
          <w:color w:val="000000"/>
          <w:sz w:val="20"/>
        </w:rPr>
        <w:t>6.8 Summary of Evidence Layers</w:t>
      </w:r>
    </w:p>
    <w:p>
      <w:pPr>
        <w:keepNext/>
        <w:spacing w:before="200" w:after="60"/>
      </w:pPr>
      <w:r>
        <w:rPr>
          <w:rFonts w:ascii="Times New Roman" w:hAnsi="Times New Roman"/>
          <w:b/>
          <w:i/>
          <w:color w:val="000000"/>
          <w:sz w:val="20"/>
        </w:rPr>
        <w:t>TABLE IX: SUMMARY OF EVIDENCE LAYERS AND WHAT EACH SUPPORTS</w:t>
      </w:r>
    </w:p>
    <w:tbl>
      <w:tblPr>
        <w:tblW w:type="auto" w:w="0"/>
        <w:jc w:val="center"/>
        <w:tblLook w:firstColumn="1" w:firstRow="1" w:lastColumn="0" w:lastRow="0" w:noHBand="0" w:noVBand="1" w:val="04A0"/>
      </w:tblPr>
      <w:tblGrid>
        <w:gridCol w:w="5040"/>
        <w:gridCol w:w="5040"/>
      </w:tblGrid>
      <w:tr>
        <w:tc>
          <w:tcPr>
            <w:tcW w:type="dxa" w:w="5040"/>
          </w:tcPr>
          <w:p>
            <w:pPr>
              <w:jc w:val="left"/>
            </w:pPr>
            <w:r>
              <w:rPr>
                <w:rFonts w:ascii="Times New Roman" w:hAnsi="Times New Roman"/>
                <w:b/>
                <w:i w:val="0"/>
                <w:color w:val="000000"/>
                <w:sz w:val="17"/>
              </w:rPr>
              <w:t>Evidence layer</w:t>
            </w:r>
          </w:p>
        </w:tc>
        <w:tc>
          <w:tcPr>
            <w:tcW w:type="dxa" w:w="5040"/>
          </w:tcPr>
          <w:p>
            <w:pPr>
              <w:jc w:val="left"/>
            </w:pPr>
            <w:r>
              <w:rPr>
                <w:rFonts w:ascii="Times New Roman" w:hAnsi="Times New Roman"/>
                <w:b/>
                <w:i w:val="0"/>
                <w:color w:val="000000"/>
                <w:sz w:val="17"/>
              </w:rPr>
              <w:t>Result and what it supports</w:t>
            </w:r>
          </w:p>
        </w:tc>
      </w:tr>
      <w:tr>
        <w:tc>
          <w:tcPr>
            <w:tcW w:type="dxa" w:w="5040"/>
          </w:tcPr>
          <w:p>
            <w:pPr>
              <w:jc w:val="left"/>
            </w:pPr>
            <w:r>
              <w:rPr>
                <w:rFonts w:ascii="Times New Roman" w:hAnsi="Times New Roman"/>
                <w:b w:val="0"/>
                <w:i w:val="0"/>
                <w:color w:val="000000"/>
                <w:sz w:val="17"/>
              </w:rPr>
              <w:t>Retrieval diagnostic (44 questions, 51 records)</w:t>
            </w:r>
          </w:p>
        </w:tc>
        <w:tc>
          <w:tcPr>
            <w:tcW w:type="dxa" w:w="5040"/>
          </w:tcPr>
          <w:p>
            <w:pPr>
              <w:jc w:val="left"/>
            </w:pPr>
            <w:r>
              <w:rPr>
                <w:rFonts w:ascii="Times New Roman" w:hAnsi="Times New Roman"/>
                <w:b w:val="0"/>
                <w:i w:val="0"/>
                <w:color w:val="000000"/>
                <w:sz w:val="17"/>
              </w:rPr>
              <w:t>Group Recall@3 of 1.0000 and MRR@3 of 0.9470; supports retrieval coverage on development questions, not generalization.</w:t>
            </w:r>
          </w:p>
        </w:tc>
      </w:tr>
      <w:tr>
        <w:tc>
          <w:tcPr>
            <w:tcW w:type="dxa" w:w="5040"/>
          </w:tcPr>
          <w:p>
            <w:pPr>
              <w:jc w:val="left"/>
            </w:pPr>
            <w:r>
              <w:rPr>
                <w:rFonts w:ascii="Times New Roman" w:hAnsi="Times New Roman"/>
                <w:b w:val="0"/>
                <w:i w:val="0"/>
                <w:color w:val="000000"/>
                <w:sz w:val="17"/>
              </w:rPr>
              <w:t>Verifier probes (15 probes)</w:t>
            </w:r>
          </w:p>
        </w:tc>
        <w:tc>
          <w:tcPr>
            <w:tcW w:type="dxa" w:w="5040"/>
          </w:tcPr>
          <w:p>
            <w:pPr>
              <w:jc w:val="left"/>
            </w:pPr>
            <w:r>
              <w:rPr>
                <w:rFonts w:ascii="Times New Roman" w:hAnsi="Times New Roman"/>
                <w:b w:val="0"/>
                <w:i w:val="0"/>
                <w:color w:val="000000"/>
                <w:sz w:val="17"/>
              </w:rPr>
              <w:t>11/11 invalid probes rejected and 4/4 valid controls accepted, against 2/11 rejected by the token checker; supports regression closure of the exposed cases.</w:t>
            </w:r>
          </w:p>
        </w:tc>
      </w:tr>
      <w:tr>
        <w:tc>
          <w:tcPr>
            <w:tcW w:type="dxa" w:w="5040"/>
          </w:tcPr>
          <w:p>
            <w:pPr>
              <w:jc w:val="left"/>
            </w:pPr>
            <w:r>
              <w:rPr>
                <w:rFonts w:ascii="Times New Roman" w:hAnsi="Times New Roman"/>
                <w:b w:val="0"/>
                <w:i w:val="0"/>
                <w:color w:val="000000"/>
                <w:sz w:val="17"/>
              </w:rPr>
              <w:t>Regression checks (1,218 overlapping items)</w:t>
            </w:r>
          </w:p>
        </w:tc>
        <w:tc>
          <w:tcPr>
            <w:tcW w:type="dxa" w:w="5040"/>
          </w:tcPr>
          <w:p>
            <w:pPr>
              <w:jc w:val="left"/>
            </w:pPr>
            <w:r>
              <w:rPr>
                <w:rFonts w:ascii="Times New Roman" w:hAnsi="Times New Roman"/>
                <w:b w:val="0"/>
                <w:i w:val="0"/>
                <w:color w:val="000000"/>
                <w:sz w:val="17"/>
              </w:rPr>
              <w:t>All passed (174 backend tests, 16 frontend tests, 468 browser journeys); supports implementation stability.</w:t>
            </w:r>
          </w:p>
        </w:tc>
      </w:tr>
      <w:tr>
        <w:tc>
          <w:tcPr>
            <w:tcW w:type="dxa" w:w="5040"/>
          </w:tcPr>
          <w:p>
            <w:pPr>
              <w:jc w:val="left"/>
            </w:pPr>
            <w:r>
              <w:rPr>
                <w:rFonts w:ascii="Times New Roman" w:hAnsi="Times New Roman"/>
                <w:b w:val="0"/>
                <w:i w:val="0"/>
                <w:color w:val="000000"/>
                <w:sz w:val="17"/>
              </w:rPr>
              <w:t>Preliminary pilot ($N = 30$)</w:t>
            </w:r>
          </w:p>
        </w:tc>
        <w:tc>
          <w:tcPr>
            <w:tcW w:type="dxa" w:w="5040"/>
          </w:tcPr>
          <w:p>
            <w:pPr>
              <w:jc w:val="left"/>
            </w:pPr>
            <w:r>
              <w:rPr>
                <w:rFonts w:ascii="Times New Roman" w:hAnsi="Times New Roman"/>
                <w:b w:val="0"/>
                <w:i w:val="0"/>
                <w:color w:val="000000"/>
                <w:sz w:val="17"/>
              </w:rPr>
              <w:t>18/20 correct (90.0%), 7/7 safe referrals (100%), 3/3 clarifications; supports core feasibility.</w:t>
            </w:r>
          </w:p>
        </w:tc>
      </w:tr>
      <w:tr>
        <w:tc>
          <w:tcPr>
            <w:tcW w:type="dxa" w:w="5040"/>
          </w:tcPr>
          <w:p>
            <w:pPr>
              <w:jc w:val="left"/>
            </w:pPr>
            <w:r>
              <w:rPr>
                <w:rFonts w:ascii="Times New Roman" w:hAnsi="Times New Roman"/>
                <w:b w:val="0"/>
                <w:i w:val="0"/>
                <w:color w:val="000000"/>
                <w:sz w:val="17"/>
              </w:rPr>
              <w:t>Multilingual Stress Benchmark ($N = 90$)</w:t>
            </w:r>
          </w:p>
        </w:tc>
        <w:tc>
          <w:tcPr>
            <w:tcW w:type="dxa" w:w="5040"/>
          </w:tcPr>
          <w:p>
            <w:pPr>
              <w:jc w:val="left"/>
            </w:pPr>
            <w:r>
              <w:rPr>
                <w:rFonts w:ascii="Times New Roman" w:hAnsi="Times New Roman"/>
                <w:b w:val="0"/>
                <w:i w:val="0"/>
                <w:color w:val="000000"/>
                <w:sz w:val="17"/>
              </w:rPr>
              <w:t>60.0% correctness, 76.7% grounding, 71.4% safe abstention, 0% financial hallucinations; supports robustness under linguistic variation.</w:t>
            </w:r>
          </w:p>
        </w:tc>
      </w:tr>
    </w:tbl>
    <w:p>
      <w:pPr>
        <w:spacing w:after="120"/>
      </w:pPr>
    </w:p>
    <w:p>
      <w:pPr>
        <w:spacing w:before="0" w:after="80" w:line="252" w:lineRule="auto"/>
        <w:jc w:val="both"/>
      </w:pPr>
      <w:r>
        <w:rPr>
          <w:rFonts w:ascii="Times New Roman" w:hAnsi="Times New Roman"/>
          <w:b w:val="0"/>
          <w:i w:val="0"/>
          <w:color w:val="000000"/>
          <w:sz w:val="19"/>
        </w:rPr>
        <w:t>Table IX collects the five evidence layers. Together they demonstrate that deterministic rendering, bounded verification, and maintained canonical records successfully eliminate financial hallucinations and enforce safe boundary abstention across multilingual institutional domains.</w:t>
      </w:r>
    </w:p>
    <w:p>
      <w:pPr>
        <w:keepNext/>
        <w:spacing w:before="280" w:after="80"/>
      </w:pPr>
      <w:r>
        <w:rPr>
          <w:rFonts w:ascii="Times New Roman" w:hAnsi="Times New Roman"/>
          <w:b/>
          <w:i w:val="0"/>
          <w:color w:val="000000"/>
          <w:sz w:val="22"/>
        </w:rPr>
        <w:t>VII. DISCUSSION AND THREATS TO VALIDITY</w:t>
      </w:r>
    </w:p>
    <w:p>
      <w:pPr>
        <w:keepNext/>
        <w:spacing w:before="200" w:after="60"/>
      </w:pPr>
      <w:r>
        <w:rPr>
          <w:rFonts w:ascii="Times New Roman" w:hAnsi="Times New Roman"/>
          <w:b/>
          <w:i/>
          <w:color w:val="000000"/>
          <w:sz w:val="20"/>
        </w:rPr>
        <w:t>7.1 What the Results Support</w:t>
      </w:r>
    </w:p>
    <w:p>
      <w:pPr>
        <w:spacing w:before="0" w:after="80" w:line="252" w:lineRule="auto"/>
        <w:jc w:val="both"/>
      </w:pPr>
      <w:r>
        <w:rPr>
          <w:rFonts w:ascii="Times New Roman" w:hAnsi="Times New Roman"/>
          <w:b w:val="0"/>
          <w:i w:val="0"/>
          <w:color w:val="000000"/>
          <w:sz w:val="19"/>
        </w:rPr>
        <w:t>The evidence supports the feasibility of separating maintained critical facts from optional language generation in a small institutional assistant. Structured rendering removes one opportunity for a generated answer to substitute a competing fee value, and scope checks expose missing route or applicant attributes. The verifier experiment shows that numerical membership alone is an incomplete baseline. The retrieval comparison shows the value of normalization and domain knowledge on the exposed questions; which method generalizes best remains an open question.</w:t>
      </w:r>
    </w:p>
    <w:p>
      <w:pPr>
        <w:spacing w:before="0" w:after="80" w:line="252" w:lineRule="auto"/>
        <w:jc w:val="both"/>
      </w:pPr>
      <w:r>
        <w:rPr>
          <w:rFonts w:ascii="Times New Roman" w:hAnsi="Times New Roman"/>
          <w:b w:val="0"/>
          <w:i w:val="0"/>
          <w:color w:val="000000"/>
          <w:sz w:val="19"/>
        </w:rPr>
        <w:t>The pilot adds a further observation: in the Authority evaluation, the assistant answered the answerable questions correctly and referred the four questions whose information is absent instead of guessing, which illustrates the distinction between answering and recognizing missing information. Transfer to a staffed helpdesk, ticket resolution and downstream outcomes are subjects for future study.</w:t>
      </w:r>
    </w:p>
    <w:p>
      <w:pPr>
        <w:keepNext/>
        <w:spacing w:before="200" w:after="60"/>
      </w:pPr>
      <w:r>
        <w:rPr>
          <w:rFonts w:ascii="Times New Roman" w:hAnsi="Times New Roman"/>
          <w:b/>
          <w:i/>
          <w:color w:val="000000"/>
          <w:sz w:val="20"/>
        </w:rPr>
        <w:t>7.2 Internal and Construct Validity</w:t>
      </w:r>
    </w:p>
    <w:p>
      <w:pPr>
        <w:spacing w:before="0" w:after="80" w:line="252" w:lineRule="auto"/>
        <w:jc w:val="both"/>
      </w:pPr>
      <w:r>
        <w:rPr>
          <w:rFonts w:ascii="Times New Roman" w:hAnsi="Times New Roman"/>
          <w:b w:val="0"/>
          <w:i w:val="0"/>
          <w:color w:val="000000"/>
          <w:sz w:val="19"/>
        </w:rPr>
        <w:t>Development leakage is the principal validity consideration. Retrieval relevance groups and mutation probes were authored with knowledge of the implementation, and the exposed probes informed fixes; retrieval coverage and verifier results are therefore read as development evidence. Incomplete group labels can omit other valid sources, and a bounded grammar may not cover paraphrases beyond the controlled swaps. The corpus covers a single institution and a limited set of topics, so transfer to other colleges requires further study. External validity is further limited by the 30-question pilot, and operational validity by the working-tree and deployment differences described in Section 7.3.</w:t>
      </w:r>
    </w:p>
    <w:p>
      <w:pPr>
        <w:spacing w:before="0" w:after="80" w:line="252" w:lineRule="auto"/>
        <w:jc w:val="both"/>
      </w:pPr>
      <w:r>
        <w:rPr>
          <w:rFonts w:ascii="Times New Roman" w:hAnsi="Times New Roman"/>
          <w:b w:val="0"/>
          <w:i w:val="0"/>
          <w:color w:val="000000"/>
          <w:sz w:val="19"/>
        </w:rPr>
        <w:t>The preliminary 30-question pilot demonstrated core feasibility, while the 90-case stress benchmark evaluated performance under morphological and boundary strain. The 90-case results explicitly expose the linguistic performance gradient (75.0% English vs. 55.0% Marathi and 50.0% Hindi), which guides ongoing development. Most significantly, across all 90 cases, zero financial hallucinations were produced, demonstrating that deterministic rendering and bounded verification successfully insulate institutional applicants from fabricated fee numbers. Future evaluations will extend this to multi-semester longitudinal tracking across prospective admission cycles.</w:t>
      </w:r>
    </w:p>
    <w:p>
      <w:pPr>
        <w:keepNext/>
        <w:spacing w:before="200" w:after="60"/>
      </w:pPr>
      <w:r>
        <w:rPr>
          <w:rFonts w:ascii="Times New Roman" w:hAnsi="Times New Roman"/>
          <w:b/>
          <w:i/>
          <w:color w:val="000000"/>
          <w:sz w:val="20"/>
        </w:rPr>
        <w:t>7.3 Language and Deployment Limits</w:t>
      </w:r>
    </w:p>
    <w:p>
      <w:pPr>
        <w:spacing w:before="0" w:after="80" w:line="252" w:lineRule="auto"/>
        <w:jc w:val="both"/>
      </w:pPr>
      <w:r>
        <w:rPr>
          <w:rFonts w:ascii="Times New Roman" w:hAnsi="Times New Roman"/>
          <w:b w:val="0"/>
          <w:i w:val="0"/>
          <w:color w:val="000000"/>
          <w:sz w:val="19"/>
        </w:rPr>
        <w:t>Marathi and Hindi use selected interpretation rules and source-bound translations, and formal approval by competent Marathi and Hindi speakers is pending; the output is therefore treated as preliminary. Passing multilingual regressions verifies the specified transformations, whereas native-speaker fluency across unrestricted dialogue requires separate assessment. Code mixing, transliteration, unusual negation and programme aliases remain important stress cases, and language quality is measured separately from numerical preservation. Because OCR is English-only, scanned Devanagari source documents enter through an alternative route.</w:t>
      </w:r>
    </w:p>
    <w:p>
      <w:pPr>
        <w:spacing w:before="0" w:after="80" w:line="252" w:lineRule="auto"/>
        <w:jc w:val="both"/>
      </w:pPr>
      <w:r>
        <w:rPr>
          <w:rFonts w:ascii="Times New Roman" w:hAnsi="Times New Roman"/>
          <w:b w:val="0"/>
          <w:i w:val="0"/>
          <w:color w:val="000000"/>
          <w:sz w:val="19"/>
        </w:rPr>
        <w:t>The development checks ran against a working tree that may differ from the deployed version, and later local changes await verification on the live site. A live-generation smoke check timed out, so live generation is not evaluated here. HTTPS, cloud persistence, production load, scheduled backups and end-to-end monitoring are deployment tasks.</w:t>
      </w:r>
    </w:p>
    <w:p>
      <w:pPr>
        <w:keepNext/>
        <w:spacing w:before="200" w:after="60"/>
      </w:pPr>
      <w:r>
        <w:rPr>
          <w:rFonts w:ascii="Times New Roman" w:hAnsi="Times New Roman"/>
          <w:b/>
          <w:i/>
          <w:color w:val="000000"/>
          <w:sz w:val="20"/>
        </w:rPr>
        <w:t>7.4 Security and Privacy</w:t>
      </w:r>
    </w:p>
    <w:p>
      <w:pPr>
        <w:spacing w:before="0" w:after="80" w:line="252" w:lineRule="auto"/>
        <w:jc w:val="both"/>
      </w:pPr>
      <w:r>
        <w:rPr>
          <w:rFonts w:ascii="Times New Roman" w:hAnsi="Times New Roman"/>
          <w:b w:val="0"/>
          <w:i w:val="0"/>
          <w:color w:val="000000"/>
          <w:sz w:val="19"/>
        </w:rPr>
        <w:t>Authentication, server-side authorization, controlled validation errors, rate limits and session ownership reduce specific application risks. Rate limits are keyed to a client address read from proxy headers, so their reliability depends on the proxy configuration. LLM drafts remain untrusted: the assistant cannot approve admission or grant a waiver and avoids promises about admission, placement or scholarships, and source text and user requests cannot override application permissions. Targeted checks protect against specific failures; comprehensive prompt-injection resistance remains to be evaluated. Public history retention and deletion controls and the storage of call-back requests require institutional oversight, and any released evaluation transcript must remove personal identifiers and unnecessary applicant details.</w:t>
      </w:r>
    </w:p>
    <w:p>
      <w:pPr>
        <w:keepNext/>
        <w:spacing w:before="280" w:after="80"/>
      </w:pPr>
      <w:r>
        <w:rPr>
          <w:rFonts w:ascii="Times New Roman" w:hAnsi="Times New Roman"/>
          <w:b/>
          <w:i w:val="0"/>
          <w:color w:val="000000"/>
          <w:sz w:val="22"/>
        </w:rPr>
        <w:t>VIII. CONCLUSION AND FUTURE WORK</w:t>
      </w:r>
    </w:p>
    <w:p>
      <w:pPr>
        <w:spacing w:before="0" w:after="80" w:line="252" w:lineRule="auto"/>
        <w:jc w:val="both"/>
      </w:pPr>
      <w:r>
        <w:rPr>
          <w:rFonts w:ascii="Times New Roman" w:hAnsi="Times New Roman"/>
          <w:b w:val="0"/>
          <w:i w:val="0"/>
          <w:color w:val="000000"/>
          <w:sz w:val="19"/>
        </w:rPr>
        <w:t>MITRA implements multilingual institutional information access through maintained knowledge, explicit scope handling, structured critical-fact rendering and optional checked generation. Across five evidence layers—including 44 retrieval queries, 15 verifier probes, 1,218 regression items, a 30-case preliminary pilot, and an expanded 90-case multilingual stress benchmark—the architecture demonstrates robust factual insulation. In the 90-case stress evaluation, MITRA achieved 60.0% overall correctness (75.0% English, 55.0% Marathi, 50.0% Hindi), 76.7% source grounding, and 71.4% safe abstention on out-of-scope inquiries, completely eliminating financial hallucinations (0.0% across all 90 cases). Bounded slot/clause verification ensures that when ambiguity or missing records occur, the assistant abstains or escalates to human authorities rather than generating plausible but false assurances.</w:t>
      </w:r>
    </w:p>
    <w:p>
      <w:pPr>
        <w:spacing w:before="0" w:after="80" w:line="252" w:lineRule="auto"/>
        <w:jc w:val="both"/>
      </w:pPr>
      <w:r>
        <w:rPr>
          <w:rFonts w:ascii="Times New Roman" w:hAnsi="Times New Roman"/>
          <w:b w:val="0"/>
          <w:i w:val="0"/>
          <w:color w:val="000000"/>
          <w:sz w:val="19"/>
        </w:rPr>
        <w:t>Future work should freeze a deployed version and collect fresh student and parent questions independently of tuning, with the Authority labeling answerability, required facts and sources, as outlined in Section 5.5. Controlled ablations should compare structured rendering with generation-based answering on the same corpus, including legitimate comparisons and unseen attribute swaps. Further priorities are a larger valid-answer set to measure false refusals, stronger semantic claim verification, Devanagari OCR, production deployment with HTTPS, monitoring and load testing, a retention policy for call-back requests, and measurement of latency, model usage and cost.</w:t>
      </w:r>
    </w:p>
    <w:p>
      <w:pPr>
        <w:keepNext/>
        <w:spacing w:before="280" w:after="80"/>
      </w:pPr>
      <w:r>
        <w:rPr>
          <w:rFonts w:ascii="Times New Roman" w:hAnsi="Times New Roman"/>
          <w:b/>
          <w:i w:val="0"/>
          <w:color w:val="000000"/>
          <w:sz w:val="22"/>
        </w:rPr>
        <w:t>DATA AVAILABILITY</w:t>
      </w:r>
    </w:p>
    <w:p>
      <w:pPr>
        <w:spacing w:before="0" w:after="80" w:line="252" w:lineRule="auto"/>
        <w:jc w:val="both"/>
      </w:pPr>
      <w:r>
        <w:rPr>
          <w:rFonts w:ascii="Times New Roman" w:hAnsi="Times New Roman"/>
          <w:b w:val="0"/>
          <w:i w:val="0"/>
          <w:color w:val="000000"/>
          <w:sz w:val="19"/>
        </w:rPr>
        <w:t>Project source: https://github.com/shraddha-2332/MITRA-The-Virtual-Assistant. Source-bound development summaries, corpus identifiers and limitations are stored under docs/research-review and identify working-file hashes, so they may describe a snapshot ahead of the committed and deployed versions. Backend evaluators reproduce the routing, retrieval and verifier diagnostics. Figs. 3–6 are unedited captures of the implemented application.</w:t>
      </w:r>
    </w:p>
    <w:p>
      <w:pPr>
        <w:keepNext/>
        <w:spacing w:before="280" w:after="80"/>
      </w:pPr>
      <w:r>
        <w:rPr>
          <w:rFonts w:ascii="Times New Roman" w:hAnsi="Times New Roman"/>
          <w:b/>
          <w:i w:val="0"/>
          <w:color w:val="000000"/>
          <w:sz w:val="22"/>
        </w:rPr>
        <w:t>ACKNOWLEDGMENT</w:t>
      </w:r>
    </w:p>
    <w:p>
      <w:pPr>
        <w:keepNext/>
        <w:spacing w:before="280" w:after="80"/>
      </w:pPr>
      <w:r>
        <w:rPr>
          <w:rFonts w:ascii="Times New Roman" w:hAnsi="Times New Roman"/>
          <w:b/>
          <w:i w:val="0"/>
          <w:color w:val="000000"/>
          <w:sz w:val="22"/>
        </w:rPr>
        <w:t>REFERENCES</w:t>
      </w:r>
    </w:p>
    <w:p>
      <w:pPr>
        <w:spacing w:before="0" w:after="80" w:line="252" w:lineRule="auto"/>
        <w:jc w:val="both"/>
      </w:pPr>
      <w:r>
        <w:rPr>
          <w:rFonts w:ascii="Times New Roman" w:hAnsi="Times New Roman"/>
          <w:b w:val="0"/>
          <w:i w:val="0"/>
          <w:color w:val="000000"/>
          <w:sz w:val="19"/>
        </w:rPr>
        <w:t xml:space="preserve">1. P. Lewis et al., “Retrieval-Augmented Generation for Knowledge-Intensive NLP Tasks,” in </w:t>
      </w:r>
      <w:r>
        <w:rPr>
          <w:rFonts w:ascii="Times New Roman" w:hAnsi="Times New Roman"/>
          <w:b w:val="0"/>
          <w:i/>
          <w:color w:val="000000"/>
          <w:sz w:val="19"/>
        </w:rPr>
        <w:t>Advances in Neural Information Processing Systems (NeurIPS)</w:t>
      </w:r>
      <w:r>
        <w:rPr>
          <w:rFonts w:ascii="Times New Roman" w:hAnsi="Times New Roman"/>
          <w:b w:val="0"/>
          <w:i w:val="0"/>
          <w:color w:val="000000"/>
          <w:sz w:val="19"/>
        </w:rPr>
        <w:t>, vol. 33, 2020, pp. 9459–9474. [Online]. Available: https://arxiv.org/abs/2005.11401</w:t>
      </w:r>
    </w:p>
    <w:p>
      <w:pPr>
        <w:spacing w:before="0" w:after="80" w:line="252" w:lineRule="auto"/>
        <w:jc w:val="both"/>
      </w:pPr>
      <w:r>
        <w:rPr>
          <w:rFonts w:ascii="Times New Roman" w:hAnsi="Times New Roman"/>
          <w:b w:val="0"/>
          <w:i w:val="0"/>
          <w:color w:val="000000"/>
          <w:sz w:val="19"/>
        </w:rPr>
        <w:t xml:space="preserve">2. S. Robertson and H. Zaragoza, “The Probabilistic Relevance Framework: BM25 and Beyond,” </w:t>
      </w:r>
      <w:r>
        <w:rPr>
          <w:rFonts w:ascii="Times New Roman" w:hAnsi="Times New Roman"/>
          <w:b w:val="0"/>
          <w:i/>
          <w:color w:val="000000"/>
          <w:sz w:val="19"/>
        </w:rPr>
        <w:t>Foundations and Trends in Information Retrieval</w:t>
      </w:r>
      <w:r>
        <w:rPr>
          <w:rFonts w:ascii="Times New Roman" w:hAnsi="Times New Roman"/>
          <w:b w:val="0"/>
          <w:i w:val="0"/>
          <w:color w:val="000000"/>
          <w:sz w:val="19"/>
        </w:rPr>
        <w:t>, vol. 3, no. 4, pp. 333–389, 2009, doi: 10.1561/1500000019.</w:t>
      </w:r>
    </w:p>
    <w:p>
      <w:pPr>
        <w:spacing w:before="0" w:after="80" w:line="252" w:lineRule="auto"/>
        <w:jc w:val="both"/>
      </w:pPr>
      <w:r>
        <w:rPr>
          <w:rFonts w:ascii="Times New Roman" w:hAnsi="Times New Roman"/>
          <w:b w:val="0"/>
          <w:i w:val="0"/>
          <w:color w:val="000000"/>
          <w:sz w:val="19"/>
        </w:rPr>
        <w:t xml:space="preserve">3. L. Nguyen and T. Quan, “URAG: Implementing a Unified Hybrid RAG for Precise Answers in University Admission Chatbots—A Case Study at HCMUT,” </w:t>
      </w:r>
      <w:r>
        <w:rPr>
          <w:rFonts w:ascii="Times New Roman" w:hAnsi="Times New Roman"/>
          <w:b w:val="0"/>
          <w:i/>
          <w:color w:val="000000"/>
          <w:sz w:val="19"/>
        </w:rPr>
        <w:t>arXiv:2501.16276</w:t>
      </w:r>
      <w:r>
        <w:rPr>
          <w:rFonts w:ascii="Times New Roman" w:hAnsi="Times New Roman"/>
          <w:b w:val="0"/>
          <w:i w:val="0"/>
          <w:color w:val="000000"/>
          <w:sz w:val="19"/>
        </w:rPr>
        <w:t>, 2025. [Online]. Available: https://arxiv.org/abs/2501.16276</w:t>
      </w:r>
    </w:p>
    <w:p>
      <w:pPr>
        <w:spacing w:before="0" w:after="80" w:line="252" w:lineRule="auto"/>
        <w:jc w:val="both"/>
      </w:pPr>
      <w:r>
        <w:rPr>
          <w:rFonts w:ascii="Times New Roman" w:hAnsi="Times New Roman"/>
          <w:b w:val="0"/>
          <w:i w:val="0"/>
          <w:color w:val="000000"/>
          <w:sz w:val="19"/>
        </w:rPr>
        <w:t xml:space="preserve">4. H.-T. Nguyen, Q.-D. Ngo, and Q.-D. Dang, “An Intent-Filtered Retrieval-Augmented Generation Chatbot for University Admissions in Vietnam,” in </w:t>
      </w:r>
      <w:r>
        <w:rPr>
          <w:rFonts w:ascii="Times New Roman" w:hAnsi="Times New Roman"/>
          <w:b w:val="0"/>
          <w:i/>
          <w:color w:val="000000"/>
          <w:sz w:val="19"/>
        </w:rPr>
        <w:t>Proc. Int. Conf. Advanced Technologies for Communications (ATC)</w:t>
      </w:r>
      <w:r>
        <w:rPr>
          <w:rFonts w:ascii="Times New Roman" w:hAnsi="Times New Roman"/>
          <w:b w:val="0"/>
          <w:i w:val="0"/>
          <w:color w:val="000000"/>
          <w:sz w:val="19"/>
        </w:rPr>
        <w:t>, 2024, doi: 10.1109/ATC63255.2024.10908188.</w:t>
      </w:r>
    </w:p>
    <w:p>
      <w:pPr>
        <w:spacing w:before="0" w:after="80" w:line="252" w:lineRule="auto"/>
        <w:jc w:val="both"/>
      </w:pPr>
      <w:r>
        <w:rPr>
          <w:rFonts w:ascii="Times New Roman" w:hAnsi="Times New Roman"/>
          <w:b w:val="0"/>
          <w:i w:val="0"/>
          <w:color w:val="000000"/>
          <w:sz w:val="19"/>
        </w:rPr>
        <w:t xml:space="preserve">5. A. Nguyen-Duc et al., “An Empirical Study of Multi-Agent RAG for Real-World University Admissions Counseling,” </w:t>
      </w:r>
      <w:r>
        <w:rPr>
          <w:rFonts w:ascii="Times New Roman" w:hAnsi="Times New Roman"/>
          <w:b w:val="0"/>
          <w:i/>
          <w:color w:val="000000"/>
          <w:sz w:val="19"/>
        </w:rPr>
        <w:t>arXiv:2507.11272</w:t>
      </w:r>
      <w:r>
        <w:rPr>
          <w:rFonts w:ascii="Times New Roman" w:hAnsi="Times New Roman"/>
          <w:b w:val="0"/>
          <w:i w:val="0"/>
          <w:color w:val="000000"/>
          <w:sz w:val="19"/>
        </w:rPr>
        <w:t>, 2025. [Online]. Available: https://arxiv.org/abs/2507.11272</w:t>
      </w:r>
    </w:p>
    <w:p>
      <w:pPr>
        <w:spacing w:before="0" w:after="80" w:line="252" w:lineRule="auto"/>
        <w:jc w:val="both"/>
      </w:pPr>
      <w:r>
        <w:rPr>
          <w:rFonts w:ascii="Times New Roman" w:hAnsi="Times New Roman"/>
          <w:b w:val="0"/>
          <w:i w:val="0"/>
          <w:color w:val="000000"/>
          <w:sz w:val="19"/>
        </w:rPr>
        <w:t xml:space="preserve">6. M. Maryamah et al., “Chatbots in Academia: A Retrieval-Augmented Generation Approach for Improved Efficient Information Access,” in </w:t>
      </w:r>
      <w:r>
        <w:rPr>
          <w:rFonts w:ascii="Times New Roman" w:hAnsi="Times New Roman"/>
          <w:b w:val="0"/>
          <w:i/>
          <w:color w:val="000000"/>
          <w:sz w:val="19"/>
        </w:rPr>
        <w:t>Proc. 16th Int. Conf. Knowledge and Smart Technology (KST)</w:t>
      </w:r>
      <w:r>
        <w:rPr>
          <w:rFonts w:ascii="Times New Roman" w:hAnsi="Times New Roman"/>
          <w:b w:val="0"/>
          <w:i w:val="0"/>
          <w:color w:val="000000"/>
          <w:sz w:val="19"/>
        </w:rPr>
        <w:t>, 2024, pp. 259–264, doi: 10.1109/KST61284.2024.10499652.</w:t>
      </w:r>
    </w:p>
    <w:p>
      <w:pPr>
        <w:spacing w:before="0" w:after="80" w:line="252" w:lineRule="auto"/>
        <w:jc w:val="both"/>
      </w:pPr>
      <w:r>
        <w:rPr>
          <w:rFonts w:ascii="Times New Roman" w:hAnsi="Times New Roman"/>
          <w:b w:val="0"/>
          <w:i w:val="0"/>
          <w:color w:val="000000"/>
          <w:sz w:val="19"/>
        </w:rPr>
        <w:t xml:space="preserve">7. D. Kakwani et al., “IndicNLPSuite: Monolingual Corpora, Evaluation Benchmarks and Pre-trained Multilingual Language Models for Indian Languages,” in </w:t>
      </w:r>
      <w:r>
        <w:rPr>
          <w:rFonts w:ascii="Times New Roman" w:hAnsi="Times New Roman"/>
          <w:b w:val="0"/>
          <w:i/>
          <w:color w:val="000000"/>
          <w:sz w:val="19"/>
        </w:rPr>
        <w:t>Findings Assoc. Comput. Linguistics: EMNLP</w:t>
      </w:r>
      <w:r>
        <w:rPr>
          <w:rFonts w:ascii="Times New Roman" w:hAnsi="Times New Roman"/>
          <w:b w:val="0"/>
          <w:i w:val="0"/>
          <w:color w:val="000000"/>
          <w:sz w:val="19"/>
        </w:rPr>
        <w:t>, 2020, pp. 4948–4961, doi: 10.18653/v1/2020.findings-emnlp.445.</w:t>
      </w:r>
    </w:p>
    <w:p>
      <w:pPr>
        <w:spacing w:before="0" w:after="80" w:line="252" w:lineRule="auto"/>
        <w:jc w:val="both"/>
      </w:pPr>
      <w:r>
        <w:rPr>
          <w:rFonts w:ascii="Times New Roman" w:hAnsi="Times New Roman"/>
          <w:b w:val="0"/>
          <w:i w:val="0"/>
          <w:color w:val="000000"/>
          <w:sz w:val="19"/>
        </w:rPr>
        <w:t xml:space="preserve">8. S. Es, J. James, L. Espinosa Anke, and S. Schockaert, “RAGAs: Automated Evaluation of Retrieval Augmented Generation,” in </w:t>
      </w:r>
      <w:r>
        <w:rPr>
          <w:rFonts w:ascii="Times New Roman" w:hAnsi="Times New Roman"/>
          <w:b w:val="0"/>
          <w:i/>
          <w:color w:val="000000"/>
          <w:sz w:val="19"/>
        </w:rPr>
        <w:t>Proc. EACL System Demonstrations</w:t>
      </w:r>
      <w:r>
        <w:rPr>
          <w:rFonts w:ascii="Times New Roman" w:hAnsi="Times New Roman"/>
          <w:b w:val="0"/>
          <w:i w:val="0"/>
          <w:color w:val="000000"/>
          <w:sz w:val="19"/>
        </w:rPr>
        <w:t>, 2024, pp. 150–158, doi: 10.18653/v1/2024.eacl-demo.16.</w:t>
      </w:r>
    </w:p>
    <w:p>
      <w:pPr>
        <w:spacing w:before="0" w:after="80" w:line="252" w:lineRule="auto"/>
        <w:jc w:val="both"/>
      </w:pPr>
      <w:r>
        <w:rPr>
          <w:rFonts w:ascii="Times New Roman" w:hAnsi="Times New Roman"/>
          <w:b w:val="0"/>
          <w:i w:val="0"/>
          <w:color w:val="000000"/>
          <w:sz w:val="19"/>
        </w:rPr>
        <w:t xml:space="preserve">9. P. Mathur, A. Siu, N. Lipka, and T. Sun, “MATSA: Multi-Agent Table Structure Attribution,” in </w:t>
      </w:r>
      <w:r>
        <w:rPr>
          <w:rFonts w:ascii="Times New Roman" w:hAnsi="Times New Roman"/>
          <w:b w:val="0"/>
          <w:i/>
          <w:color w:val="000000"/>
          <w:sz w:val="19"/>
        </w:rPr>
        <w:t>Proc. EMNLP System Demonstrations</w:t>
      </w:r>
      <w:r>
        <w:rPr>
          <w:rFonts w:ascii="Times New Roman" w:hAnsi="Times New Roman"/>
          <w:b w:val="0"/>
          <w:i w:val="0"/>
          <w:color w:val="000000"/>
          <w:sz w:val="19"/>
        </w:rPr>
        <w:t>, 2024, pp. 250–258, doi: 10.18653/v1/2024.emnlp-demo.26.</w:t>
      </w:r>
    </w:p>
    <w:p>
      <w:pPr>
        <w:spacing w:before="0" w:after="80" w:line="252" w:lineRule="auto"/>
        <w:jc w:val="both"/>
      </w:pPr>
      <w:r>
        <w:rPr>
          <w:rFonts w:ascii="Times New Roman" w:hAnsi="Times New Roman"/>
          <w:b w:val="0"/>
          <w:i w:val="0"/>
          <w:color w:val="000000"/>
          <w:sz w:val="19"/>
        </w:rPr>
        <w:t xml:space="preserve">10. K. S. Bukkapatnam and S. Mehta, “TabFaith: Benchmarking and Improving Structural Faithfulness in LLM Table Summarization,” in </w:t>
      </w:r>
      <w:r>
        <w:rPr>
          <w:rFonts w:ascii="Times New Roman" w:hAnsi="Times New Roman"/>
          <w:b w:val="0"/>
          <w:i/>
          <w:color w:val="000000"/>
          <w:sz w:val="19"/>
        </w:rPr>
        <w:t>Proc. First Workshop on Structured Understanding, Retrieval, and Generation in the LLM Era (SURGeLLM)</w:t>
      </w:r>
      <w:r>
        <w:rPr>
          <w:rFonts w:ascii="Times New Roman" w:hAnsi="Times New Roman"/>
          <w:b w:val="0"/>
          <w:i w:val="0"/>
          <w:color w:val="000000"/>
          <w:sz w:val="19"/>
        </w:rPr>
        <w:t>, 2026, pp. 326–332, doi: 10.18653/v1/2026.surgellm-1.21.</w:t>
      </w:r>
    </w:p>
    <w:p>
      <w:pPr>
        <w:spacing w:before="0" w:after="80" w:line="252" w:lineRule="auto"/>
        <w:jc w:val="both"/>
      </w:pPr>
      <w:r>
        <w:rPr>
          <w:rFonts w:ascii="Times New Roman" w:hAnsi="Times New Roman"/>
          <w:b w:val="0"/>
          <w:i w:val="0"/>
          <w:color w:val="000000"/>
          <w:sz w:val="19"/>
        </w:rPr>
        <w:t xml:space="preserve">11. Z. Ji et al., “Survey of hallucination in natural language generation,” </w:t>
      </w:r>
      <w:r>
        <w:rPr>
          <w:rFonts w:ascii="Times New Roman" w:hAnsi="Times New Roman"/>
          <w:b w:val="0"/>
          <w:i/>
          <w:color w:val="000000"/>
          <w:sz w:val="19"/>
        </w:rPr>
        <w:t>ACM Comput. Surv.</w:t>
      </w:r>
      <w:r>
        <w:rPr>
          <w:rFonts w:ascii="Times New Roman" w:hAnsi="Times New Roman"/>
          <w:b w:val="0"/>
          <w:i w:val="0"/>
          <w:color w:val="000000"/>
          <w:sz w:val="19"/>
        </w:rPr>
        <w:t>, vol. 55, no. 12, Art. no. 248, 2023.</w:t>
      </w:r>
    </w:p>
    <w:p>
      <w:pPr>
        <w:spacing w:before="0" w:after="80" w:line="252" w:lineRule="auto"/>
        <w:jc w:val="both"/>
      </w:pPr>
      <w:r>
        <w:rPr>
          <w:rFonts w:ascii="Times New Roman" w:hAnsi="Times New Roman"/>
          <w:b w:val="0"/>
          <w:i w:val="0"/>
          <w:color w:val="000000"/>
          <w:sz w:val="19"/>
        </w:rPr>
        <w:t xml:space="preserve">12. N. Thakur et al., “BEIR: A heterogeneous benchmark for zero-shot evaluation of information retrieval models,” in </w:t>
      </w:r>
      <w:r>
        <w:rPr>
          <w:rFonts w:ascii="Times New Roman" w:hAnsi="Times New Roman"/>
          <w:b w:val="0"/>
          <w:i/>
          <w:color w:val="000000"/>
          <w:sz w:val="19"/>
        </w:rPr>
        <w:t>Proc. NeurIPS Datasets and Benchmarks Track</w:t>
      </w:r>
      <w:r>
        <w:rPr>
          <w:rFonts w:ascii="Times New Roman" w:hAnsi="Times New Roman"/>
          <w:b w:val="0"/>
          <w:i w:val="0"/>
          <w:color w:val="000000"/>
          <w:sz w:val="19"/>
        </w:rPr>
        <w:t>, 2021.</w:t>
      </w:r>
    </w:p>
    <w:p>
      <w:pPr>
        <w:spacing w:before="0" w:after="80" w:line="252" w:lineRule="auto"/>
        <w:jc w:val="both"/>
      </w:pPr>
      <w:r>
        <w:rPr>
          <w:rFonts w:ascii="Times New Roman" w:hAnsi="Times New Roman"/>
          <w:b w:val="0"/>
          <w:i w:val="0"/>
          <w:color w:val="000000"/>
          <w:sz w:val="19"/>
        </w:rPr>
        <w:t xml:space="preserve">13. J. H. Clark et al., “TyDi QA: A benchmark for information-seeking question answering in typologically diverse languages,” </w:t>
      </w:r>
      <w:r>
        <w:rPr>
          <w:rFonts w:ascii="Times New Roman" w:hAnsi="Times New Roman"/>
          <w:b w:val="0"/>
          <w:i/>
          <w:color w:val="000000"/>
          <w:sz w:val="19"/>
        </w:rPr>
        <w:t>Trans. Assoc. Comput. Linguistics</w:t>
      </w:r>
      <w:r>
        <w:rPr>
          <w:rFonts w:ascii="Times New Roman" w:hAnsi="Times New Roman"/>
          <w:b w:val="0"/>
          <w:i w:val="0"/>
          <w:color w:val="000000"/>
          <w:sz w:val="19"/>
        </w:rPr>
        <w:t>, vol. 8, pp. 454–470, 2020.</w:t>
      </w:r>
    </w:p>
    <w:p>
      <w:pPr>
        <w:spacing w:before="0" w:after="80" w:line="252" w:lineRule="auto"/>
        <w:jc w:val="both"/>
      </w:pPr>
      <w:r>
        <w:rPr>
          <w:rFonts w:ascii="Times New Roman" w:hAnsi="Times New Roman"/>
          <w:b w:val="0"/>
          <w:i w:val="0"/>
          <w:color w:val="000000"/>
          <w:sz w:val="19"/>
        </w:rPr>
        <w:t xml:space="preserve">14. A. Asai et al., “XOR QA: Cross-lingual open-retrieval question answering,” in </w:t>
      </w:r>
      <w:r>
        <w:rPr>
          <w:rFonts w:ascii="Times New Roman" w:hAnsi="Times New Roman"/>
          <w:b w:val="0"/>
          <w:i/>
          <w:color w:val="000000"/>
          <w:sz w:val="19"/>
        </w:rPr>
        <w:t>Proc. NAACL-HLT</w:t>
      </w:r>
      <w:r>
        <w:rPr>
          <w:rFonts w:ascii="Times New Roman" w:hAnsi="Times New Roman"/>
          <w:b w:val="0"/>
          <w:i w:val="0"/>
          <w:color w:val="000000"/>
          <w:sz w:val="19"/>
        </w:rPr>
        <w:t>, 2021, pp. 547–564.</w:t>
      </w:r>
    </w:p>
    <w:p>
      <w:pPr>
        <w:spacing w:before="0" w:after="80" w:line="252" w:lineRule="auto"/>
        <w:jc w:val="both"/>
      </w:pPr>
      <w:r>
        <w:rPr>
          <w:rFonts w:ascii="Times New Roman" w:hAnsi="Times New Roman"/>
          <w:b w:val="0"/>
          <w:i w:val="0"/>
          <w:color w:val="000000"/>
          <w:sz w:val="19"/>
        </w:rPr>
        <w:t xml:space="preserve">15. P. Buneman, S. Khanna, and W.-C. Tan, “Why and where: A characterization of data provenance,” in </w:t>
      </w:r>
      <w:r>
        <w:rPr>
          <w:rFonts w:ascii="Times New Roman" w:hAnsi="Times New Roman"/>
          <w:b w:val="0"/>
          <w:i/>
          <w:color w:val="000000"/>
          <w:sz w:val="19"/>
        </w:rPr>
        <w:t>Proc. Int. Conf. Database Theory (ICDT)</w:t>
      </w:r>
      <w:r>
        <w:rPr>
          <w:rFonts w:ascii="Times New Roman" w:hAnsi="Times New Roman"/>
          <w:b w:val="0"/>
          <w:i w:val="0"/>
          <w:color w:val="000000"/>
          <w:sz w:val="19"/>
        </w:rPr>
        <w:t>, LNCS vol. 1973, 2001, pp. 316–330.</w:t>
      </w:r>
    </w:p>
    <w:p>
      <w:pPr>
        <w:spacing w:before="0" w:after="80" w:line="252" w:lineRule="auto"/>
        <w:jc w:val="both"/>
      </w:pPr>
      <w:r>
        <w:rPr>
          <w:rFonts w:ascii="Times New Roman" w:hAnsi="Times New Roman"/>
          <w:b w:val="0"/>
          <w:i w:val="0"/>
          <w:color w:val="000000"/>
          <w:sz w:val="19"/>
        </w:rPr>
        <w:t xml:space="preserve">16. Z. Chen, D. Zou, H. Xie, H. Lou, and Z. Pang, “Facilitating university admission using a chatbot based on large language models with retrieval-augmented generation,” </w:t>
      </w:r>
      <w:r>
        <w:rPr>
          <w:rFonts w:ascii="Times New Roman" w:hAnsi="Times New Roman"/>
          <w:b w:val="0"/>
          <w:i/>
          <w:color w:val="000000"/>
          <w:sz w:val="19"/>
        </w:rPr>
        <w:t>Educ. Technol. Soc.</w:t>
      </w:r>
      <w:r>
        <w:rPr>
          <w:rFonts w:ascii="Times New Roman" w:hAnsi="Times New Roman"/>
          <w:b w:val="0"/>
          <w:i w:val="0"/>
          <w:color w:val="000000"/>
          <w:sz w:val="19"/>
        </w:rPr>
        <w:t>, vol. 27, no. 4, pp. 454–470, 2024.</w:t>
      </w:r>
    </w:p>
    <w:p>
      <w:pPr>
        <w:spacing w:before="0" w:after="80" w:line="252" w:lineRule="auto"/>
        <w:jc w:val="both"/>
      </w:pPr>
      <w:r>
        <w:rPr>
          <w:rFonts w:ascii="Times New Roman" w:hAnsi="Times New Roman"/>
          <w:b w:val="0"/>
          <w:i w:val="0"/>
          <w:color w:val="000000"/>
          <w:sz w:val="19"/>
        </w:rPr>
        <w:t xml:space="preserve">17. Gemini Team, Google, “Gemini: A family of highly capable multimodal models,” </w:t>
      </w:r>
      <w:r>
        <w:rPr>
          <w:rFonts w:ascii="Times New Roman" w:hAnsi="Times New Roman"/>
          <w:b w:val="0"/>
          <w:i/>
          <w:color w:val="000000"/>
          <w:sz w:val="19"/>
        </w:rPr>
        <w:t>arXiv:2312.11805</w:t>
      </w:r>
      <w:r>
        <w:rPr>
          <w:rFonts w:ascii="Times New Roman" w:hAnsi="Times New Roman"/>
          <w:b w:val="0"/>
          <w:i w:val="0"/>
          <w:color w:val="000000"/>
          <w:sz w:val="19"/>
        </w:rPr>
        <w:t>, 2023.</w:t>
      </w:r>
    </w:p>
    <w:p>
      <w:pPr>
        <w:spacing w:before="0" w:after="80" w:line="252" w:lineRule="auto"/>
        <w:jc w:val="both"/>
      </w:pPr>
      <w:r>
        <w:rPr>
          <w:rFonts w:ascii="Times New Roman" w:hAnsi="Times New Roman"/>
          <w:b w:val="0"/>
          <w:i w:val="0"/>
          <w:color w:val="000000"/>
          <w:sz w:val="19"/>
        </w:rPr>
        <w:t xml:space="preserve">18. C. D. Manning, P. Raghavan, and H. Schütze, </w:t>
      </w:r>
      <w:r>
        <w:rPr>
          <w:rFonts w:ascii="Times New Roman" w:hAnsi="Times New Roman"/>
          <w:b w:val="0"/>
          <w:i/>
          <w:color w:val="000000"/>
          <w:sz w:val="19"/>
        </w:rPr>
        <w:t>Introduction to Information Retrieval</w:t>
      </w:r>
      <w:r>
        <w:rPr>
          <w:rFonts w:ascii="Times New Roman" w:hAnsi="Times New Roman"/>
          <w:b w:val="0"/>
          <w:i w:val="0"/>
          <w:color w:val="000000"/>
          <w:sz w:val="19"/>
        </w:rPr>
        <w:t>. Cambridge, U.K.: Cambridge Univ. Press, 2008.</w:t>
      </w:r>
    </w:p>
    <w:p>
      <w:pPr>
        <w:spacing w:before="0" w:after="80" w:line="252" w:lineRule="auto"/>
        <w:jc w:val="both"/>
      </w:pPr>
      <w:r>
        <w:rPr>
          <w:rFonts w:ascii="Times New Roman" w:hAnsi="Times New Roman"/>
          <w:b w:val="0"/>
          <w:i w:val="0"/>
          <w:color w:val="000000"/>
          <w:sz w:val="19"/>
        </w:rPr>
        <w:t xml:space="preserve">19. G. V. Cormack, C. L. A. Clarke, and S. Büttcher, “Reciprocal rank fusion outperforms Condorcet and individual rank learning methods,” in </w:t>
      </w:r>
      <w:r>
        <w:rPr>
          <w:rFonts w:ascii="Times New Roman" w:hAnsi="Times New Roman"/>
          <w:b w:val="0"/>
          <w:i/>
          <w:color w:val="000000"/>
          <w:sz w:val="19"/>
        </w:rPr>
        <w:t>Proc. 32nd Int. ACM SIGIR Conf. Research and Development in Information Retrieval</w:t>
      </w:r>
      <w:r>
        <w:rPr>
          <w:rFonts w:ascii="Times New Roman" w:hAnsi="Times New Roman"/>
          <w:b w:val="0"/>
          <w:i w:val="0"/>
          <w:color w:val="000000"/>
          <w:sz w:val="19"/>
        </w:rPr>
        <w:t>, 2009, pp. 758–759, doi: 10.1145/1571941.1572114.</w:t>
      </w:r>
    </w:p>
    <w:p>
      <w:pPr>
        <w:spacing w:before="0" w:after="80" w:line="252" w:lineRule="auto"/>
        <w:jc w:val="both"/>
      </w:pPr>
      <w:r>
        <w:rPr>
          <w:rFonts w:ascii="Times New Roman" w:hAnsi="Times New Roman"/>
          <w:b w:val="0"/>
          <w:i w:val="0"/>
          <w:color w:val="000000"/>
          <w:sz w:val="19"/>
        </w:rPr>
        <w:t xml:space="preserve">20. E. B. Wilson, “Probable inference, the law of succession, and statistical inference,” </w:t>
      </w:r>
      <w:r>
        <w:rPr>
          <w:rFonts w:ascii="Times New Roman" w:hAnsi="Times New Roman"/>
          <w:b w:val="0"/>
          <w:i/>
          <w:color w:val="000000"/>
          <w:sz w:val="19"/>
        </w:rPr>
        <w:t>J. Amer. Statist. Assoc.</w:t>
      </w:r>
      <w:r>
        <w:rPr>
          <w:rFonts w:ascii="Times New Roman" w:hAnsi="Times New Roman"/>
          <w:b w:val="0"/>
          <w:i w:val="0"/>
          <w:color w:val="000000"/>
          <w:sz w:val="19"/>
        </w:rPr>
        <w:t>, vol. 22, no. 158, pp. 209–212, 1927.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